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D0" w:rsidRPr="001F14E6" w:rsidRDefault="00D70ED0" w:rsidP="00641CD7">
      <w:pPr>
        <w:pStyle w:val="NoSpacing"/>
        <w:jc w:val="both"/>
        <w:rPr>
          <w:rFonts w:ascii="Times New Roman" w:hAnsi="Times New Roman" w:cs="Times New Roman"/>
          <w:sz w:val="24"/>
          <w:szCs w:val="24"/>
          <w:lang w:val="en-US"/>
        </w:rPr>
      </w:pPr>
      <w:bookmarkStart w:id="0" w:name="_GoBack"/>
      <w:bookmarkEnd w:id="0"/>
      <w:r w:rsidRPr="001F14E6">
        <w:rPr>
          <w:rFonts w:ascii="Times New Roman" w:hAnsi="Times New Roman" w:cs="Times New Roman"/>
          <w:sz w:val="24"/>
          <w:szCs w:val="24"/>
          <w:lang w:val="en-US"/>
        </w:rPr>
        <w:t>I A B COMPANY</w:t>
      </w:r>
    </w:p>
    <w:p w:rsidR="00D70ED0" w:rsidRPr="001F14E6" w:rsidRDefault="00641CD7" w:rsidP="00641CD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D70ED0" w:rsidRPr="001F14E6">
        <w:rPr>
          <w:rFonts w:ascii="Times New Roman" w:hAnsi="Times New Roman" w:cs="Times New Roman"/>
          <w:sz w:val="24"/>
          <w:szCs w:val="24"/>
          <w:lang w:val="en-US"/>
        </w:rPr>
        <w:t>ersus</w:t>
      </w:r>
    </w:p>
    <w:p w:rsidR="00D70ED0" w:rsidRDefault="00D70ED0" w:rsidP="00641CD7">
      <w:pPr>
        <w:pStyle w:val="No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ZIMBABWE REVENUE AUTHORITY</w:t>
      </w:r>
    </w:p>
    <w:p w:rsidR="00641CD7" w:rsidRDefault="00641CD7" w:rsidP="00641CD7">
      <w:pPr>
        <w:pStyle w:val="NoSpacing"/>
        <w:jc w:val="both"/>
        <w:rPr>
          <w:rFonts w:ascii="Times New Roman" w:hAnsi="Times New Roman" w:cs="Times New Roman"/>
          <w:sz w:val="24"/>
          <w:szCs w:val="24"/>
          <w:lang w:val="en-US"/>
        </w:rPr>
      </w:pPr>
    </w:p>
    <w:p w:rsidR="00641CD7" w:rsidRPr="001F14E6" w:rsidRDefault="00641CD7" w:rsidP="00641CD7">
      <w:pPr>
        <w:pStyle w:val="NoSpacing"/>
        <w:jc w:val="both"/>
        <w:rPr>
          <w:rFonts w:ascii="Times New Roman" w:hAnsi="Times New Roman" w:cs="Times New Roman"/>
          <w:sz w:val="24"/>
          <w:szCs w:val="24"/>
          <w:lang w:val="en-US"/>
        </w:rPr>
      </w:pPr>
    </w:p>
    <w:p w:rsidR="00D70ED0" w:rsidRPr="001F14E6" w:rsidRDefault="00D70ED0" w:rsidP="00AE2DE4">
      <w:pPr>
        <w:pStyle w:val="NoSpacing"/>
        <w:jc w:val="both"/>
        <w:rPr>
          <w:rFonts w:ascii="Times New Roman" w:hAnsi="Times New Roman" w:cs="Times New Roman"/>
          <w:b/>
          <w:sz w:val="24"/>
          <w:szCs w:val="24"/>
          <w:lang w:val="en-US"/>
        </w:rPr>
      </w:pPr>
    </w:p>
    <w:p w:rsidR="00D70ED0" w:rsidRPr="001F14E6" w:rsidRDefault="00D70ED0" w:rsidP="00AE2DE4">
      <w:pPr>
        <w:pStyle w:val="No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 THE HIGH COURT OF ZIMBABWE</w:t>
      </w:r>
    </w:p>
    <w:p w:rsidR="00641CD7" w:rsidRPr="001F14E6" w:rsidRDefault="00D70ED0" w:rsidP="00AE2DE4">
      <w:pPr>
        <w:pStyle w:val="No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NDOU AJ </w:t>
      </w:r>
    </w:p>
    <w:p w:rsidR="00D70ED0" w:rsidRDefault="00D70ED0" w:rsidP="00AE2DE4">
      <w:pPr>
        <w:pStyle w:val="No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HARARE 20 J</w:t>
      </w:r>
      <w:r w:rsidR="00641CD7" w:rsidRPr="001F14E6">
        <w:rPr>
          <w:rFonts w:ascii="Times New Roman" w:hAnsi="Times New Roman" w:cs="Times New Roman"/>
          <w:sz w:val="24"/>
          <w:szCs w:val="24"/>
          <w:lang w:val="en-US"/>
        </w:rPr>
        <w:t>anuary</w:t>
      </w:r>
      <w:r w:rsidR="00DE5EB0" w:rsidRPr="001F14E6">
        <w:rPr>
          <w:rFonts w:ascii="Times New Roman" w:hAnsi="Times New Roman" w:cs="Times New Roman"/>
          <w:sz w:val="24"/>
          <w:szCs w:val="24"/>
          <w:lang w:val="en-US"/>
        </w:rPr>
        <w:t xml:space="preserve"> 2020, 20 A</w:t>
      </w:r>
      <w:r w:rsidR="00641CD7" w:rsidRPr="001F14E6">
        <w:rPr>
          <w:rFonts w:ascii="Times New Roman" w:hAnsi="Times New Roman" w:cs="Times New Roman"/>
          <w:sz w:val="24"/>
          <w:szCs w:val="24"/>
          <w:lang w:val="en-US"/>
        </w:rPr>
        <w:t>pril</w:t>
      </w:r>
      <w:r w:rsidR="00DE5EB0" w:rsidRPr="001F14E6">
        <w:rPr>
          <w:rFonts w:ascii="Times New Roman" w:hAnsi="Times New Roman" w:cs="Times New Roman"/>
          <w:sz w:val="24"/>
          <w:szCs w:val="24"/>
          <w:lang w:val="en-US"/>
        </w:rPr>
        <w:t xml:space="preserve"> </w:t>
      </w:r>
      <w:r w:rsidRPr="001F14E6">
        <w:rPr>
          <w:rFonts w:ascii="Times New Roman" w:hAnsi="Times New Roman" w:cs="Times New Roman"/>
          <w:sz w:val="24"/>
          <w:szCs w:val="24"/>
          <w:lang w:val="en-US"/>
        </w:rPr>
        <w:t>2021</w:t>
      </w:r>
      <w:r w:rsidR="00641CD7">
        <w:rPr>
          <w:rFonts w:ascii="Times New Roman" w:hAnsi="Times New Roman" w:cs="Times New Roman"/>
          <w:sz w:val="24"/>
          <w:szCs w:val="24"/>
          <w:lang w:val="en-US"/>
        </w:rPr>
        <w:t>&amp; 19</w:t>
      </w:r>
      <w:r w:rsidR="00DE5EB0" w:rsidRPr="001F14E6">
        <w:rPr>
          <w:rFonts w:ascii="Times New Roman" w:hAnsi="Times New Roman" w:cs="Times New Roman"/>
          <w:sz w:val="24"/>
          <w:szCs w:val="24"/>
          <w:lang w:val="en-US"/>
        </w:rPr>
        <w:t xml:space="preserve"> J</w:t>
      </w:r>
      <w:r w:rsidR="00641CD7" w:rsidRPr="001F14E6">
        <w:rPr>
          <w:rFonts w:ascii="Times New Roman" w:hAnsi="Times New Roman" w:cs="Times New Roman"/>
          <w:sz w:val="24"/>
          <w:szCs w:val="24"/>
          <w:lang w:val="en-US"/>
        </w:rPr>
        <w:t>anuary</w:t>
      </w:r>
      <w:r w:rsidR="00DE5EB0" w:rsidRPr="001F14E6">
        <w:rPr>
          <w:rFonts w:ascii="Times New Roman" w:hAnsi="Times New Roman" w:cs="Times New Roman"/>
          <w:sz w:val="24"/>
          <w:szCs w:val="24"/>
          <w:lang w:val="en-US"/>
        </w:rPr>
        <w:t xml:space="preserve"> 2022</w:t>
      </w:r>
    </w:p>
    <w:p w:rsidR="00641CD7" w:rsidRDefault="00641CD7" w:rsidP="00AE2DE4">
      <w:pPr>
        <w:pStyle w:val="NoSpacing"/>
        <w:jc w:val="both"/>
        <w:rPr>
          <w:rFonts w:ascii="Times New Roman" w:hAnsi="Times New Roman" w:cs="Times New Roman"/>
          <w:sz w:val="24"/>
          <w:szCs w:val="24"/>
          <w:lang w:val="en-US"/>
        </w:rPr>
      </w:pPr>
    </w:p>
    <w:p w:rsidR="00641CD7" w:rsidRDefault="00641CD7" w:rsidP="00AE2DE4">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Assessors: Ms R. Kangai </w:t>
      </w:r>
    </w:p>
    <w:p w:rsidR="00641CD7" w:rsidRPr="001F14E6" w:rsidRDefault="00641CD7" w:rsidP="00641CD7">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F14E6">
        <w:rPr>
          <w:rFonts w:ascii="Times New Roman" w:hAnsi="Times New Roman" w:cs="Times New Roman"/>
          <w:sz w:val="24"/>
          <w:szCs w:val="24"/>
          <w:lang w:val="en-US"/>
        </w:rPr>
        <w:t xml:space="preserve"> Mr W. Mandinde</w:t>
      </w:r>
    </w:p>
    <w:p w:rsidR="00D70ED0" w:rsidRPr="001F14E6" w:rsidRDefault="00D70ED0" w:rsidP="00AE2DE4">
      <w:pPr>
        <w:pStyle w:val="NoSpacing"/>
        <w:jc w:val="both"/>
        <w:rPr>
          <w:rFonts w:ascii="Times New Roman" w:hAnsi="Times New Roman" w:cs="Times New Roman"/>
          <w:sz w:val="24"/>
          <w:szCs w:val="24"/>
          <w:lang w:val="en-US"/>
        </w:rPr>
      </w:pPr>
    </w:p>
    <w:p w:rsidR="00641CD7" w:rsidRDefault="00641CD7" w:rsidP="00AE2DE4">
      <w:pPr>
        <w:pStyle w:val="NoSpacing"/>
        <w:jc w:val="both"/>
        <w:rPr>
          <w:rFonts w:ascii="Times New Roman" w:hAnsi="Times New Roman" w:cs="Times New Roman"/>
          <w:b/>
          <w:sz w:val="24"/>
          <w:szCs w:val="24"/>
          <w:lang w:val="en-US"/>
        </w:rPr>
      </w:pPr>
    </w:p>
    <w:p w:rsidR="00D70ED0" w:rsidRPr="001F14E6" w:rsidRDefault="00D70ED0" w:rsidP="00AE2DE4">
      <w:pPr>
        <w:pStyle w:val="NoSpacing"/>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Income Tax Appeal</w:t>
      </w:r>
    </w:p>
    <w:p w:rsidR="00D70ED0" w:rsidRPr="001F14E6" w:rsidRDefault="00D70ED0" w:rsidP="00AE2DE4">
      <w:pPr>
        <w:pStyle w:val="NoSpacing"/>
        <w:jc w:val="both"/>
        <w:rPr>
          <w:rFonts w:ascii="Times New Roman" w:hAnsi="Times New Roman" w:cs="Times New Roman"/>
          <w:sz w:val="24"/>
          <w:szCs w:val="24"/>
          <w:lang w:val="en-US"/>
        </w:rPr>
      </w:pPr>
    </w:p>
    <w:p w:rsidR="00641CD7" w:rsidRDefault="00641CD7" w:rsidP="00AE2DE4">
      <w:pPr>
        <w:pStyle w:val="NoSpacing"/>
        <w:jc w:val="both"/>
        <w:rPr>
          <w:rFonts w:ascii="Times New Roman" w:hAnsi="Times New Roman" w:cs="Times New Roman"/>
          <w:i/>
          <w:sz w:val="24"/>
          <w:szCs w:val="24"/>
          <w:lang w:val="en-US"/>
        </w:rPr>
      </w:pPr>
    </w:p>
    <w:p w:rsidR="00D70ED0" w:rsidRPr="001F14E6" w:rsidRDefault="00D70ED0" w:rsidP="00AE2DE4">
      <w:pPr>
        <w:pStyle w:val="NoSpacing"/>
        <w:jc w:val="both"/>
        <w:rPr>
          <w:rFonts w:ascii="Times New Roman" w:hAnsi="Times New Roman" w:cs="Times New Roman"/>
          <w:sz w:val="24"/>
          <w:szCs w:val="24"/>
          <w:lang w:val="en-US"/>
        </w:rPr>
      </w:pPr>
      <w:r w:rsidRPr="001F14E6">
        <w:rPr>
          <w:rFonts w:ascii="Times New Roman" w:hAnsi="Times New Roman" w:cs="Times New Roman"/>
          <w:i/>
          <w:sz w:val="24"/>
          <w:szCs w:val="24"/>
          <w:lang w:val="en-US"/>
        </w:rPr>
        <w:t xml:space="preserve">D. N. Erasmus </w:t>
      </w:r>
      <w:r w:rsidRPr="00641CD7">
        <w:rPr>
          <w:rFonts w:ascii="Times New Roman" w:hAnsi="Times New Roman" w:cs="Times New Roman"/>
          <w:sz w:val="24"/>
          <w:szCs w:val="24"/>
          <w:lang w:val="en-US"/>
        </w:rPr>
        <w:t>with</w:t>
      </w:r>
      <w:r w:rsidRPr="001F14E6">
        <w:rPr>
          <w:rFonts w:ascii="Times New Roman" w:hAnsi="Times New Roman" w:cs="Times New Roman"/>
          <w:i/>
          <w:sz w:val="24"/>
          <w:szCs w:val="24"/>
          <w:lang w:val="en-US"/>
        </w:rPr>
        <w:t xml:space="preserve"> J. Mu</w:t>
      </w:r>
      <w:r w:rsidR="00DE5EB0" w:rsidRPr="001F14E6">
        <w:rPr>
          <w:rFonts w:ascii="Times New Roman" w:hAnsi="Times New Roman" w:cs="Times New Roman"/>
          <w:i/>
          <w:sz w:val="24"/>
          <w:szCs w:val="24"/>
          <w:lang w:val="en-US"/>
        </w:rPr>
        <w:t>chada</w:t>
      </w:r>
      <w:r w:rsidRPr="001F14E6">
        <w:rPr>
          <w:rFonts w:ascii="Times New Roman" w:hAnsi="Times New Roman" w:cs="Times New Roman"/>
          <w:sz w:val="24"/>
          <w:szCs w:val="24"/>
          <w:lang w:val="en-US"/>
        </w:rPr>
        <w:t>, for the appellant</w:t>
      </w:r>
    </w:p>
    <w:p w:rsidR="00D70ED0" w:rsidRDefault="00D70ED0" w:rsidP="00AE2DE4">
      <w:pPr>
        <w:pStyle w:val="NoSpacing"/>
        <w:jc w:val="both"/>
        <w:rPr>
          <w:rFonts w:ascii="Times New Roman" w:hAnsi="Times New Roman" w:cs="Times New Roman"/>
          <w:sz w:val="24"/>
          <w:szCs w:val="24"/>
          <w:lang w:val="en-US"/>
        </w:rPr>
      </w:pPr>
      <w:r w:rsidRPr="001F14E6">
        <w:rPr>
          <w:rFonts w:ascii="Times New Roman" w:hAnsi="Times New Roman" w:cs="Times New Roman"/>
          <w:i/>
          <w:sz w:val="24"/>
          <w:szCs w:val="24"/>
          <w:lang w:val="en-US"/>
        </w:rPr>
        <w:t>T. Magwaliba</w:t>
      </w:r>
      <w:r w:rsidRPr="001F14E6">
        <w:rPr>
          <w:rFonts w:ascii="Times New Roman" w:hAnsi="Times New Roman" w:cs="Times New Roman"/>
          <w:sz w:val="24"/>
          <w:szCs w:val="24"/>
          <w:lang w:val="en-US"/>
        </w:rPr>
        <w:t>, for the respondent</w:t>
      </w:r>
    </w:p>
    <w:p w:rsidR="00641CD7" w:rsidRPr="001F14E6" w:rsidRDefault="00641CD7" w:rsidP="00AE2DE4">
      <w:pPr>
        <w:pStyle w:val="NoSpacing"/>
        <w:jc w:val="both"/>
        <w:rPr>
          <w:rFonts w:ascii="Times New Roman" w:hAnsi="Times New Roman" w:cs="Times New Roman"/>
          <w:sz w:val="24"/>
          <w:szCs w:val="24"/>
          <w:lang w:val="en-US"/>
        </w:rPr>
      </w:pPr>
    </w:p>
    <w:p w:rsidR="00D70ED0" w:rsidRPr="001F14E6" w:rsidRDefault="00D70ED0" w:rsidP="00AE2DE4">
      <w:pPr>
        <w:pStyle w:val="NoSpacing"/>
        <w:jc w:val="both"/>
        <w:rPr>
          <w:rFonts w:ascii="Times New Roman" w:hAnsi="Times New Roman" w:cs="Times New Roman"/>
          <w:sz w:val="24"/>
          <w:szCs w:val="24"/>
          <w:lang w:val="en-US"/>
        </w:rPr>
      </w:pPr>
    </w:p>
    <w:p w:rsidR="00D70ED0" w:rsidRPr="001F14E6" w:rsidRDefault="00D70ED0"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r>
      <w:r w:rsidRPr="001F14E6">
        <w:rPr>
          <w:rFonts w:ascii="Times New Roman" w:hAnsi="Times New Roman" w:cs="Times New Roman"/>
          <w:b/>
          <w:sz w:val="24"/>
          <w:szCs w:val="24"/>
          <w:lang w:val="en-US"/>
        </w:rPr>
        <w:t xml:space="preserve">NDOU </w:t>
      </w:r>
      <w:r w:rsidR="00DE5EB0" w:rsidRPr="001F14E6">
        <w:rPr>
          <w:rFonts w:ascii="Times New Roman" w:hAnsi="Times New Roman" w:cs="Times New Roman"/>
          <w:b/>
          <w:sz w:val="24"/>
          <w:szCs w:val="24"/>
          <w:lang w:val="en-US"/>
        </w:rPr>
        <w:t>A</w:t>
      </w:r>
      <w:r w:rsidRPr="001F14E6">
        <w:rPr>
          <w:rFonts w:ascii="Times New Roman" w:hAnsi="Times New Roman" w:cs="Times New Roman"/>
          <w:b/>
          <w:sz w:val="24"/>
          <w:szCs w:val="24"/>
          <w:lang w:val="en-US"/>
        </w:rPr>
        <w:t>J:</w:t>
      </w:r>
      <w:r w:rsidRPr="001F14E6">
        <w:rPr>
          <w:rFonts w:ascii="Times New Roman" w:hAnsi="Times New Roman" w:cs="Times New Roman"/>
          <w:b/>
          <w:sz w:val="24"/>
          <w:szCs w:val="24"/>
          <w:lang w:val="en-US"/>
        </w:rPr>
        <w:tab/>
      </w:r>
      <w:r w:rsidR="00C250C4" w:rsidRPr="001F14E6">
        <w:rPr>
          <w:rFonts w:ascii="Times New Roman" w:hAnsi="Times New Roman" w:cs="Times New Roman"/>
          <w:sz w:val="24"/>
          <w:szCs w:val="24"/>
          <w:lang w:val="en-US"/>
        </w:rPr>
        <w:t>The respondent is a body corporate established in term</w:t>
      </w:r>
      <w:r w:rsidR="00641CD7">
        <w:rPr>
          <w:rFonts w:ascii="Times New Roman" w:hAnsi="Times New Roman" w:cs="Times New Roman"/>
          <w:sz w:val="24"/>
          <w:szCs w:val="24"/>
          <w:lang w:val="en-US"/>
        </w:rPr>
        <w:t>s of the Revenue Authority Act [</w:t>
      </w:r>
      <w:r w:rsidR="00641CD7" w:rsidRPr="00641CD7">
        <w:rPr>
          <w:rFonts w:ascii="Times New Roman" w:hAnsi="Times New Roman" w:cs="Times New Roman"/>
          <w:i/>
          <w:sz w:val="24"/>
          <w:szCs w:val="24"/>
          <w:lang w:val="en-US"/>
        </w:rPr>
        <w:t>Chapter 23:11</w:t>
      </w:r>
      <w:r w:rsidR="00641CD7">
        <w:rPr>
          <w:rFonts w:ascii="Times New Roman" w:hAnsi="Times New Roman" w:cs="Times New Roman"/>
          <w:sz w:val="24"/>
          <w:szCs w:val="24"/>
          <w:lang w:val="en-US"/>
        </w:rPr>
        <w:t>]</w:t>
      </w:r>
      <w:r w:rsidR="00C250C4" w:rsidRPr="001F14E6">
        <w:rPr>
          <w:rFonts w:ascii="Times New Roman" w:hAnsi="Times New Roman" w:cs="Times New Roman"/>
          <w:sz w:val="24"/>
          <w:szCs w:val="24"/>
          <w:lang w:val="en-US"/>
        </w:rPr>
        <w:t xml:space="preserve">.  It is an administrative authority responsible for revenue collection, inter alia, in terms of the </w:t>
      </w:r>
      <w:r w:rsidR="00641CD7">
        <w:rPr>
          <w:rFonts w:ascii="Times New Roman" w:hAnsi="Times New Roman" w:cs="Times New Roman"/>
          <w:sz w:val="24"/>
          <w:szCs w:val="24"/>
          <w:lang w:val="en-US"/>
        </w:rPr>
        <w:t>Income Tax Act [</w:t>
      </w:r>
      <w:r w:rsidR="00641CD7" w:rsidRPr="00641CD7">
        <w:rPr>
          <w:rFonts w:ascii="Times New Roman" w:hAnsi="Times New Roman" w:cs="Times New Roman"/>
          <w:i/>
          <w:sz w:val="24"/>
          <w:szCs w:val="24"/>
          <w:lang w:val="en-US"/>
        </w:rPr>
        <w:t>Chapter 23:08</w:t>
      </w:r>
      <w:r w:rsidR="00641CD7">
        <w:rPr>
          <w:rFonts w:ascii="Times New Roman" w:hAnsi="Times New Roman" w:cs="Times New Roman"/>
          <w:sz w:val="24"/>
          <w:szCs w:val="24"/>
          <w:lang w:val="en-US"/>
        </w:rPr>
        <w:t>]</w:t>
      </w:r>
      <w:r w:rsidR="00C250C4" w:rsidRPr="001F14E6">
        <w:rPr>
          <w:rFonts w:ascii="Times New Roman" w:hAnsi="Times New Roman" w:cs="Times New Roman"/>
          <w:sz w:val="24"/>
          <w:szCs w:val="24"/>
          <w:lang w:val="en-US"/>
        </w:rPr>
        <w:t xml:space="preserve"> (herein referred to as the Act).</w:t>
      </w:r>
    </w:p>
    <w:p w:rsidR="00C250C4" w:rsidRPr="001F14E6" w:rsidRDefault="00DE5EB0"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taxation system involves</w:t>
      </w:r>
      <w:r w:rsidR="00C250C4" w:rsidRPr="001F14E6">
        <w:rPr>
          <w:rFonts w:ascii="Times New Roman" w:hAnsi="Times New Roman" w:cs="Times New Roman"/>
          <w:sz w:val="24"/>
          <w:szCs w:val="24"/>
          <w:lang w:val="en-US"/>
        </w:rPr>
        <w:t xml:space="preserve"> submission of self-assessment returns by certain categories of tax payers of which the appellant is one of them.</w:t>
      </w:r>
    </w:p>
    <w:p w:rsidR="00C250C4" w:rsidRPr="001F14E6" w:rsidRDefault="00C250C4"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respondent carries out periodic audits and investigations on tax payers to ensure full compliance with the Act since it does not have the capacity to scrutinize every self-assessment return submitted by tax payers.</w:t>
      </w:r>
    </w:p>
    <w:p w:rsidR="00C250C4" w:rsidRPr="001F14E6" w:rsidRDefault="00C250C4"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respondent embarked on an investigation of the appellant, which is in the business of making and selling bread in the country, to check and confirm if the appellant was compliant with the provisions of the Act.</w:t>
      </w:r>
    </w:p>
    <w:p w:rsidR="00C250C4" w:rsidRPr="001F14E6" w:rsidRDefault="00C250C4"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From these investigations the respondent was concerned by a number of issues.  I will revert to these issues later in this judgment.</w:t>
      </w:r>
    </w:p>
    <w:p w:rsidR="00C250C4" w:rsidRPr="001F14E6" w:rsidRDefault="00C250C4"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 xml:space="preserve">The appellant, IAB, is a wholly owned </w:t>
      </w:r>
      <w:r w:rsidR="00B4690C" w:rsidRPr="001F14E6">
        <w:rPr>
          <w:rFonts w:ascii="Times New Roman" w:hAnsi="Times New Roman" w:cs="Times New Roman"/>
          <w:sz w:val="24"/>
          <w:szCs w:val="24"/>
          <w:lang w:val="en-US"/>
        </w:rPr>
        <w:t xml:space="preserve">subsidiary of IAL, where IAL holds all the ordinary shares.  IAL is a diversified conglomerate operating a management and investment holding company for its subsidiaries and associate companies.  IAL is incorporated in Zimbabwe and listed in the Zimbabwe Stock Exchange.  The </w:t>
      </w:r>
      <w:r w:rsidR="00C817D1" w:rsidRPr="001F14E6">
        <w:rPr>
          <w:rFonts w:ascii="Times New Roman" w:hAnsi="Times New Roman" w:cs="Times New Roman"/>
          <w:sz w:val="24"/>
          <w:szCs w:val="24"/>
          <w:lang w:val="en-US"/>
        </w:rPr>
        <w:t xml:space="preserve">IAL </w:t>
      </w:r>
      <w:r w:rsidR="00B4690C" w:rsidRPr="001F14E6">
        <w:rPr>
          <w:rFonts w:ascii="Times New Roman" w:hAnsi="Times New Roman" w:cs="Times New Roman"/>
          <w:sz w:val="24"/>
          <w:szCs w:val="24"/>
          <w:lang w:val="en-US"/>
        </w:rPr>
        <w:t xml:space="preserve">Group is involved in the manufacturing, procurement, distribution and marketing of commodities for its food </w:t>
      </w:r>
      <w:r w:rsidR="00B4690C" w:rsidRPr="001F14E6">
        <w:rPr>
          <w:rFonts w:ascii="Times New Roman" w:hAnsi="Times New Roman" w:cs="Times New Roman"/>
          <w:sz w:val="24"/>
          <w:szCs w:val="24"/>
          <w:lang w:val="en-US"/>
        </w:rPr>
        <w:lastRenderedPageBreak/>
        <w:t xml:space="preserve">manufacturing, </w:t>
      </w:r>
      <w:r w:rsidR="00C817D1" w:rsidRPr="001F14E6">
        <w:rPr>
          <w:rFonts w:ascii="Times New Roman" w:hAnsi="Times New Roman" w:cs="Times New Roman"/>
          <w:sz w:val="24"/>
          <w:szCs w:val="24"/>
          <w:lang w:val="en-US"/>
        </w:rPr>
        <w:t xml:space="preserve">supermarket and restaurant divisions </w:t>
      </w:r>
      <w:r w:rsidR="00016DF6" w:rsidRPr="001F14E6">
        <w:rPr>
          <w:rFonts w:ascii="Times New Roman" w:hAnsi="Times New Roman" w:cs="Times New Roman"/>
          <w:sz w:val="24"/>
          <w:szCs w:val="24"/>
          <w:lang w:val="en-US"/>
        </w:rPr>
        <w:t>and</w:t>
      </w:r>
      <w:r w:rsidR="00C817D1" w:rsidRPr="001F14E6">
        <w:rPr>
          <w:rFonts w:ascii="Times New Roman" w:hAnsi="Times New Roman" w:cs="Times New Roman"/>
          <w:sz w:val="24"/>
          <w:szCs w:val="24"/>
          <w:lang w:val="en-US"/>
        </w:rPr>
        <w:t xml:space="preserve"> the provision of managerial and </w:t>
      </w:r>
      <w:r w:rsidR="004F1FCA" w:rsidRPr="001F14E6">
        <w:rPr>
          <w:rFonts w:ascii="Times New Roman" w:hAnsi="Times New Roman" w:cs="Times New Roman"/>
          <w:sz w:val="24"/>
          <w:szCs w:val="24"/>
          <w:lang w:val="en-US"/>
        </w:rPr>
        <w:t xml:space="preserve">entrepreneurial </w:t>
      </w:r>
      <w:r w:rsidR="00B4690C" w:rsidRPr="001F14E6">
        <w:rPr>
          <w:rFonts w:ascii="Times New Roman" w:hAnsi="Times New Roman" w:cs="Times New Roman"/>
          <w:sz w:val="24"/>
          <w:szCs w:val="24"/>
          <w:lang w:val="en-US"/>
        </w:rPr>
        <w:t>skills.  The activities are undertaken through various group operating divisions and companies</w:t>
      </w:r>
      <w:r w:rsidR="00016DF6" w:rsidRPr="001F14E6">
        <w:rPr>
          <w:rFonts w:ascii="Times New Roman" w:hAnsi="Times New Roman" w:cs="Times New Roman"/>
          <w:sz w:val="24"/>
          <w:szCs w:val="24"/>
          <w:lang w:val="en-US"/>
        </w:rPr>
        <w:t>.  A</w:t>
      </w:r>
      <w:r w:rsidR="00B4690C" w:rsidRPr="001F14E6">
        <w:rPr>
          <w:rFonts w:ascii="Times New Roman" w:hAnsi="Times New Roman" w:cs="Times New Roman"/>
          <w:sz w:val="24"/>
          <w:szCs w:val="24"/>
          <w:lang w:val="en-US"/>
        </w:rPr>
        <w:t xml:space="preserve">s alluded to above, the appellant is a private limited company specializing </w:t>
      </w:r>
      <w:r w:rsidR="001252E4" w:rsidRPr="001F14E6">
        <w:rPr>
          <w:rFonts w:ascii="Times New Roman" w:hAnsi="Times New Roman" w:cs="Times New Roman"/>
          <w:sz w:val="24"/>
          <w:szCs w:val="24"/>
          <w:lang w:val="en-US"/>
        </w:rPr>
        <w:t xml:space="preserve">in the production and </w:t>
      </w:r>
      <w:r w:rsidR="00B4690C" w:rsidRPr="001F14E6">
        <w:rPr>
          <w:rFonts w:ascii="Times New Roman" w:hAnsi="Times New Roman" w:cs="Times New Roman"/>
          <w:sz w:val="24"/>
          <w:szCs w:val="24"/>
          <w:lang w:val="en-US"/>
        </w:rPr>
        <w:t xml:space="preserve">distribution of bread.  It began operations as a small division of IAL until 2010, when it was incorporated as a subsidiary in terms of a ZIMRA approved scheme of reconstruction.  The effective date of the transaction was 1 </w:t>
      </w:r>
      <w:r w:rsidR="001252E4" w:rsidRPr="001F14E6">
        <w:rPr>
          <w:rFonts w:ascii="Times New Roman" w:hAnsi="Times New Roman" w:cs="Times New Roman"/>
          <w:sz w:val="24"/>
          <w:szCs w:val="24"/>
          <w:lang w:val="en-US"/>
        </w:rPr>
        <w:t>J</w:t>
      </w:r>
      <w:r w:rsidR="00B4690C" w:rsidRPr="001F14E6">
        <w:rPr>
          <w:rFonts w:ascii="Times New Roman" w:hAnsi="Times New Roman" w:cs="Times New Roman"/>
          <w:sz w:val="24"/>
          <w:szCs w:val="24"/>
          <w:lang w:val="en-US"/>
        </w:rPr>
        <w:t>anuary 2010.  IAL comprises of a team of functional experts with experience and technical expertise, working to support the operations of the group companies and divisions, inc</w:t>
      </w:r>
      <w:r w:rsidR="001252E4" w:rsidRPr="001F14E6">
        <w:rPr>
          <w:rFonts w:ascii="Times New Roman" w:hAnsi="Times New Roman" w:cs="Times New Roman"/>
          <w:sz w:val="24"/>
          <w:szCs w:val="24"/>
          <w:lang w:val="en-US"/>
        </w:rPr>
        <w:t>l</w:t>
      </w:r>
      <w:r w:rsidR="00B4690C" w:rsidRPr="001F14E6">
        <w:rPr>
          <w:rFonts w:ascii="Times New Roman" w:hAnsi="Times New Roman" w:cs="Times New Roman"/>
          <w:sz w:val="24"/>
          <w:szCs w:val="24"/>
          <w:lang w:val="en-US"/>
        </w:rPr>
        <w:t>uding the appellant, through the provision of management support services in terms of the Service Level Assessment (“SLA”).  Through its shared service centre, IAL acts as centre of excellence constituting of a team of people that provide collaboration and use of best practice around specific focus areas to drive business results, as reflected in the appellant’s overall increased production and financial indicators.</w:t>
      </w:r>
    </w:p>
    <w:p w:rsidR="00B4690C" w:rsidRPr="001F14E6" w:rsidRDefault="00B4690C"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r>
      <w:r w:rsidR="00E16ED3" w:rsidRPr="001F14E6">
        <w:rPr>
          <w:rFonts w:ascii="Times New Roman" w:hAnsi="Times New Roman" w:cs="Times New Roman"/>
          <w:sz w:val="24"/>
          <w:szCs w:val="24"/>
          <w:lang w:val="en-US"/>
        </w:rPr>
        <w:t>Th</w:t>
      </w:r>
      <w:r w:rsidR="009D1065" w:rsidRPr="001F14E6">
        <w:rPr>
          <w:rFonts w:ascii="Times New Roman" w:hAnsi="Times New Roman" w:cs="Times New Roman"/>
          <w:sz w:val="24"/>
          <w:szCs w:val="24"/>
          <w:lang w:val="en-US"/>
        </w:rPr>
        <w:t>e</w:t>
      </w:r>
      <w:r w:rsidR="00E16ED3" w:rsidRPr="001F14E6">
        <w:rPr>
          <w:rFonts w:ascii="Times New Roman" w:hAnsi="Times New Roman" w:cs="Times New Roman"/>
          <w:sz w:val="24"/>
          <w:szCs w:val="24"/>
          <w:lang w:val="en-US"/>
        </w:rPr>
        <w:t xml:space="preserve"> shared services team operates in the following areas</w:t>
      </w:r>
      <w:r w:rsidR="00286B1D" w:rsidRPr="001F14E6">
        <w:rPr>
          <w:rFonts w:ascii="Times New Roman" w:hAnsi="Times New Roman" w:cs="Times New Roman"/>
          <w:sz w:val="24"/>
          <w:szCs w:val="24"/>
          <w:lang w:val="en-US"/>
        </w:rPr>
        <w:t>;</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Strategy and corporate  finance;</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Group corporate affairs executive;</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Financial reporting</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Procurement</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Legal</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Tax</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Internal audit; and</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Treasury</w:t>
      </w:r>
    </w:p>
    <w:p w:rsidR="009D1065" w:rsidRPr="001F14E6" w:rsidRDefault="009D1065" w:rsidP="00641CD7">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Coming back to the investigations carried out on the appellant’s tax affairs, the respondent concluded the following:</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appellant was giving at least three (3) loaves of bread per week to both its factory and administrative employees.  This was a benefit that the employees were getting as a result of the employment relationship.  The appellant was not subjecting the bread benefit to taxation in the hands of the employee.</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appellant operates a canteen where meals are prepared and served to all its employees for free.  This was another benefit that the employees were getting.  Again the appellant was not subjecting this benefit to tax in the hands of the employees.</w:t>
      </w:r>
    </w:p>
    <w:p w:rsidR="009D1065" w:rsidRPr="001F14E6" w:rsidRDefault="009D1065"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Value Added Tax:  In</w:t>
      </w:r>
      <w:r w:rsidR="009E7A40" w:rsidRPr="001F14E6">
        <w:rPr>
          <w:rFonts w:ascii="Times New Roman" w:hAnsi="Times New Roman" w:cs="Times New Roman"/>
          <w:sz w:val="24"/>
          <w:szCs w:val="24"/>
          <w:lang w:val="en-US"/>
        </w:rPr>
        <w:t xml:space="preserve"> part Tax was being wrongfully claimed by the appellant in respect of duplicate invoices.</w:t>
      </w:r>
    </w:p>
    <w:p w:rsidR="009E7A40" w:rsidRPr="001F14E6" w:rsidRDefault="009E7A40"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lastRenderedPageBreak/>
        <w:t>Pre-determined management fees expenses were being claimed as a deduction against income which the appellant failed to substantiate and submit documentary proof confirming that there were management services actually rendered by its parent company IAL.  Neither could they provide the cost build-up of the pre-claimed fee.</w:t>
      </w:r>
    </w:p>
    <w:p w:rsidR="009E7A40" w:rsidRPr="001F14E6" w:rsidRDefault="009E7A40"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Capital Allowances were being claimed for an electricity deducted feeder which the respondent believed belonged to ZETDC.</w:t>
      </w:r>
    </w:p>
    <w:p w:rsidR="009E7A40" w:rsidRPr="001F14E6" w:rsidRDefault="009E7A40" w:rsidP="00641CD7">
      <w:pPr>
        <w:pStyle w:val="ListParagraph"/>
        <w:numPr>
          <w:ilvl w:val="0"/>
          <w:numId w:val="1"/>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Non-resident tax on fees was not being withheld on technical fees that were being paid to foreigners who were attending to their bread plant.</w:t>
      </w:r>
    </w:p>
    <w:p w:rsidR="009E7A40" w:rsidRPr="001F14E6" w:rsidRDefault="009E7A40" w:rsidP="00641CD7">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The respondent proceeded to tax the bread benefit and canteen meals benefit in the hands of the </w:t>
      </w:r>
      <w:r w:rsidR="00C57DFF"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mployees.  It also proceeded to disallow the input tax on duplicated invoices from its VAT computations.  NRTF was computed and charged.  The respondent also disallowed management fees and canteen meals expenditure from the income tax computations.  Assessments were duly issued to correct these anomalies on 17 July 2017 in respect of 2010, 2011, 2012, 2013, 2014 and 2015 tax years.  The appellant agreed to have the input tax claims disallowed from the VAT returns.  The appellant also agreed to have the bread benefit taxed in the hands of the employees.  The on-resident tax on fees was not disputed.  As for the canteen meals benefit the appellant only agreed to have the administrative staff ta</w:t>
      </w:r>
      <w:r w:rsidR="00C57DFF" w:rsidRPr="001F14E6">
        <w:rPr>
          <w:rFonts w:ascii="Times New Roman" w:hAnsi="Times New Roman" w:cs="Times New Roman"/>
          <w:sz w:val="24"/>
          <w:szCs w:val="24"/>
          <w:lang w:val="en-US"/>
        </w:rPr>
        <w:t>x</w:t>
      </w:r>
      <w:r w:rsidRPr="001F14E6">
        <w:rPr>
          <w:rFonts w:ascii="Times New Roman" w:hAnsi="Times New Roman" w:cs="Times New Roman"/>
          <w:sz w:val="24"/>
          <w:szCs w:val="24"/>
          <w:lang w:val="en-US"/>
        </w:rPr>
        <w:t>ed on such meals.</w:t>
      </w:r>
    </w:p>
    <w:p w:rsidR="009E7A40" w:rsidRPr="001F14E6" w:rsidRDefault="009E7A40"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Four issues have remained in contention between the parties, na</w:t>
      </w:r>
      <w:r w:rsidR="00C57DFF" w:rsidRPr="001F14E6">
        <w:rPr>
          <w:rFonts w:ascii="Times New Roman" w:hAnsi="Times New Roman" w:cs="Times New Roman"/>
          <w:sz w:val="24"/>
          <w:szCs w:val="24"/>
          <w:lang w:val="en-US"/>
        </w:rPr>
        <w:t>m</w:t>
      </w:r>
      <w:r w:rsidRPr="001F14E6">
        <w:rPr>
          <w:rFonts w:ascii="Times New Roman" w:hAnsi="Times New Roman" w:cs="Times New Roman"/>
          <w:sz w:val="24"/>
          <w:szCs w:val="24"/>
          <w:lang w:val="en-US"/>
        </w:rPr>
        <w:t>ely, (1) the taxation of meals benefit for factory workers, (2) the dedu</w:t>
      </w:r>
      <w:r w:rsidR="00C57DFF" w:rsidRPr="001F14E6">
        <w:rPr>
          <w:rFonts w:ascii="Times New Roman" w:hAnsi="Times New Roman" w:cs="Times New Roman"/>
          <w:sz w:val="24"/>
          <w:szCs w:val="24"/>
          <w:lang w:val="en-US"/>
        </w:rPr>
        <w:t>ctibility of canteen meals expense against income in the hands of the appellant (3) the deductibility of the management fees against income and (4) the claiming of capital allowances for the dedicated feeder.  On 18 July 2017, the appellant lodged an objection to the amended assessments in terms of s62 of the Act.  In that objection, the appellant raised s</w:t>
      </w:r>
      <w:r w:rsidR="003B44A9" w:rsidRPr="001F14E6">
        <w:rPr>
          <w:rFonts w:ascii="Times New Roman" w:hAnsi="Times New Roman" w:cs="Times New Roman"/>
          <w:sz w:val="24"/>
          <w:szCs w:val="24"/>
          <w:lang w:val="en-US"/>
        </w:rPr>
        <w:t>even (7) grounds of objections as follows:</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Prescription of additional assessment for 2010;</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Disallowance of management fees;</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Disallowance of canteen meals</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Taxing of canteen meals provided for factory workers;</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Disallowance of capital allowances claimed in respect of the dedicated feeder;</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Directive to effect some adjustments highlighted und</w:t>
      </w:r>
      <w:r w:rsidR="002A42B3"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r (i) to (v) for 2016 and 2017;</w:t>
      </w:r>
    </w:p>
    <w:p w:rsidR="003B44A9" w:rsidRPr="001F14E6" w:rsidRDefault="003B44A9" w:rsidP="00641CD7">
      <w:pPr>
        <w:pStyle w:val="ListParagraph"/>
        <w:numPr>
          <w:ilvl w:val="0"/>
          <w:numId w:val="4"/>
        </w:num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Penalty and interest charged.</w:t>
      </w:r>
    </w:p>
    <w:p w:rsidR="003B44A9" w:rsidRPr="001F14E6" w:rsidRDefault="003B44A9" w:rsidP="00641CD7">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The Commissioner considered these grounds of objection and disallowed six grounds of objection </w:t>
      </w:r>
      <w:r w:rsidR="00262BCF" w:rsidRPr="001F14E6">
        <w:rPr>
          <w:rFonts w:ascii="Times New Roman" w:hAnsi="Times New Roman" w:cs="Times New Roman"/>
          <w:sz w:val="24"/>
          <w:szCs w:val="24"/>
          <w:lang w:val="en-US"/>
        </w:rPr>
        <w:t>i</w:t>
      </w:r>
      <w:r w:rsidRPr="001F14E6">
        <w:rPr>
          <w:rFonts w:ascii="Times New Roman" w:hAnsi="Times New Roman" w:cs="Times New Roman"/>
          <w:sz w:val="24"/>
          <w:szCs w:val="24"/>
          <w:lang w:val="en-US"/>
        </w:rPr>
        <w:t xml:space="preserve">n full and allowed in full one ground relating to the dedicated feeder after it was </w:t>
      </w:r>
      <w:r w:rsidRPr="001F14E6">
        <w:rPr>
          <w:rFonts w:ascii="Times New Roman" w:hAnsi="Times New Roman" w:cs="Times New Roman"/>
          <w:sz w:val="24"/>
          <w:szCs w:val="24"/>
          <w:lang w:val="en-US"/>
        </w:rPr>
        <w:lastRenderedPageBreak/>
        <w:t>proved that the feeder belonged to the appellant.  This led the appellant to lodge the present appe</w:t>
      </w:r>
      <w:r w:rsidR="002A42B3"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l b</w:t>
      </w:r>
      <w:r w:rsidR="002A42B3"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for</w:t>
      </w:r>
      <w:r w:rsidR="002A42B3"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 xml:space="preserve"> this court in terms of s65 of the Act.  Despite the voluminous and intimidating documents which have been filed in this appeal, the issues for determination are fairly straight forward and simple.</w:t>
      </w:r>
    </w:p>
    <w:p w:rsidR="003B44A9" w:rsidRPr="001F14E6" w:rsidRDefault="003B44A9" w:rsidP="00641CD7">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issues were set out in a joint pre-hearing minute</w:t>
      </w:r>
      <w:r w:rsidR="002A42B3" w:rsidRPr="001F14E6">
        <w:rPr>
          <w:rFonts w:ascii="Times New Roman" w:hAnsi="Times New Roman" w:cs="Times New Roman"/>
          <w:sz w:val="24"/>
          <w:szCs w:val="24"/>
          <w:lang w:val="en-US"/>
        </w:rPr>
        <w:t xml:space="preserve"> executed between the parties on 14 January 2020.  Thes</w:t>
      </w:r>
      <w:r w:rsidR="00D07B1B" w:rsidRPr="001F14E6">
        <w:rPr>
          <w:rFonts w:ascii="Times New Roman" w:hAnsi="Times New Roman" w:cs="Times New Roman"/>
          <w:sz w:val="24"/>
          <w:szCs w:val="24"/>
          <w:lang w:val="en-US"/>
        </w:rPr>
        <w:t>e</w:t>
      </w:r>
      <w:r w:rsidR="002A42B3" w:rsidRPr="001F14E6">
        <w:rPr>
          <w:rFonts w:ascii="Times New Roman" w:hAnsi="Times New Roman" w:cs="Times New Roman"/>
          <w:sz w:val="24"/>
          <w:szCs w:val="24"/>
          <w:lang w:val="en-US"/>
        </w:rPr>
        <w:t xml:space="preserve"> are the following:</w:t>
      </w:r>
    </w:p>
    <w:p w:rsidR="002A42B3" w:rsidRPr="001F14E6" w:rsidRDefault="002A42B3"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Whether the Commissioner of t</w:t>
      </w:r>
      <w:r w:rsidR="00D07B1B" w:rsidRPr="001F14E6">
        <w:rPr>
          <w:rFonts w:ascii="Times New Roman" w:hAnsi="Times New Roman" w:cs="Times New Roman"/>
          <w:sz w:val="24"/>
          <w:szCs w:val="24"/>
          <w:lang w:val="en-US"/>
        </w:rPr>
        <w:t>h</w:t>
      </w:r>
      <w:r w:rsidRPr="001F14E6">
        <w:rPr>
          <w:rFonts w:ascii="Times New Roman" w:hAnsi="Times New Roman" w:cs="Times New Roman"/>
          <w:sz w:val="24"/>
          <w:szCs w:val="24"/>
          <w:lang w:val="en-US"/>
        </w:rPr>
        <w:t>e respondent was entitled to adjust the 2010 tax year assessments in terms of s47 of the Act, after the prescription period of six (6) years had expired?</w:t>
      </w:r>
    </w:p>
    <w:p w:rsidR="002A42B3" w:rsidRPr="001F14E6" w:rsidRDefault="002A42B3"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Whether the appellant received management services from IAL during the period extending from the tax year 2010 to the tax year 2015?</w:t>
      </w:r>
    </w:p>
    <w:p w:rsidR="002A42B3" w:rsidRPr="001F14E6" w:rsidRDefault="002A42B3"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 the event that the appellant received management services from IAL, whether the full amount of the fees or any portion thereof are deductible in computing the income tax liability of the appellant in each of the tax years in issue?</w:t>
      </w:r>
    </w:p>
    <w:p w:rsidR="002A42B3" w:rsidRPr="001F14E6" w:rsidRDefault="002A42B3"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Whether the value of canteen meals provided by the appellant to its factory workers constituted gross income</w:t>
      </w:r>
      <w:r w:rsidR="00D07B1B" w:rsidRPr="001F14E6">
        <w:rPr>
          <w:rFonts w:ascii="Times New Roman" w:hAnsi="Times New Roman" w:cs="Times New Roman"/>
          <w:sz w:val="24"/>
          <w:szCs w:val="24"/>
          <w:lang w:val="en-US"/>
        </w:rPr>
        <w:t xml:space="preserve"> in the hands of those factory workers in terms of s8 (1) (f) of the Act and therefore liable to PAYE.</w:t>
      </w:r>
    </w:p>
    <w:p w:rsidR="00D07B1B" w:rsidRPr="001F14E6" w:rsidRDefault="00D07B1B"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Whether or not the appellant was entitled to deduct the expenditure incurred by it in the provision of canteen meals to its factory workers, in terms of s15 (2) (a) of the Act?</w:t>
      </w:r>
    </w:p>
    <w:p w:rsidR="00D07B1B" w:rsidRPr="001F14E6" w:rsidRDefault="003A379F" w:rsidP="00641CD7">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Whether in the circumstances, the 30% penalty levied by the respondent was appropriate?</w:t>
      </w:r>
    </w:p>
    <w:p w:rsidR="003A379F" w:rsidRPr="001F14E6" w:rsidRDefault="003A379F" w:rsidP="00641CD7">
      <w:pPr>
        <w:pStyle w:val="ListParagraph"/>
        <w:spacing w:after="0"/>
        <w:ind w:left="1080"/>
        <w:jc w:val="both"/>
        <w:rPr>
          <w:rFonts w:ascii="Times New Roman" w:hAnsi="Times New Roman" w:cs="Times New Roman"/>
          <w:sz w:val="24"/>
          <w:szCs w:val="24"/>
          <w:lang w:val="en-US"/>
        </w:rPr>
      </w:pPr>
    </w:p>
    <w:p w:rsidR="003A379F" w:rsidRPr="001F14E6" w:rsidRDefault="003A379F" w:rsidP="00641CD7">
      <w:pPr>
        <w:pStyle w:val="ListParagraph"/>
        <w:numPr>
          <w:ilvl w:val="0"/>
          <w:numId w:val="6"/>
        </w:numPr>
        <w:spacing w:after="0"/>
        <w:jc w:val="both"/>
        <w:rPr>
          <w:rFonts w:ascii="Times New Roman" w:hAnsi="Times New Roman" w:cs="Times New Roman"/>
          <w:sz w:val="24"/>
          <w:szCs w:val="24"/>
          <w:u w:val="single"/>
          <w:lang w:val="en-US"/>
        </w:rPr>
      </w:pPr>
      <w:r w:rsidRPr="001F14E6">
        <w:rPr>
          <w:rFonts w:ascii="Times New Roman" w:hAnsi="Times New Roman" w:cs="Times New Roman"/>
          <w:sz w:val="24"/>
          <w:szCs w:val="24"/>
          <w:u w:val="single"/>
          <w:lang w:val="en-US"/>
        </w:rPr>
        <w:t>The decision by the respondent not to lead evidence</w:t>
      </w:r>
    </w:p>
    <w:p w:rsidR="003B44A9" w:rsidRPr="001F14E6" w:rsidRDefault="003A379F" w:rsidP="00C25898">
      <w:pPr>
        <w:spacing w:after="0" w:line="360" w:lineRule="auto"/>
        <w:ind w:left="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It is trite that the onus lies on the tax payer to show that the Commissioner’s opinion or satisfaction was wrong – see s63 of the Act and </w:t>
      </w:r>
      <w:r w:rsidRPr="001F14E6">
        <w:rPr>
          <w:rFonts w:ascii="Times New Roman" w:hAnsi="Times New Roman" w:cs="Times New Roman"/>
          <w:i/>
          <w:sz w:val="24"/>
          <w:szCs w:val="24"/>
          <w:lang w:val="en-US"/>
        </w:rPr>
        <w:t>CF (Pvt) Ltd</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ZIMRA</w:t>
      </w:r>
      <w:r w:rsidRPr="001F14E6">
        <w:rPr>
          <w:rFonts w:ascii="Times New Roman" w:hAnsi="Times New Roman" w:cs="Times New Roman"/>
          <w:sz w:val="24"/>
          <w:szCs w:val="24"/>
          <w:lang w:val="en-US"/>
        </w:rPr>
        <w:t xml:space="preserve"> HH-99-18 at p24.  S63 affirms the common law position as set out in </w:t>
      </w:r>
      <w:r w:rsidRPr="001F14E6">
        <w:rPr>
          <w:rFonts w:ascii="Times New Roman" w:hAnsi="Times New Roman" w:cs="Times New Roman"/>
          <w:i/>
          <w:sz w:val="24"/>
          <w:szCs w:val="24"/>
          <w:lang w:val="en-US"/>
        </w:rPr>
        <w:t>Pillay</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Krishna</w:t>
      </w:r>
      <w:r w:rsidRPr="001F14E6">
        <w:rPr>
          <w:rFonts w:ascii="Times New Roman" w:hAnsi="Times New Roman" w:cs="Times New Roman"/>
          <w:sz w:val="24"/>
          <w:szCs w:val="24"/>
          <w:lang w:val="en-US"/>
        </w:rPr>
        <w:t xml:space="preserve"> 1946 AD 946 at 951-2 as follows:</w:t>
      </w:r>
    </w:p>
    <w:p w:rsidR="00630434" w:rsidRPr="00C25898" w:rsidRDefault="00630434" w:rsidP="00C25898">
      <w:pPr>
        <w:pStyle w:val="NoSpacing"/>
        <w:ind w:left="1440"/>
        <w:jc w:val="both"/>
        <w:rPr>
          <w:rFonts w:ascii="Times New Roman" w:hAnsi="Times New Roman" w:cs="Times New Roman"/>
          <w:lang w:val="en-US"/>
        </w:rPr>
      </w:pPr>
      <w:r w:rsidRPr="00C25898">
        <w:rPr>
          <w:rFonts w:ascii="Times New Roman" w:hAnsi="Times New Roman" w:cs="Times New Roman"/>
          <w:lang w:val="en-US"/>
        </w:rPr>
        <w:t xml:space="preserve">“If one person claims something from another in a court of law, he has to satisfy the court that he is entitled to it …. But there is a third rule, which </w:t>
      </w:r>
      <w:r w:rsidRPr="00C25898">
        <w:rPr>
          <w:rFonts w:ascii="Times New Roman" w:hAnsi="Times New Roman" w:cs="Times New Roman"/>
          <w:i/>
          <w:lang w:val="en-US"/>
        </w:rPr>
        <w:t>Voet</w:t>
      </w:r>
      <w:r w:rsidRPr="00C25898">
        <w:rPr>
          <w:rFonts w:ascii="Times New Roman" w:hAnsi="Times New Roman" w:cs="Times New Roman"/>
          <w:lang w:val="en-US"/>
        </w:rPr>
        <w:t xml:space="preserve"> states as follows:</w:t>
      </w:r>
    </w:p>
    <w:p w:rsidR="00630434" w:rsidRPr="00C25898" w:rsidRDefault="00641CD7" w:rsidP="00C25898">
      <w:pPr>
        <w:pStyle w:val="NoSpacing"/>
        <w:ind w:left="1440"/>
        <w:jc w:val="both"/>
        <w:rPr>
          <w:rFonts w:ascii="Times New Roman" w:hAnsi="Times New Roman" w:cs="Times New Roman"/>
          <w:lang w:val="en-US"/>
        </w:rPr>
      </w:pPr>
      <w:r w:rsidRPr="00C25898">
        <w:rPr>
          <w:rFonts w:ascii="Times New Roman" w:hAnsi="Times New Roman" w:cs="Times New Roman"/>
          <w:lang w:val="en-US"/>
        </w:rPr>
        <w:t>“</w:t>
      </w:r>
      <w:r w:rsidR="00630434" w:rsidRPr="00C25898">
        <w:rPr>
          <w:rFonts w:ascii="Times New Roman" w:hAnsi="Times New Roman" w:cs="Times New Roman"/>
          <w:lang w:val="en-US"/>
        </w:rPr>
        <w:t>He who asserts, proves and not he who denies, since a denial of a fact cannot naturally be proved provided that it is fact that is denied and that denial is absolute’  …  The onus is on the person who alleges something and not on his opponent who merely den</w:t>
      </w:r>
      <w:r w:rsidR="000F09A2" w:rsidRPr="00C25898">
        <w:rPr>
          <w:rFonts w:ascii="Times New Roman" w:hAnsi="Times New Roman" w:cs="Times New Roman"/>
          <w:lang w:val="en-US"/>
        </w:rPr>
        <w:t>ies</w:t>
      </w:r>
      <w:r w:rsidRPr="00C25898">
        <w:rPr>
          <w:rFonts w:ascii="Times New Roman" w:hAnsi="Times New Roman" w:cs="Times New Roman"/>
          <w:lang w:val="en-US"/>
        </w:rPr>
        <w:t xml:space="preserve"> it.”</w:t>
      </w:r>
    </w:p>
    <w:p w:rsidR="00630434" w:rsidRPr="001F14E6" w:rsidRDefault="00630434" w:rsidP="00641CD7">
      <w:pPr>
        <w:pStyle w:val="NoSpacing"/>
        <w:jc w:val="both"/>
        <w:rPr>
          <w:rFonts w:ascii="Times New Roman" w:hAnsi="Times New Roman" w:cs="Times New Roman"/>
          <w:sz w:val="24"/>
          <w:szCs w:val="24"/>
          <w:lang w:val="en-US"/>
        </w:rPr>
      </w:pPr>
    </w:p>
    <w:p w:rsidR="00630434" w:rsidRPr="001F14E6" w:rsidRDefault="00630434" w:rsidP="00C25898">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lastRenderedPageBreak/>
        <w:tab/>
        <w:t xml:space="preserve">In this case the respondent decided not to lead oral evidence.  The respondent’s position </w:t>
      </w:r>
      <w:r w:rsidR="00262BCF" w:rsidRPr="001F14E6">
        <w:rPr>
          <w:rFonts w:ascii="Times New Roman" w:hAnsi="Times New Roman" w:cs="Times New Roman"/>
          <w:sz w:val="24"/>
          <w:szCs w:val="24"/>
          <w:lang w:val="en-US"/>
        </w:rPr>
        <w:t xml:space="preserve">is </w:t>
      </w:r>
      <w:r w:rsidRPr="001F14E6">
        <w:rPr>
          <w:rFonts w:ascii="Times New Roman" w:hAnsi="Times New Roman" w:cs="Times New Roman"/>
          <w:sz w:val="24"/>
          <w:szCs w:val="24"/>
          <w:lang w:val="en-US"/>
        </w:rPr>
        <w:t>that the appellant has not discharged the onus upon it notwithstanding the fact that the respondent did not lead evidence.  The respondent argu</w:t>
      </w:r>
      <w:r w:rsidR="00BC796C"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s that appellant’s witnesses did not te</w:t>
      </w:r>
      <w:r w:rsidR="00854008"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tify as to anything that would have been in the knowledge of the officers of the respondent which could be contradicted by them</w:t>
      </w:r>
      <w:r w:rsidR="00854008" w:rsidRPr="001F14E6">
        <w:rPr>
          <w:rFonts w:ascii="Times New Roman" w:hAnsi="Times New Roman" w:cs="Times New Roman"/>
          <w:sz w:val="24"/>
          <w:szCs w:val="24"/>
          <w:lang w:val="en-US"/>
        </w:rPr>
        <w:t xml:space="preserve">.  There is no adverse inference which can be drawn on the failure by the respondent to lead evidence.  In </w:t>
      </w:r>
      <w:r w:rsidR="00854008" w:rsidRPr="001F14E6">
        <w:rPr>
          <w:rFonts w:ascii="Times New Roman" w:hAnsi="Times New Roman" w:cs="Times New Roman"/>
          <w:i/>
          <w:sz w:val="24"/>
          <w:szCs w:val="24"/>
          <w:lang w:val="en-US"/>
        </w:rPr>
        <w:t>Siffman</w:t>
      </w:r>
      <w:r w:rsidR="00854008" w:rsidRPr="001F14E6">
        <w:rPr>
          <w:rFonts w:ascii="Times New Roman" w:hAnsi="Times New Roman" w:cs="Times New Roman"/>
          <w:sz w:val="24"/>
          <w:szCs w:val="24"/>
          <w:lang w:val="en-US"/>
        </w:rPr>
        <w:t xml:space="preserve"> v </w:t>
      </w:r>
      <w:r w:rsidR="00854008" w:rsidRPr="001F14E6">
        <w:rPr>
          <w:rFonts w:ascii="Times New Roman" w:hAnsi="Times New Roman" w:cs="Times New Roman"/>
          <w:i/>
          <w:sz w:val="24"/>
          <w:szCs w:val="24"/>
          <w:lang w:val="en-US"/>
        </w:rPr>
        <w:t xml:space="preserve">Knel </w:t>
      </w:r>
      <w:r w:rsidR="00854008" w:rsidRPr="001F14E6">
        <w:rPr>
          <w:rFonts w:ascii="Times New Roman" w:hAnsi="Times New Roman" w:cs="Times New Roman"/>
          <w:sz w:val="24"/>
          <w:szCs w:val="24"/>
          <w:lang w:val="en-US"/>
        </w:rPr>
        <w:t>1909 TS 536 at 543 it was stated:</w:t>
      </w:r>
    </w:p>
    <w:p w:rsidR="00854008" w:rsidRPr="00C25898" w:rsidRDefault="00854008" w:rsidP="00641CD7">
      <w:pPr>
        <w:pStyle w:val="NoSpacing"/>
        <w:ind w:left="720"/>
        <w:jc w:val="both"/>
        <w:rPr>
          <w:rFonts w:ascii="Times New Roman" w:hAnsi="Times New Roman" w:cs="Times New Roman"/>
          <w:lang w:val="en-US"/>
        </w:rPr>
      </w:pPr>
      <w:r w:rsidRPr="00C25898">
        <w:rPr>
          <w:rFonts w:ascii="Times New Roman" w:hAnsi="Times New Roman" w:cs="Times New Roman"/>
          <w:lang w:val="en-US"/>
        </w:rPr>
        <w:t>“It does not follow, because evidence is uncontradicted, that therefore it is true …  The story told by the person on who the onus rests may be so improbable as not to discharge it.”  It is the respondent’s case that the question is not one of the appellant</w:t>
      </w:r>
      <w:r w:rsidR="00716E15" w:rsidRPr="00C25898">
        <w:rPr>
          <w:rFonts w:ascii="Times New Roman" w:hAnsi="Times New Roman" w:cs="Times New Roman"/>
          <w:lang w:val="en-US"/>
        </w:rPr>
        <w:t>’s story being so improbable.  It is one where</w:t>
      </w:r>
      <w:r w:rsidR="00262BCF" w:rsidRPr="00C25898">
        <w:rPr>
          <w:rFonts w:ascii="Times New Roman" w:hAnsi="Times New Roman" w:cs="Times New Roman"/>
          <w:lang w:val="en-US"/>
        </w:rPr>
        <w:t xml:space="preserve"> </w:t>
      </w:r>
      <w:r w:rsidR="00716E15" w:rsidRPr="00C25898">
        <w:rPr>
          <w:rFonts w:ascii="Times New Roman" w:hAnsi="Times New Roman" w:cs="Times New Roman"/>
          <w:lang w:val="en-US"/>
        </w:rPr>
        <w:t>in a large measure, the evidence</w:t>
      </w:r>
      <w:r w:rsidR="000F09A2" w:rsidRPr="00C25898">
        <w:rPr>
          <w:rFonts w:ascii="Times New Roman" w:hAnsi="Times New Roman" w:cs="Times New Roman"/>
          <w:lang w:val="en-US"/>
        </w:rPr>
        <w:t xml:space="preserve"> simply does not measure up to the </w:t>
      </w:r>
      <w:r w:rsidR="00262BCF" w:rsidRPr="00C25898">
        <w:rPr>
          <w:rFonts w:ascii="Times New Roman" w:hAnsi="Times New Roman" w:cs="Times New Roman"/>
          <w:lang w:val="en-US"/>
        </w:rPr>
        <w:t>ma</w:t>
      </w:r>
      <w:r w:rsidR="000F09A2" w:rsidRPr="00C25898">
        <w:rPr>
          <w:rFonts w:ascii="Times New Roman" w:hAnsi="Times New Roman" w:cs="Times New Roman"/>
          <w:lang w:val="en-US"/>
        </w:rPr>
        <w:t xml:space="preserve">rk.  In other words, the evidence is not sufficient to discharge the onus on a balance of probabilities.  Further reliance was placed on the case of </w:t>
      </w:r>
      <w:r w:rsidR="000F09A2" w:rsidRPr="00C25898">
        <w:rPr>
          <w:rFonts w:ascii="Times New Roman" w:hAnsi="Times New Roman" w:cs="Times New Roman"/>
          <w:i/>
          <w:lang w:val="en-US"/>
        </w:rPr>
        <w:t>Nelson</w:t>
      </w:r>
      <w:r w:rsidR="000F09A2" w:rsidRPr="00C25898">
        <w:rPr>
          <w:rFonts w:ascii="Times New Roman" w:hAnsi="Times New Roman" w:cs="Times New Roman"/>
          <w:lang w:val="en-US"/>
        </w:rPr>
        <w:t xml:space="preserve"> v </w:t>
      </w:r>
      <w:r w:rsidR="000F09A2" w:rsidRPr="00C25898">
        <w:rPr>
          <w:rFonts w:ascii="Times New Roman" w:hAnsi="Times New Roman" w:cs="Times New Roman"/>
          <w:i/>
          <w:lang w:val="en-US"/>
        </w:rPr>
        <w:t xml:space="preserve">Marich </w:t>
      </w:r>
      <w:r w:rsidR="000F09A2" w:rsidRPr="00C25898">
        <w:rPr>
          <w:rFonts w:ascii="Times New Roman" w:hAnsi="Times New Roman" w:cs="Times New Roman"/>
          <w:lang w:val="en-US"/>
        </w:rPr>
        <w:t>1952 (3) SA 140 (A) at 149A-D where the rule was stated as follows:</w:t>
      </w:r>
    </w:p>
    <w:p w:rsidR="00BC796C" w:rsidRPr="001F14E6" w:rsidRDefault="000F09A2" w:rsidP="00641CD7">
      <w:pPr>
        <w:pStyle w:val="No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r>
    </w:p>
    <w:p w:rsidR="000F09A2" w:rsidRPr="00C25898" w:rsidRDefault="000F09A2" w:rsidP="00641CD7">
      <w:pPr>
        <w:pStyle w:val="NoSpacing"/>
        <w:ind w:left="720"/>
        <w:jc w:val="both"/>
        <w:rPr>
          <w:rFonts w:ascii="Times New Roman" w:hAnsi="Times New Roman" w:cs="Times New Roman"/>
          <w:lang w:val="en-US"/>
        </w:rPr>
      </w:pPr>
      <w:r w:rsidRPr="00C25898">
        <w:rPr>
          <w:rFonts w:ascii="Times New Roman" w:hAnsi="Times New Roman" w:cs="Times New Roman"/>
          <w:lang w:val="en-US"/>
        </w:rPr>
        <w:t>“The fact that there was no evidence to contradict the evidence given by the defendant does not mean that the court is bound to accept the defendant’s evidence”</w:t>
      </w:r>
    </w:p>
    <w:p w:rsidR="000F09A2" w:rsidRPr="001F14E6" w:rsidRDefault="000F09A2" w:rsidP="00641CD7">
      <w:pPr>
        <w:spacing w:after="0"/>
        <w:jc w:val="both"/>
        <w:rPr>
          <w:rFonts w:ascii="Times New Roman" w:hAnsi="Times New Roman" w:cs="Times New Roman"/>
          <w:sz w:val="24"/>
          <w:szCs w:val="24"/>
          <w:lang w:val="en-US"/>
        </w:rPr>
      </w:pPr>
    </w:p>
    <w:p w:rsidR="000F09A2" w:rsidRPr="001F14E6" w:rsidRDefault="000F09A2" w:rsidP="00641CD7">
      <w:pPr>
        <w:spacing w:after="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Furth</w:t>
      </w:r>
      <w:r w:rsidR="00BC796C"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 xml:space="preserve">r, reference was made to </w:t>
      </w:r>
      <w:r w:rsidRPr="001F14E6">
        <w:rPr>
          <w:rFonts w:ascii="Times New Roman" w:hAnsi="Times New Roman" w:cs="Times New Roman"/>
          <w:i/>
          <w:sz w:val="24"/>
          <w:szCs w:val="24"/>
          <w:lang w:val="en-US"/>
        </w:rPr>
        <w:t>Sigournay</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Gillbanks</w:t>
      </w:r>
      <w:r w:rsidRPr="001F14E6">
        <w:rPr>
          <w:rFonts w:ascii="Times New Roman" w:hAnsi="Times New Roman" w:cs="Times New Roman"/>
          <w:sz w:val="24"/>
          <w:szCs w:val="24"/>
          <w:lang w:val="en-US"/>
        </w:rPr>
        <w:t xml:space="preserve"> 1960 (2) SA 55</w:t>
      </w:r>
      <w:r w:rsidR="00262BCF" w:rsidRPr="001F14E6">
        <w:rPr>
          <w:rFonts w:ascii="Times New Roman" w:hAnsi="Times New Roman" w:cs="Times New Roman"/>
          <w:sz w:val="24"/>
          <w:szCs w:val="24"/>
          <w:lang w:val="en-US"/>
        </w:rPr>
        <w:t>2</w:t>
      </w:r>
      <w:r w:rsidRPr="001F14E6">
        <w:rPr>
          <w:rFonts w:ascii="Times New Roman" w:hAnsi="Times New Roman" w:cs="Times New Roman"/>
          <w:sz w:val="24"/>
          <w:szCs w:val="24"/>
          <w:lang w:val="en-US"/>
        </w:rPr>
        <w:t xml:space="preserve"> (A) at 5</w:t>
      </w:r>
      <w:r w:rsidR="00262BCF" w:rsidRPr="001F14E6">
        <w:rPr>
          <w:rFonts w:ascii="Times New Roman" w:hAnsi="Times New Roman" w:cs="Times New Roman"/>
          <w:sz w:val="24"/>
          <w:szCs w:val="24"/>
          <w:lang w:val="en-US"/>
        </w:rPr>
        <w:t>5</w:t>
      </w:r>
      <w:r w:rsidRPr="001F14E6">
        <w:rPr>
          <w:rFonts w:ascii="Times New Roman" w:hAnsi="Times New Roman" w:cs="Times New Roman"/>
          <w:sz w:val="24"/>
          <w:szCs w:val="24"/>
          <w:lang w:val="en-US"/>
        </w:rPr>
        <w:t>8 H where it was stated:</w:t>
      </w:r>
    </w:p>
    <w:p w:rsidR="000F09A2" w:rsidRPr="00C25898" w:rsidRDefault="000F09A2" w:rsidP="00641CD7">
      <w:pPr>
        <w:pStyle w:val="NoSpacing"/>
        <w:ind w:left="720"/>
        <w:jc w:val="both"/>
        <w:rPr>
          <w:rFonts w:ascii="Times New Roman" w:hAnsi="Times New Roman" w:cs="Times New Roman"/>
          <w:lang w:val="en-US"/>
        </w:rPr>
      </w:pPr>
      <w:r w:rsidRPr="00C25898">
        <w:rPr>
          <w:rFonts w:ascii="Times New Roman" w:hAnsi="Times New Roman" w:cs="Times New Roman"/>
          <w:lang w:val="en-US"/>
        </w:rPr>
        <w:t>“The onus was on the plaintiff and although the defendant could have</w:t>
      </w:r>
      <w:r w:rsidR="00ED1D51" w:rsidRPr="00C25898">
        <w:rPr>
          <w:rFonts w:ascii="Times New Roman" w:hAnsi="Times New Roman" w:cs="Times New Roman"/>
          <w:lang w:val="en-US"/>
        </w:rPr>
        <w:t xml:space="preserve"> investigating the matter further by cross-examination it was necessary for the court to consider whether</w:t>
      </w:r>
      <w:r w:rsidR="00262BCF" w:rsidRPr="00C25898">
        <w:rPr>
          <w:rFonts w:ascii="Times New Roman" w:hAnsi="Times New Roman" w:cs="Times New Roman"/>
          <w:lang w:val="en-US"/>
        </w:rPr>
        <w:t>,</w:t>
      </w:r>
      <w:r w:rsidR="00ED1D51" w:rsidRPr="00C25898">
        <w:rPr>
          <w:rFonts w:ascii="Times New Roman" w:hAnsi="Times New Roman" w:cs="Times New Roman"/>
          <w:lang w:val="en-US"/>
        </w:rPr>
        <w:t xml:space="preserve"> to quote De </w:t>
      </w:r>
      <w:r w:rsidR="00BC796C" w:rsidRPr="00C25898">
        <w:rPr>
          <w:rFonts w:ascii="Times New Roman" w:hAnsi="Times New Roman" w:cs="Times New Roman"/>
          <w:lang w:val="en-US"/>
        </w:rPr>
        <w:t xml:space="preserve">VILLIERS </w:t>
      </w:r>
      <w:r w:rsidR="00ED1D51" w:rsidRPr="00C25898">
        <w:rPr>
          <w:rFonts w:ascii="Times New Roman" w:hAnsi="Times New Roman" w:cs="Times New Roman"/>
          <w:lang w:val="en-US"/>
        </w:rPr>
        <w:t xml:space="preserve">JP, in Union </w:t>
      </w:r>
      <w:r w:rsidR="00262BCF" w:rsidRPr="00C25898">
        <w:rPr>
          <w:rFonts w:ascii="Times New Roman" w:hAnsi="Times New Roman" w:cs="Times New Roman"/>
          <w:lang w:val="en-US"/>
        </w:rPr>
        <w:t>M</w:t>
      </w:r>
      <w:r w:rsidR="00ED1D51" w:rsidRPr="00C25898">
        <w:rPr>
          <w:rFonts w:ascii="Times New Roman" w:hAnsi="Times New Roman" w:cs="Times New Roman"/>
          <w:lang w:val="en-US"/>
        </w:rPr>
        <w:t>ark</w:t>
      </w:r>
      <w:r w:rsidR="006F464A" w:rsidRPr="00C25898">
        <w:rPr>
          <w:rFonts w:ascii="Times New Roman" w:hAnsi="Times New Roman" w:cs="Times New Roman"/>
          <w:lang w:val="en-US"/>
        </w:rPr>
        <w:t>e</w:t>
      </w:r>
      <w:r w:rsidR="00ED1D51" w:rsidRPr="00C25898">
        <w:rPr>
          <w:rFonts w:ascii="Times New Roman" w:hAnsi="Times New Roman" w:cs="Times New Roman"/>
          <w:lang w:val="en-US"/>
        </w:rPr>
        <w:t>t Agency Ltd v Glick &amp; Co 1927 OPD 285 at</w:t>
      </w:r>
      <w:r w:rsidR="006F464A" w:rsidRPr="00C25898">
        <w:rPr>
          <w:rFonts w:ascii="Times New Roman" w:hAnsi="Times New Roman" w:cs="Times New Roman"/>
          <w:lang w:val="en-US"/>
        </w:rPr>
        <w:t xml:space="preserve"> 288, the evidence of M. Fonder on the point was “sufficiently substantial, detailed, reliable and satisfactory” to prove what he deposed to. Uncontradicted evidence, is not necessarily acceptable evidence.”</w:t>
      </w:r>
    </w:p>
    <w:p w:rsidR="006F464A" w:rsidRPr="001F14E6" w:rsidRDefault="006F464A" w:rsidP="00641CD7">
      <w:pPr>
        <w:spacing w:after="0"/>
        <w:jc w:val="both"/>
        <w:rPr>
          <w:rFonts w:ascii="Times New Roman" w:hAnsi="Times New Roman" w:cs="Times New Roman"/>
          <w:sz w:val="24"/>
          <w:szCs w:val="24"/>
          <w:lang w:val="en-US"/>
        </w:rPr>
      </w:pPr>
    </w:p>
    <w:p w:rsidR="006F464A" w:rsidRPr="001F14E6" w:rsidRDefault="006F464A" w:rsidP="00B80E7E">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appellant contended that the burden of proof stated in s63 must be discharged on a balance of probabilities and all that is required i</w:t>
      </w:r>
      <w:r w:rsidR="00262BCF" w:rsidRPr="001F14E6">
        <w:rPr>
          <w:rFonts w:ascii="Times New Roman" w:hAnsi="Times New Roman" w:cs="Times New Roman"/>
          <w:sz w:val="24"/>
          <w:szCs w:val="24"/>
          <w:lang w:val="en-US"/>
        </w:rPr>
        <w:t>n</w:t>
      </w:r>
      <w:r w:rsidRPr="001F14E6">
        <w:rPr>
          <w:rFonts w:ascii="Times New Roman" w:hAnsi="Times New Roman" w:cs="Times New Roman"/>
          <w:sz w:val="24"/>
          <w:szCs w:val="24"/>
          <w:lang w:val="en-US"/>
        </w:rPr>
        <w:t xml:space="preserve"> this regard from the tax payer is to tilt the scales of justice slightly </w:t>
      </w:r>
      <w:r w:rsidR="00D041AD">
        <w:rPr>
          <w:rFonts w:ascii="Times New Roman" w:hAnsi="Times New Roman" w:cs="Times New Roman"/>
          <w:sz w:val="24"/>
          <w:szCs w:val="24"/>
          <w:lang w:val="en-US"/>
        </w:rPr>
        <w:t>in its</w:t>
      </w:r>
      <w:r w:rsidR="008255B7" w:rsidRPr="001F14E6">
        <w:rPr>
          <w:rFonts w:ascii="Times New Roman" w:hAnsi="Times New Roman" w:cs="Times New Roman"/>
          <w:sz w:val="24"/>
          <w:szCs w:val="24"/>
          <w:lang w:val="en-US"/>
        </w:rPr>
        <w:t xml:space="preserve"> favour.  The appellant</w:t>
      </w:r>
      <w:r w:rsidR="00385B4F" w:rsidRPr="001F14E6">
        <w:rPr>
          <w:rFonts w:ascii="Times New Roman" w:hAnsi="Times New Roman" w:cs="Times New Roman"/>
          <w:sz w:val="24"/>
          <w:szCs w:val="24"/>
          <w:lang w:val="en-US"/>
        </w:rPr>
        <w:t xml:space="preserve"> relied on </w:t>
      </w:r>
      <w:r w:rsidR="00262BCF" w:rsidRPr="001F14E6">
        <w:rPr>
          <w:rFonts w:ascii="Times New Roman" w:hAnsi="Times New Roman" w:cs="Times New Roman"/>
          <w:i/>
          <w:sz w:val="24"/>
          <w:szCs w:val="24"/>
          <w:lang w:val="en-US"/>
        </w:rPr>
        <w:t>H</w:t>
      </w:r>
      <w:r w:rsidR="00385B4F" w:rsidRPr="001F14E6">
        <w:rPr>
          <w:rFonts w:ascii="Times New Roman" w:hAnsi="Times New Roman" w:cs="Times New Roman"/>
          <w:i/>
          <w:sz w:val="24"/>
          <w:szCs w:val="24"/>
          <w:lang w:val="en-US"/>
        </w:rPr>
        <w:t xml:space="preserve"> Ltd</w:t>
      </w:r>
      <w:r w:rsidR="00385B4F" w:rsidRPr="001F14E6">
        <w:rPr>
          <w:rFonts w:ascii="Times New Roman" w:hAnsi="Times New Roman" w:cs="Times New Roman"/>
          <w:sz w:val="24"/>
          <w:szCs w:val="24"/>
          <w:lang w:val="en-US"/>
        </w:rPr>
        <w:t xml:space="preserve"> v </w:t>
      </w:r>
      <w:r w:rsidR="00385B4F" w:rsidRPr="001F14E6">
        <w:rPr>
          <w:rFonts w:ascii="Times New Roman" w:hAnsi="Times New Roman" w:cs="Times New Roman"/>
          <w:i/>
          <w:sz w:val="24"/>
          <w:szCs w:val="24"/>
          <w:lang w:val="en-US"/>
        </w:rPr>
        <w:t>Commissioner of Taxes</w:t>
      </w:r>
      <w:r w:rsidR="00385B4F" w:rsidRPr="001F14E6">
        <w:rPr>
          <w:rFonts w:ascii="Times New Roman" w:hAnsi="Times New Roman" w:cs="Times New Roman"/>
          <w:sz w:val="24"/>
          <w:szCs w:val="24"/>
          <w:lang w:val="en-US"/>
        </w:rPr>
        <w:t xml:space="preserve"> 34 SATC 57 1925 TPD where it was held that when it comes to determining those balance of probabilities  that are two main lines of approach, which are not mutually exclusive, namely, credibility and probability.  In determining whether a witness is to be believed or not, the court must have regard to the probability of his story.  But there may be cases where probability will have to yield to credibility; for a court may believe a witness, despite improbabilities in his evidence and where it does so it may find that any burden of proof resting on him has been discharged.  Where the probabilities are evenly balanced, a finding of credibility might well be the determining factor.</w:t>
      </w:r>
    </w:p>
    <w:p w:rsidR="00385B4F" w:rsidRPr="001F14E6" w:rsidRDefault="00385B4F" w:rsidP="00B80E7E">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 xml:space="preserve">Furthermore, when it comes to weighing up probabilities, it must be remembered that a trial judge is not concerned with what is or is not probable when dealing with abstract </w:t>
      </w:r>
      <w:r w:rsidRPr="001F14E6">
        <w:rPr>
          <w:rFonts w:ascii="Times New Roman" w:hAnsi="Times New Roman" w:cs="Times New Roman"/>
          <w:sz w:val="24"/>
          <w:szCs w:val="24"/>
          <w:lang w:val="en-US"/>
        </w:rPr>
        <w:lastRenderedPageBreak/>
        <w:t>businessm</w:t>
      </w:r>
      <w:r w:rsidR="00763350"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 xml:space="preserve">n or normal men, but </w:t>
      </w:r>
      <w:r w:rsidR="00763350" w:rsidRPr="001F14E6">
        <w:rPr>
          <w:rFonts w:ascii="Times New Roman" w:hAnsi="Times New Roman" w:cs="Times New Roman"/>
          <w:sz w:val="24"/>
          <w:szCs w:val="24"/>
          <w:lang w:val="en-US"/>
        </w:rPr>
        <w:t>he is concerned with what is probable and what is not probable as regards the particular individual situation in the particular circumstances in which they were.</w:t>
      </w:r>
    </w:p>
    <w:p w:rsidR="00763350" w:rsidRPr="001F14E6" w:rsidRDefault="00763350" w:rsidP="00B80E7E">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With this in mind I now propose to deal with the issues articulated above in turn.</w:t>
      </w:r>
    </w:p>
    <w:p w:rsidR="00763350" w:rsidRPr="001F14E6" w:rsidRDefault="00763350" w:rsidP="00641CD7">
      <w:pPr>
        <w:pStyle w:val="ListParagraph"/>
        <w:numPr>
          <w:ilvl w:val="0"/>
          <w:numId w:val="6"/>
        </w:numPr>
        <w:spacing w:after="0"/>
        <w:jc w:val="both"/>
        <w:rPr>
          <w:rFonts w:ascii="Times New Roman" w:hAnsi="Times New Roman" w:cs="Times New Roman"/>
          <w:sz w:val="24"/>
          <w:szCs w:val="24"/>
          <w:u w:val="single"/>
          <w:lang w:val="en-US"/>
        </w:rPr>
      </w:pPr>
      <w:r w:rsidRPr="001F14E6">
        <w:rPr>
          <w:rFonts w:ascii="Times New Roman" w:hAnsi="Times New Roman" w:cs="Times New Roman"/>
          <w:sz w:val="24"/>
          <w:szCs w:val="24"/>
          <w:u w:val="single"/>
          <w:lang w:val="en-US"/>
        </w:rPr>
        <w:t>Prescription in terms of s47 of the Act</w:t>
      </w:r>
    </w:p>
    <w:p w:rsidR="00763350" w:rsidRPr="001F14E6" w:rsidRDefault="002E39B1" w:rsidP="00E106B1">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appellant contends that the respondent was not entitled to adjust the 2010 tax year assessment on account of the provisions of s47 of the Act.  The appellant’s position is that the 2010 tax year is prescribed in terms of s47 (1) (3) of the Act, which provides as follows:</w:t>
      </w:r>
    </w:p>
    <w:p w:rsidR="002E39B1" w:rsidRPr="00E106B1" w:rsidRDefault="002E39B1" w:rsidP="00641CD7">
      <w:pPr>
        <w:pStyle w:val="NoSpacing"/>
        <w:jc w:val="both"/>
        <w:rPr>
          <w:rFonts w:ascii="Times New Roman" w:hAnsi="Times New Roman" w:cs="Times New Roman"/>
          <w:lang w:val="en-US"/>
        </w:rPr>
      </w:pPr>
      <w:r w:rsidRPr="001F14E6">
        <w:rPr>
          <w:rFonts w:ascii="Times New Roman" w:hAnsi="Times New Roman" w:cs="Times New Roman"/>
          <w:sz w:val="24"/>
          <w:szCs w:val="24"/>
          <w:lang w:val="en-US"/>
        </w:rPr>
        <w:tab/>
      </w:r>
      <w:r w:rsidRPr="00E106B1">
        <w:rPr>
          <w:rFonts w:ascii="Times New Roman" w:hAnsi="Times New Roman" w:cs="Times New Roman"/>
          <w:lang w:val="en-US"/>
        </w:rPr>
        <w:t>“47</w:t>
      </w:r>
      <w:r w:rsidRPr="00E106B1">
        <w:rPr>
          <w:rFonts w:ascii="Times New Roman" w:hAnsi="Times New Roman" w:cs="Times New Roman"/>
          <w:lang w:val="en-US"/>
        </w:rPr>
        <w:tab/>
        <w:t>Additional assessments</w:t>
      </w:r>
    </w:p>
    <w:p w:rsidR="002E39B1" w:rsidRPr="00E106B1" w:rsidRDefault="002E39B1" w:rsidP="00641CD7">
      <w:pPr>
        <w:pStyle w:val="NoSpacing"/>
        <w:numPr>
          <w:ilvl w:val="0"/>
          <w:numId w:val="7"/>
        </w:numPr>
        <w:jc w:val="both"/>
        <w:rPr>
          <w:rFonts w:ascii="Times New Roman" w:hAnsi="Times New Roman" w:cs="Times New Roman"/>
          <w:lang w:val="en-US"/>
        </w:rPr>
      </w:pPr>
      <w:r w:rsidRPr="00E106B1">
        <w:rPr>
          <w:rFonts w:ascii="Times New Roman" w:hAnsi="Times New Roman" w:cs="Times New Roman"/>
          <w:lang w:val="en-US"/>
        </w:rPr>
        <w:t>If the Commissioner, having made an assessment on any tax payer, later considers that –</w:t>
      </w:r>
    </w:p>
    <w:p w:rsidR="002E39B1" w:rsidRPr="00E106B1" w:rsidRDefault="002E39B1" w:rsidP="00641CD7">
      <w:pPr>
        <w:pStyle w:val="NoSpacing"/>
        <w:ind w:left="1800" w:hanging="360"/>
        <w:jc w:val="both"/>
        <w:rPr>
          <w:rFonts w:ascii="Times New Roman" w:hAnsi="Times New Roman" w:cs="Times New Roman"/>
          <w:lang w:val="en-US"/>
        </w:rPr>
      </w:pPr>
      <w:r w:rsidRPr="00E106B1">
        <w:rPr>
          <w:rFonts w:ascii="Times New Roman" w:hAnsi="Times New Roman" w:cs="Times New Roman"/>
          <w:lang w:val="en-US"/>
        </w:rPr>
        <w:t>(a)</w:t>
      </w:r>
      <w:r w:rsidRPr="00E106B1">
        <w:rPr>
          <w:rFonts w:ascii="Times New Roman" w:hAnsi="Times New Roman" w:cs="Times New Roman"/>
          <w:lang w:val="en-US"/>
        </w:rPr>
        <w:tab/>
        <w:t>an amount of taxable income which should have been charged to tax has not been charged to tax; or</w:t>
      </w:r>
    </w:p>
    <w:p w:rsidR="002E39B1" w:rsidRPr="00E106B1" w:rsidRDefault="002E39B1" w:rsidP="00641CD7">
      <w:pPr>
        <w:pStyle w:val="NoSpacing"/>
        <w:numPr>
          <w:ilvl w:val="0"/>
          <w:numId w:val="8"/>
        </w:numPr>
        <w:jc w:val="both"/>
        <w:rPr>
          <w:rFonts w:ascii="Times New Roman" w:hAnsi="Times New Roman" w:cs="Times New Roman"/>
          <w:lang w:val="en-US"/>
        </w:rPr>
      </w:pPr>
      <w:r w:rsidRPr="00E106B1">
        <w:rPr>
          <w:rFonts w:ascii="Times New Roman" w:hAnsi="Times New Roman" w:cs="Times New Roman"/>
          <w:lang w:val="en-US"/>
        </w:rPr>
        <w:t>In the determination of an assessed loss –</w:t>
      </w:r>
    </w:p>
    <w:p w:rsidR="002E39B1" w:rsidRPr="00E106B1" w:rsidRDefault="002E39B1" w:rsidP="00641CD7">
      <w:pPr>
        <w:pStyle w:val="NoSpacing"/>
        <w:numPr>
          <w:ilvl w:val="2"/>
          <w:numId w:val="8"/>
        </w:numPr>
        <w:jc w:val="both"/>
        <w:rPr>
          <w:rFonts w:ascii="Times New Roman" w:hAnsi="Times New Roman" w:cs="Times New Roman"/>
          <w:lang w:val="en-US"/>
        </w:rPr>
      </w:pPr>
      <w:r w:rsidRPr="00E106B1">
        <w:rPr>
          <w:rFonts w:ascii="Times New Roman" w:hAnsi="Times New Roman" w:cs="Times New Roman"/>
          <w:lang w:val="en-US"/>
        </w:rPr>
        <w:t>An amount of income which should have been taken into account has not been taken into account; or</w:t>
      </w:r>
    </w:p>
    <w:p w:rsidR="002E39B1" w:rsidRPr="00E106B1" w:rsidRDefault="002E39B1" w:rsidP="00641CD7">
      <w:pPr>
        <w:pStyle w:val="NoSpacing"/>
        <w:numPr>
          <w:ilvl w:val="2"/>
          <w:numId w:val="8"/>
        </w:numPr>
        <w:jc w:val="both"/>
        <w:rPr>
          <w:rFonts w:ascii="Times New Roman" w:hAnsi="Times New Roman" w:cs="Times New Roman"/>
          <w:lang w:val="en-US"/>
        </w:rPr>
      </w:pPr>
      <w:r w:rsidRPr="00E106B1">
        <w:rPr>
          <w:rFonts w:ascii="Times New Roman" w:hAnsi="Times New Roman" w:cs="Times New Roman"/>
          <w:lang w:val="en-US"/>
        </w:rPr>
        <w:t>An amount has been allowed as a deduction from income which should not have been allowed;</w:t>
      </w:r>
    </w:p>
    <w:p w:rsidR="002E39B1" w:rsidRPr="00E106B1" w:rsidRDefault="002E39B1" w:rsidP="00641CD7">
      <w:pPr>
        <w:pStyle w:val="NoSpacing"/>
        <w:ind w:left="2340"/>
        <w:jc w:val="both"/>
        <w:rPr>
          <w:rFonts w:ascii="Times New Roman" w:hAnsi="Times New Roman" w:cs="Times New Roman"/>
          <w:lang w:val="en-US"/>
        </w:rPr>
      </w:pPr>
      <w:r w:rsidRPr="00E106B1">
        <w:rPr>
          <w:rFonts w:ascii="Times New Roman" w:hAnsi="Times New Roman" w:cs="Times New Roman"/>
          <w:lang w:val="en-US"/>
        </w:rPr>
        <w:t>Or</w:t>
      </w:r>
    </w:p>
    <w:p w:rsidR="002E39B1" w:rsidRPr="00E106B1" w:rsidRDefault="002E39B1" w:rsidP="00641CD7">
      <w:pPr>
        <w:pStyle w:val="NoSpacing"/>
        <w:ind w:left="2340" w:hanging="900"/>
        <w:jc w:val="both"/>
        <w:rPr>
          <w:rFonts w:ascii="Times New Roman" w:hAnsi="Times New Roman" w:cs="Times New Roman"/>
          <w:lang w:val="en-US"/>
        </w:rPr>
      </w:pPr>
      <w:r w:rsidRPr="00E106B1">
        <w:rPr>
          <w:rFonts w:ascii="Times New Roman" w:hAnsi="Times New Roman" w:cs="Times New Roman"/>
          <w:lang w:val="en-US"/>
        </w:rPr>
        <w:t>(c)</w:t>
      </w:r>
      <w:r w:rsidRPr="00E106B1">
        <w:rPr>
          <w:rFonts w:ascii="Times New Roman" w:hAnsi="Times New Roman" w:cs="Times New Roman"/>
          <w:lang w:val="en-US"/>
        </w:rPr>
        <w:tab/>
        <w:t xml:space="preserve">any sum grated by </w:t>
      </w:r>
      <w:r w:rsidR="00FF662A" w:rsidRPr="00E106B1">
        <w:rPr>
          <w:rFonts w:ascii="Times New Roman" w:hAnsi="Times New Roman" w:cs="Times New Roman"/>
          <w:lang w:val="en-US"/>
        </w:rPr>
        <w:t>way of a credit should not have been granted; he shall adjust such assessment so as to charge to tax such amount of taxable income or to reduce such assessed loss or to withdraw or vary such credit, and if any tax is due either additionally, or alternatively, call upon the tax payer to pay the correct amount of tax;</w:t>
      </w:r>
    </w:p>
    <w:p w:rsidR="00FF662A" w:rsidRPr="00E106B1" w:rsidRDefault="00FF662A" w:rsidP="00641CD7">
      <w:pPr>
        <w:pStyle w:val="NoSpacing"/>
        <w:jc w:val="both"/>
        <w:rPr>
          <w:rFonts w:ascii="Times New Roman" w:hAnsi="Times New Roman" w:cs="Times New Roman"/>
          <w:lang w:val="en-US"/>
        </w:rPr>
      </w:pPr>
    </w:p>
    <w:p w:rsidR="003A379F" w:rsidRPr="00E106B1" w:rsidRDefault="00BC796C" w:rsidP="00641CD7">
      <w:pPr>
        <w:pStyle w:val="NoSpacing"/>
        <w:jc w:val="both"/>
        <w:rPr>
          <w:rFonts w:ascii="Times New Roman" w:hAnsi="Times New Roman" w:cs="Times New Roman"/>
          <w:lang w:val="en-US"/>
        </w:rPr>
      </w:pPr>
      <w:r w:rsidRPr="00E106B1">
        <w:rPr>
          <w:rFonts w:ascii="Times New Roman" w:hAnsi="Times New Roman" w:cs="Times New Roman"/>
          <w:lang w:val="en-US"/>
        </w:rPr>
        <w:tab/>
      </w:r>
      <w:r w:rsidR="00FF662A" w:rsidRPr="00E106B1">
        <w:rPr>
          <w:rFonts w:ascii="Times New Roman" w:hAnsi="Times New Roman" w:cs="Times New Roman"/>
          <w:lang w:val="en-US"/>
        </w:rPr>
        <w:tab/>
        <w:t>Provided that –</w:t>
      </w:r>
    </w:p>
    <w:p w:rsidR="00FF662A" w:rsidRPr="00E106B1" w:rsidRDefault="00FF662A" w:rsidP="00641CD7">
      <w:pPr>
        <w:pStyle w:val="NoSpacing"/>
        <w:numPr>
          <w:ilvl w:val="2"/>
          <w:numId w:val="7"/>
        </w:numPr>
        <w:jc w:val="both"/>
        <w:rPr>
          <w:rFonts w:ascii="Times New Roman" w:hAnsi="Times New Roman" w:cs="Times New Roman"/>
          <w:lang w:val="en-US"/>
        </w:rPr>
      </w:pPr>
      <w:r w:rsidRPr="00E106B1">
        <w:rPr>
          <w:rFonts w:ascii="Times New Roman" w:hAnsi="Times New Roman" w:cs="Times New Roman"/>
          <w:lang w:val="en-US"/>
        </w:rPr>
        <w:t>No such adjustments or call upon the tax payer shall be made if the assessment was made in accordance with practice generally prevailing at the time the assessment was made ;</w:t>
      </w:r>
    </w:p>
    <w:p w:rsidR="00FF662A" w:rsidRPr="00E106B1" w:rsidRDefault="00FF662A" w:rsidP="00641CD7">
      <w:pPr>
        <w:pStyle w:val="NoSpacing"/>
        <w:numPr>
          <w:ilvl w:val="2"/>
          <w:numId w:val="7"/>
        </w:numPr>
        <w:jc w:val="both"/>
        <w:rPr>
          <w:rFonts w:ascii="Times New Roman" w:hAnsi="Times New Roman" w:cs="Times New Roman"/>
          <w:lang w:val="en-US"/>
        </w:rPr>
      </w:pPr>
      <w:r w:rsidRPr="00E106B1">
        <w:rPr>
          <w:rFonts w:ascii="Times New Roman" w:hAnsi="Times New Roman" w:cs="Times New Roman"/>
          <w:lang w:val="en-US"/>
        </w:rPr>
        <w:t>Subject to proviso (i), no such adjustment or call upon the tax payer shall be made after six years from the end of the relevant year of assessment the, unless the Commissioner is satisfied that the adjustment or call is necessary as a result of fraud, misrepresentation or wilful non-disclosure of facts, in which case the adjustment or call may be made at any time thereafter;</w:t>
      </w:r>
    </w:p>
    <w:p w:rsidR="00FF662A" w:rsidRPr="00E106B1" w:rsidRDefault="00FF662A" w:rsidP="00641CD7">
      <w:pPr>
        <w:pStyle w:val="NoSpacing"/>
        <w:numPr>
          <w:ilvl w:val="2"/>
          <w:numId w:val="7"/>
        </w:numPr>
        <w:jc w:val="both"/>
        <w:rPr>
          <w:rFonts w:ascii="Times New Roman" w:hAnsi="Times New Roman" w:cs="Times New Roman"/>
          <w:lang w:val="en-US"/>
        </w:rPr>
      </w:pPr>
      <w:r w:rsidRPr="00E106B1">
        <w:rPr>
          <w:rFonts w:ascii="Times New Roman" w:hAnsi="Times New Roman" w:cs="Times New Roman"/>
          <w:lang w:val="en-US"/>
        </w:rPr>
        <w:t>The powers conferred by this subsection shall not be continued so as to permit the Commissioner to vary any decision made by him in terms of subsection (4) of section sixty-two.</w:t>
      </w:r>
    </w:p>
    <w:p w:rsidR="00FF662A" w:rsidRPr="00E106B1" w:rsidRDefault="00FF662A" w:rsidP="00641CD7">
      <w:pPr>
        <w:pStyle w:val="NoSpacing"/>
        <w:numPr>
          <w:ilvl w:val="0"/>
          <w:numId w:val="7"/>
        </w:numPr>
        <w:jc w:val="both"/>
        <w:rPr>
          <w:rFonts w:ascii="Times New Roman" w:hAnsi="Times New Roman" w:cs="Times New Roman"/>
          <w:lang w:val="en-US"/>
        </w:rPr>
      </w:pPr>
      <w:r w:rsidRPr="00E106B1">
        <w:rPr>
          <w:rFonts w:ascii="Times New Roman" w:hAnsi="Times New Roman" w:cs="Times New Roman"/>
          <w:lang w:val="en-US"/>
        </w:rPr>
        <w:t>Sections forty-five and forty-six shall apply to any assessments or additional assessments or to a  call for the payment of any additional sum in respect of a credit made by the Commissioner under the … appella</w:t>
      </w:r>
      <w:r w:rsidR="00E106B1">
        <w:rPr>
          <w:rFonts w:ascii="Times New Roman" w:hAnsi="Times New Roman" w:cs="Times New Roman"/>
          <w:lang w:val="en-US"/>
        </w:rPr>
        <w:t>nts conferred by subsection (1)”</w:t>
      </w:r>
    </w:p>
    <w:p w:rsidR="00904727" w:rsidRPr="001F14E6" w:rsidRDefault="00904727" w:rsidP="00641CD7">
      <w:pPr>
        <w:spacing w:after="0"/>
        <w:jc w:val="both"/>
        <w:rPr>
          <w:rFonts w:ascii="Times New Roman" w:hAnsi="Times New Roman" w:cs="Times New Roman"/>
          <w:sz w:val="24"/>
          <w:szCs w:val="24"/>
          <w:lang w:val="en-US"/>
        </w:rPr>
      </w:pPr>
    </w:p>
    <w:p w:rsidR="00904727" w:rsidRPr="001F14E6" w:rsidRDefault="00904727" w:rsidP="00E106B1">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From these provisions, in order for the Commissioner to raise additional assessments in terms of s47 (1) (ii) of the </w:t>
      </w:r>
      <w:r w:rsidR="00BC796C"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 xml:space="preserve">ct, there are two elements </w:t>
      </w:r>
      <w:r w:rsidR="00BC796C" w:rsidRPr="001F14E6">
        <w:rPr>
          <w:rFonts w:ascii="Times New Roman" w:hAnsi="Times New Roman" w:cs="Times New Roman"/>
          <w:sz w:val="24"/>
          <w:szCs w:val="24"/>
          <w:lang w:val="en-US"/>
        </w:rPr>
        <w:t>i</w:t>
      </w:r>
      <w:r w:rsidRPr="001F14E6">
        <w:rPr>
          <w:rFonts w:ascii="Times New Roman" w:hAnsi="Times New Roman" w:cs="Times New Roman"/>
          <w:sz w:val="24"/>
          <w:szCs w:val="24"/>
          <w:lang w:val="en-US"/>
        </w:rPr>
        <w:t>n respect of which the Commissioner must be satisfied.  Firstly, he must be satisfied that there was a fraud, misrepresentation or wilful non-disclosure of material facts.</w:t>
      </w:r>
    </w:p>
    <w:p w:rsidR="009D1065" w:rsidRPr="001F14E6" w:rsidRDefault="00904727" w:rsidP="00E106B1">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If he is so satisfied, then secondly, he must also be satisfied that the full amount of tax chargeable which was not assessed, was as a result of such fraud, misrepresentation or non-</w:t>
      </w:r>
      <w:r w:rsidRPr="001F14E6">
        <w:rPr>
          <w:rFonts w:ascii="Times New Roman" w:hAnsi="Times New Roman" w:cs="Times New Roman"/>
          <w:sz w:val="24"/>
          <w:szCs w:val="24"/>
          <w:lang w:val="en-US"/>
        </w:rPr>
        <w:lastRenderedPageBreak/>
        <w:t xml:space="preserve">disclosure of material facts – </w:t>
      </w:r>
      <w:r w:rsidRPr="001F14E6">
        <w:rPr>
          <w:rFonts w:ascii="Times New Roman" w:hAnsi="Times New Roman" w:cs="Times New Roman"/>
          <w:i/>
          <w:sz w:val="24"/>
          <w:szCs w:val="24"/>
          <w:lang w:val="en-US"/>
        </w:rPr>
        <w:t>SIR</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 xml:space="preserve">Trow </w:t>
      </w:r>
      <w:r w:rsidRPr="001F14E6">
        <w:rPr>
          <w:rFonts w:ascii="Times New Roman" w:hAnsi="Times New Roman" w:cs="Times New Roman"/>
          <w:sz w:val="24"/>
          <w:szCs w:val="24"/>
          <w:lang w:val="en-US"/>
        </w:rPr>
        <w:t xml:space="preserve">43 SATC 189.  On the one hand, the appellant posits that a period of more than six years having gone by, </w:t>
      </w:r>
      <w:r w:rsidR="00262BCF" w:rsidRPr="001F14E6">
        <w:rPr>
          <w:rFonts w:ascii="Times New Roman" w:hAnsi="Times New Roman" w:cs="Times New Roman"/>
          <w:sz w:val="24"/>
          <w:szCs w:val="24"/>
          <w:lang w:val="en-US"/>
        </w:rPr>
        <w:t xml:space="preserve">in </w:t>
      </w:r>
      <w:r w:rsidRPr="001F14E6">
        <w:rPr>
          <w:rFonts w:ascii="Times New Roman" w:hAnsi="Times New Roman" w:cs="Times New Roman"/>
          <w:sz w:val="24"/>
          <w:szCs w:val="24"/>
          <w:lang w:val="en-US"/>
        </w:rPr>
        <w:t>the year 2017, which the adjustment was made by the respondent, the respondent no longer had the power to adjust the assessment rendered by the appellant on account of extinctive prescription.</w:t>
      </w:r>
    </w:p>
    <w:p w:rsidR="00904727" w:rsidRPr="001F14E6" w:rsidRDefault="00904727" w:rsidP="00E106B1">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On the other hand, the respondent while admitting that the period of six years had gone by, relies on s47 (1) (ii) supra, which permits the Commissioner to re-open and assess after the prescriptive period if there existed fraud, misrepresentation or wilful non-disclosure of material facts.  This is made clear by the letter that the Commissioner wrote to the appellants on 23 November 2017.  In the said letter the Commissioner st</w:t>
      </w:r>
      <w:r w:rsidR="00CD44A4"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ted the following –</w:t>
      </w:r>
    </w:p>
    <w:p w:rsidR="00904727" w:rsidRPr="00E106B1" w:rsidRDefault="00904727"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t xml:space="preserve">“After a tax investigation was conducted, it was discovered that the client </w:t>
      </w:r>
      <w:r w:rsidR="00CD44A4" w:rsidRPr="00E106B1">
        <w:rPr>
          <w:rFonts w:ascii="Times New Roman" w:hAnsi="Times New Roman" w:cs="Times New Roman"/>
          <w:lang w:val="en-US"/>
        </w:rPr>
        <w:t>entertainment costs attributed to the provision of canteen meals and management fees expenses which were not commensurate with the actual work done.  Addition, it was ob</w:t>
      </w:r>
      <w:r w:rsidR="0049123E" w:rsidRPr="00E106B1">
        <w:rPr>
          <w:rFonts w:ascii="Times New Roman" w:hAnsi="Times New Roman" w:cs="Times New Roman"/>
          <w:lang w:val="en-US"/>
        </w:rPr>
        <w:t>served</w:t>
      </w:r>
      <w:r w:rsidR="00CD44A4" w:rsidRPr="00E106B1">
        <w:rPr>
          <w:rFonts w:ascii="Times New Roman" w:hAnsi="Times New Roman" w:cs="Times New Roman"/>
          <w:lang w:val="en-US"/>
        </w:rPr>
        <w:t xml:space="preserve"> that employees take (PAYE) payments made to this office excluded canteen meal benefits enjoyed by the client’s employees …</w:t>
      </w:r>
    </w:p>
    <w:p w:rsidR="00BC796C" w:rsidRPr="00E106B1" w:rsidRDefault="00CD44A4" w:rsidP="00641CD7">
      <w:pPr>
        <w:pStyle w:val="NoSpacing"/>
        <w:jc w:val="both"/>
        <w:rPr>
          <w:rFonts w:ascii="Times New Roman" w:hAnsi="Times New Roman" w:cs="Times New Roman"/>
          <w:lang w:val="en-US"/>
        </w:rPr>
      </w:pPr>
      <w:r w:rsidRPr="00E106B1">
        <w:rPr>
          <w:rFonts w:ascii="Times New Roman" w:hAnsi="Times New Roman" w:cs="Times New Roman"/>
          <w:lang w:val="en-US"/>
        </w:rPr>
        <w:tab/>
      </w:r>
    </w:p>
    <w:p w:rsidR="00CD44A4" w:rsidRPr="00E106B1" w:rsidRDefault="00CD44A4"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t>Based on the above observation and comments, you</w:t>
      </w:r>
      <w:r w:rsidR="0049123E" w:rsidRPr="00E106B1">
        <w:rPr>
          <w:rFonts w:ascii="Times New Roman" w:hAnsi="Times New Roman" w:cs="Times New Roman"/>
          <w:lang w:val="en-US"/>
        </w:rPr>
        <w:t>r</w:t>
      </w:r>
      <w:r w:rsidRPr="00E106B1">
        <w:rPr>
          <w:rFonts w:ascii="Times New Roman" w:hAnsi="Times New Roman" w:cs="Times New Roman"/>
          <w:lang w:val="en-US"/>
        </w:rPr>
        <w:t xml:space="preserve"> client made misrepresentations in the returns submitted to this office by not making the correct declarations and information that was supposed to be disclosed.  This resulted in the underpayment of income tax and payee for the </w:t>
      </w:r>
      <w:r w:rsidR="0049123E" w:rsidRPr="00E106B1">
        <w:rPr>
          <w:rFonts w:ascii="Times New Roman" w:hAnsi="Times New Roman" w:cs="Times New Roman"/>
          <w:lang w:val="en-US"/>
        </w:rPr>
        <w:t>2</w:t>
      </w:r>
      <w:r w:rsidRPr="00E106B1">
        <w:rPr>
          <w:rFonts w:ascii="Times New Roman" w:hAnsi="Times New Roman" w:cs="Times New Roman"/>
          <w:lang w:val="en-US"/>
        </w:rPr>
        <w:t>010 and other tax years affected.</w:t>
      </w:r>
    </w:p>
    <w:p w:rsidR="00CD44A4" w:rsidRPr="00E106B1" w:rsidRDefault="00CD44A4" w:rsidP="00641CD7">
      <w:pPr>
        <w:pStyle w:val="NoSpacing"/>
        <w:jc w:val="both"/>
        <w:rPr>
          <w:rFonts w:ascii="Times New Roman" w:hAnsi="Times New Roman" w:cs="Times New Roman"/>
          <w:lang w:val="en-US"/>
        </w:rPr>
      </w:pPr>
    </w:p>
    <w:p w:rsidR="00CD44A4" w:rsidRPr="00E106B1" w:rsidRDefault="00CD44A4"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t>I am therefore of the view that the prescriptive provisions are not applicable under the circumstances and section 47 (1) (ii) of the Act was correctly applied.”</w:t>
      </w:r>
    </w:p>
    <w:p w:rsidR="00CD44A4" w:rsidRPr="001F14E6" w:rsidRDefault="00CD44A4" w:rsidP="00641CD7">
      <w:pPr>
        <w:pStyle w:val="NoSpacing"/>
        <w:jc w:val="both"/>
        <w:rPr>
          <w:rFonts w:ascii="Times New Roman" w:hAnsi="Times New Roman" w:cs="Times New Roman"/>
          <w:sz w:val="24"/>
          <w:szCs w:val="24"/>
          <w:lang w:val="en-US"/>
        </w:rPr>
      </w:pPr>
    </w:p>
    <w:p w:rsidR="00CD44A4" w:rsidRPr="001F14E6" w:rsidRDefault="00C437C4" w:rsidP="00E106B1">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It is trite that the appellant was obliged to subtract self-assessments and did so in terms of s37A of the Act.  These returns, however, did not disclose the true position in relation to the canteen meals and management fees.  They contained a misrepresentation.  It is beyond dispute that the appellant provided meals to both factory workers and administrative employees based at its bread manufacturing factory in Harare.  In the evidence led on appeal, the appellant chose to persist with the objecting in relation to the meals afforded to factory workers.  It abandoned the objection in relation to the administrative staff.  Once it is admitted that the appellant claimed as a deduction in terms of s15 (2) (9) of the Act, meals provided to administrative staff which cost the appellant subsequently conceded not to have been properly deducted th</w:t>
      </w:r>
      <w:r w:rsidR="0049123E"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n the Commissioner was entitled to re-open the assessments in respect of the relevant years.  The tax</w:t>
      </w:r>
      <w:r w:rsidR="00812377" w:rsidRPr="001F14E6">
        <w:rPr>
          <w:rFonts w:ascii="Times New Roman" w:hAnsi="Times New Roman" w:cs="Times New Roman"/>
          <w:sz w:val="24"/>
          <w:szCs w:val="24"/>
          <w:lang w:val="en-US"/>
        </w:rPr>
        <w:t xml:space="preserve"> returns and the financial statements contained the concealment of the treatment of management fees and canteen meals.  These claimants did not disclose that the appellant was deducting canteen meals where it had no right to do so i.e in relation to administrative staff.  On this admitted misrepresentation alone, the respondent was entitled to re-open the 2010 assessment.  It is not necessary to deal with the alleged misrepresentation in relation to provision of canteen </w:t>
      </w:r>
      <w:r w:rsidR="00812377" w:rsidRPr="001F14E6">
        <w:rPr>
          <w:rFonts w:ascii="Times New Roman" w:hAnsi="Times New Roman" w:cs="Times New Roman"/>
          <w:sz w:val="24"/>
          <w:szCs w:val="24"/>
          <w:lang w:val="en-US"/>
        </w:rPr>
        <w:lastRenderedPageBreak/>
        <w:t>meals to factory workers and management fees at this juncture.  Once there is a misrepresentation, the entire assessment can be opened.  The assessment should not be broken into bits and pieces for the purposes of re-opening under s47.  Accordingly, on this issue I find in favour of the respondent that the Commissioner correctly re-opened the assessment for the year 2010.</w:t>
      </w:r>
    </w:p>
    <w:p w:rsidR="00812377" w:rsidRPr="001F14E6" w:rsidRDefault="00812377" w:rsidP="00641CD7">
      <w:pPr>
        <w:pStyle w:val="ListParagraph"/>
        <w:numPr>
          <w:ilvl w:val="0"/>
          <w:numId w:val="6"/>
        </w:numPr>
        <w:spacing w:after="0"/>
        <w:jc w:val="both"/>
        <w:rPr>
          <w:rFonts w:ascii="Times New Roman" w:hAnsi="Times New Roman" w:cs="Times New Roman"/>
          <w:sz w:val="24"/>
          <w:szCs w:val="24"/>
          <w:u w:val="single"/>
          <w:lang w:val="en-US"/>
        </w:rPr>
      </w:pPr>
      <w:r w:rsidRPr="001F14E6">
        <w:rPr>
          <w:rFonts w:ascii="Times New Roman" w:hAnsi="Times New Roman" w:cs="Times New Roman"/>
          <w:sz w:val="24"/>
          <w:szCs w:val="24"/>
          <w:u w:val="single"/>
          <w:lang w:val="en-US"/>
        </w:rPr>
        <w:t>The decision to disallow in full the claim of management fees s</w:t>
      </w:r>
      <w:r w:rsidR="00C7608B" w:rsidRPr="001F14E6">
        <w:rPr>
          <w:rFonts w:ascii="Times New Roman" w:hAnsi="Times New Roman" w:cs="Times New Roman"/>
          <w:sz w:val="24"/>
          <w:szCs w:val="24"/>
          <w:u w:val="single"/>
          <w:lang w:val="en-US"/>
        </w:rPr>
        <w:t xml:space="preserve">15 </w:t>
      </w:r>
      <w:r w:rsidRPr="001F14E6">
        <w:rPr>
          <w:rFonts w:ascii="Times New Roman" w:hAnsi="Times New Roman" w:cs="Times New Roman"/>
          <w:sz w:val="24"/>
          <w:szCs w:val="24"/>
          <w:u w:val="single"/>
          <w:lang w:val="en-US"/>
        </w:rPr>
        <w:t>(</w:t>
      </w:r>
      <w:r w:rsidR="00C7608B" w:rsidRPr="001F14E6">
        <w:rPr>
          <w:rFonts w:ascii="Times New Roman" w:hAnsi="Times New Roman" w:cs="Times New Roman"/>
          <w:sz w:val="24"/>
          <w:szCs w:val="24"/>
          <w:u w:val="single"/>
          <w:lang w:val="en-US"/>
        </w:rPr>
        <w:t>2</w:t>
      </w:r>
      <w:r w:rsidRPr="001F14E6">
        <w:rPr>
          <w:rFonts w:ascii="Times New Roman" w:hAnsi="Times New Roman" w:cs="Times New Roman"/>
          <w:sz w:val="24"/>
          <w:szCs w:val="24"/>
          <w:u w:val="single"/>
          <w:lang w:val="en-US"/>
        </w:rPr>
        <w:t>) (a)</w:t>
      </w:r>
    </w:p>
    <w:p w:rsidR="00E106B1" w:rsidRDefault="00812377" w:rsidP="00641CD7">
      <w:pPr>
        <w:spacing w:after="0"/>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 the determination, the Commissioner contends that the appellant failed to substantiate and submit proof that the services involved were rendered to th</w:t>
      </w:r>
      <w:r w:rsidR="00C7608B"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 xml:space="preserve"> appellant by its holding company hen</w:t>
      </w:r>
      <w:r w:rsidR="00C7608B" w:rsidRPr="001F14E6">
        <w:rPr>
          <w:rFonts w:ascii="Times New Roman" w:hAnsi="Times New Roman" w:cs="Times New Roman"/>
          <w:sz w:val="24"/>
          <w:szCs w:val="24"/>
          <w:lang w:val="en-US"/>
        </w:rPr>
        <w:t>c</w:t>
      </w:r>
      <w:r w:rsidRPr="001F14E6">
        <w:rPr>
          <w:rFonts w:ascii="Times New Roman" w:hAnsi="Times New Roman" w:cs="Times New Roman"/>
          <w:sz w:val="24"/>
          <w:szCs w:val="24"/>
          <w:lang w:val="en-US"/>
        </w:rPr>
        <w:t>e t</w:t>
      </w:r>
      <w:r w:rsidR="00C7608B" w:rsidRPr="001F14E6">
        <w:rPr>
          <w:rFonts w:ascii="Times New Roman" w:hAnsi="Times New Roman" w:cs="Times New Roman"/>
          <w:sz w:val="24"/>
          <w:szCs w:val="24"/>
          <w:lang w:val="en-US"/>
        </w:rPr>
        <w:t>h</w:t>
      </w:r>
      <w:r w:rsidRPr="001F14E6">
        <w:rPr>
          <w:rFonts w:ascii="Times New Roman" w:hAnsi="Times New Roman" w:cs="Times New Roman"/>
          <w:sz w:val="24"/>
          <w:szCs w:val="24"/>
          <w:lang w:val="en-US"/>
        </w:rPr>
        <w:t>e management fees we</w:t>
      </w:r>
      <w:r w:rsidR="00C7608B" w:rsidRPr="001F14E6">
        <w:rPr>
          <w:rFonts w:ascii="Times New Roman" w:hAnsi="Times New Roman" w:cs="Times New Roman"/>
          <w:sz w:val="24"/>
          <w:szCs w:val="24"/>
          <w:lang w:val="en-US"/>
        </w:rPr>
        <w:t>r</w:t>
      </w:r>
      <w:r w:rsidRPr="001F14E6">
        <w:rPr>
          <w:rFonts w:ascii="Times New Roman" w:hAnsi="Times New Roman" w:cs="Times New Roman"/>
          <w:sz w:val="24"/>
          <w:szCs w:val="24"/>
          <w:lang w:val="en-US"/>
        </w:rPr>
        <w:t>e disallowed under the provisions of</w:t>
      </w:r>
      <w:r w:rsidR="00C7608B" w:rsidRPr="001F14E6">
        <w:rPr>
          <w:rFonts w:ascii="Times New Roman" w:hAnsi="Times New Roman" w:cs="Times New Roman"/>
          <w:sz w:val="24"/>
          <w:szCs w:val="24"/>
          <w:lang w:val="en-US"/>
        </w:rPr>
        <w:t xml:space="preserve"> s15 (2) (a).  It is, however, necessary to define the ambit of the inquiry </w:t>
      </w:r>
      <w:r w:rsidR="00C7608B" w:rsidRPr="001F14E6">
        <w:rPr>
          <w:rFonts w:ascii="Times New Roman" w:hAnsi="Times New Roman" w:cs="Times New Roman"/>
          <w:i/>
          <w:sz w:val="24"/>
          <w:szCs w:val="24"/>
          <w:lang w:val="en-US"/>
        </w:rPr>
        <w:t>in casu</w:t>
      </w:r>
      <w:r w:rsidR="00C7608B" w:rsidRPr="001F14E6">
        <w:rPr>
          <w:rFonts w:ascii="Times New Roman" w:hAnsi="Times New Roman" w:cs="Times New Roman"/>
          <w:sz w:val="24"/>
          <w:szCs w:val="24"/>
          <w:lang w:val="en-US"/>
        </w:rPr>
        <w:t>, in view of the agreed issue set out in paragraph 1.3 of the joint minute between the parties.  In the event that management services were rendered by IAL to the appellant, in terms of issue 1.3, supra I must proceed to determine whether</w:t>
      </w:r>
    </w:p>
    <w:p w:rsidR="00812377" w:rsidRPr="00E106B1" w:rsidRDefault="00C7608B" w:rsidP="00E106B1">
      <w:pPr>
        <w:spacing w:after="0"/>
        <w:ind w:left="720" w:firstLine="60"/>
        <w:jc w:val="both"/>
        <w:rPr>
          <w:rFonts w:ascii="Times New Roman" w:hAnsi="Times New Roman" w:cs="Times New Roman"/>
          <w:lang w:val="en-US"/>
        </w:rPr>
      </w:pPr>
      <w:r w:rsidRPr="00E106B1">
        <w:rPr>
          <w:rFonts w:ascii="Times New Roman" w:hAnsi="Times New Roman" w:cs="Times New Roman"/>
          <w:lang w:val="en-US"/>
        </w:rPr>
        <w:t>“… the full amount or any portion thereof of the management fees … are deductible in computing the income tax liability of the appellant in each of the tax years.”</w:t>
      </w:r>
    </w:p>
    <w:p w:rsidR="00E106B1" w:rsidRPr="001F14E6" w:rsidRDefault="00E106B1" w:rsidP="00E106B1">
      <w:pPr>
        <w:spacing w:after="0"/>
        <w:ind w:left="720" w:firstLine="60"/>
        <w:jc w:val="both"/>
        <w:rPr>
          <w:rFonts w:ascii="Times New Roman" w:hAnsi="Times New Roman" w:cs="Times New Roman"/>
          <w:sz w:val="24"/>
          <w:szCs w:val="24"/>
          <w:lang w:val="en-US"/>
        </w:rPr>
      </w:pPr>
    </w:p>
    <w:p w:rsidR="00C7608B" w:rsidRPr="001F14E6" w:rsidRDefault="00C7608B" w:rsidP="00641CD7">
      <w:pPr>
        <w:spacing w:after="0"/>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framing of the issue in this fashion takes into account the wording of s5 (2) (a).   s15 (2) (a) reads:</w:t>
      </w:r>
    </w:p>
    <w:p w:rsidR="00C7608B" w:rsidRPr="00E106B1" w:rsidRDefault="00C7608B" w:rsidP="00641CD7">
      <w:pPr>
        <w:pStyle w:val="NoSpacing"/>
        <w:jc w:val="both"/>
        <w:rPr>
          <w:rFonts w:ascii="Times New Roman" w:hAnsi="Times New Roman" w:cs="Times New Roman"/>
          <w:lang w:val="en-US"/>
        </w:rPr>
      </w:pPr>
      <w:r w:rsidRPr="001F14E6">
        <w:rPr>
          <w:rFonts w:ascii="Times New Roman" w:hAnsi="Times New Roman" w:cs="Times New Roman"/>
          <w:sz w:val="24"/>
          <w:szCs w:val="24"/>
          <w:lang w:val="en-US"/>
        </w:rPr>
        <w:tab/>
      </w:r>
      <w:r w:rsidRPr="00E106B1">
        <w:rPr>
          <w:rFonts w:ascii="Times New Roman" w:hAnsi="Times New Roman" w:cs="Times New Roman"/>
          <w:lang w:val="en-US"/>
        </w:rPr>
        <w:t>“15 (2)</w:t>
      </w:r>
      <w:r w:rsidRPr="00E106B1">
        <w:rPr>
          <w:rFonts w:ascii="Times New Roman" w:hAnsi="Times New Roman" w:cs="Times New Roman"/>
          <w:lang w:val="en-US"/>
        </w:rPr>
        <w:tab/>
        <w:t>The deductions allowed shall be –</w:t>
      </w:r>
    </w:p>
    <w:p w:rsidR="00C7608B" w:rsidRPr="00E106B1" w:rsidRDefault="00C7608B" w:rsidP="00641CD7">
      <w:pPr>
        <w:pStyle w:val="NoSpacing"/>
        <w:numPr>
          <w:ilvl w:val="0"/>
          <w:numId w:val="9"/>
        </w:numPr>
        <w:jc w:val="both"/>
        <w:rPr>
          <w:rFonts w:ascii="Times New Roman" w:hAnsi="Times New Roman" w:cs="Times New Roman"/>
          <w:lang w:val="en-US"/>
        </w:rPr>
      </w:pPr>
      <w:r w:rsidRPr="00E106B1">
        <w:rPr>
          <w:rFonts w:ascii="Times New Roman" w:hAnsi="Times New Roman" w:cs="Times New Roman"/>
          <w:lang w:val="en-US"/>
        </w:rPr>
        <w:t xml:space="preserve">Expenditure and losses to the </w:t>
      </w:r>
      <w:r w:rsidRPr="00E106B1">
        <w:rPr>
          <w:rFonts w:ascii="Times New Roman" w:hAnsi="Times New Roman" w:cs="Times New Roman"/>
          <w:u w:val="single"/>
          <w:lang w:val="en-US"/>
        </w:rPr>
        <w:t>extent to which</w:t>
      </w:r>
      <w:r w:rsidRPr="00E106B1">
        <w:rPr>
          <w:rFonts w:ascii="Times New Roman" w:hAnsi="Times New Roman" w:cs="Times New Roman"/>
          <w:lang w:val="en-US"/>
        </w:rPr>
        <w:t xml:space="preserve"> they are incurred for the purpose of trade or in the production of income …” (emphasis added)  </w:t>
      </w:r>
    </w:p>
    <w:p w:rsidR="00C7608B" w:rsidRPr="001F14E6" w:rsidRDefault="00C7608B" w:rsidP="00641CD7">
      <w:pPr>
        <w:pStyle w:val="NoSpacing"/>
        <w:ind w:firstLine="720"/>
        <w:jc w:val="both"/>
        <w:rPr>
          <w:rFonts w:ascii="Times New Roman" w:hAnsi="Times New Roman" w:cs="Times New Roman"/>
          <w:sz w:val="24"/>
          <w:szCs w:val="24"/>
          <w:lang w:val="en-US"/>
        </w:rPr>
      </w:pPr>
    </w:p>
    <w:p w:rsidR="00E106B1" w:rsidRDefault="00C7608B" w:rsidP="00E106B1">
      <w:pPr>
        <w:pStyle w:val="NoSpacing"/>
        <w:spacing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This provision requires that the tax payer establishes “the extent” to which any losses or expenditure</w:t>
      </w:r>
      <w:r w:rsidR="00F81E5C" w:rsidRPr="001F14E6">
        <w:rPr>
          <w:rFonts w:ascii="Times New Roman" w:hAnsi="Times New Roman" w:cs="Times New Roman"/>
          <w:sz w:val="24"/>
          <w:szCs w:val="24"/>
          <w:lang w:val="en-US"/>
        </w:rPr>
        <w:t xml:space="preserve"> have been incurred for the purposes of its trade or for the production of income.  It is not sufficient for the tax payer to prove that services were rendered.  The tax payer must go further to prove that the services were rendered to the full extent for the purposes of its trade or the production of income.</w:t>
      </w:r>
    </w:p>
    <w:p w:rsidR="00067EC5" w:rsidRPr="001F14E6" w:rsidRDefault="00067EC5" w:rsidP="00E106B1">
      <w:pPr>
        <w:pStyle w:val="NoSpacing"/>
        <w:spacing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In </w:t>
      </w:r>
      <w:r w:rsidRPr="001F14E6">
        <w:rPr>
          <w:rFonts w:ascii="Times New Roman" w:hAnsi="Times New Roman" w:cs="Times New Roman"/>
          <w:i/>
          <w:sz w:val="24"/>
          <w:szCs w:val="24"/>
          <w:lang w:val="en-US"/>
        </w:rPr>
        <w:t>Z (Pvt) Ltd</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 xml:space="preserve">ZIMRA </w:t>
      </w:r>
      <w:r w:rsidRPr="001F14E6">
        <w:rPr>
          <w:rFonts w:ascii="Times New Roman" w:hAnsi="Times New Roman" w:cs="Times New Roman"/>
          <w:sz w:val="24"/>
          <w:szCs w:val="24"/>
          <w:lang w:val="en-US"/>
        </w:rPr>
        <w:t xml:space="preserve">2014 (2) ZLR 568 (H) at 575A </w:t>
      </w:r>
      <w:r w:rsidR="00E106B1" w:rsidRPr="00E106B1">
        <w:rPr>
          <w:rFonts w:ascii="Times New Roman" w:hAnsi="Times New Roman" w:cs="Times New Roman"/>
          <w:smallCaps/>
          <w:sz w:val="24"/>
          <w:szCs w:val="24"/>
          <w:lang w:val="en-US"/>
        </w:rPr>
        <w:t>kudya j</w:t>
      </w:r>
      <w:r w:rsidRPr="001F14E6">
        <w:rPr>
          <w:rFonts w:ascii="Times New Roman" w:hAnsi="Times New Roman" w:cs="Times New Roman"/>
          <w:sz w:val="24"/>
          <w:szCs w:val="24"/>
          <w:lang w:val="en-US"/>
        </w:rPr>
        <w:t xml:space="preserve"> (as he then was) correctly amplified this</w:t>
      </w:r>
      <w:r w:rsidR="000C2E6B" w:rsidRPr="001F14E6">
        <w:rPr>
          <w:rFonts w:ascii="Times New Roman" w:hAnsi="Times New Roman" w:cs="Times New Roman"/>
          <w:sz w:val="24"/>
          <w:szCs w:val="24"/>
          <w:lang w:val="en-US"/>
        </w:rPr>
        <w:t xml:space="preserve"> </w:t>
      </w:r>
      <w:r w:rsidRPr="001F14E6">
        <w:rPr>
          <w:rFonts w:ascii="Times New Roman" w:hAnsi="Times New Roman" w:cs="Times New Roman"/>
          <w:sz w:val="24"/>
          <w:szCs w:val="24"/>
          <w:lang w:val="en-US"/>
        </w:rPr>
        <w:t>test as follows:</w:t>
      </w:r>
    </w:p>
    <w:p w:rsidR="000C2E6B" w:rsidRPr="00E106B1" w:rsidRDefault="000C2E6B"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t xml:space="preserve">“In </w:t>
      </w:r>
      <w:r w:rsidRPr="00E106B1">
        <w:rPr>
          <w:rFonts w:ascii="Times New Roman" w:hAnsi="Times New Roman" w:cs="Times New Roman"/>
          <w:i/>
          <w:lang w:val="en-US"/>
        </w:rPr>
        <w:t>Commissioner of Taxes</w:t>
      </w:r>
      <w:r w:rsidRPr="00E106B1">
        <w:rPr>
          <w:rFonts w:ascii="Times New Roman" w:hAnsi="Times New Roman" w:cs="Times New Roman"/>
          <w:lang w:val="en-US"/>
        </w:rPr>
        <w:t xml:space="preserve"> v </w:t>
      </w:r>
      <w:r w:rsidRPr="00E106B1">
        <w:rPr>
          <w:rFonts w:ascii="Times New Roman" w:hAnsi="Times New Roman" w:cs="Times New Roman"/>
          <w:i/>
          <w:lang w:val="en-US"/>
        </w:rPr>
        <w:t>Rendle</w:t>
      </w:r>
      <w:r w:rsidRPr="00E106B1">
        <w:rPr>
          <w:rFonts w:ascii="Times New Roman" w:hAnsi="Times New Roman" w:cs="Times New Roman"/>
          <w:lang w:val="en-US"/>
        </w:rPr>
        <w:t xml:space="preserve"> 463 (A) in fine 466; 1965 (1) SA 59 (SRA) at 62H – 63D (</w:t>
      </w:r>
      <w:r w:rsidR="00AE2DE4" w:rsidRPr="00E106B1">
        <w:rPr>
          <w:rFonts w:ascii="Times New Roman" w:hAnsi="Times New Roman" w:cs="Times New Roman"/>
          <w:lang w:val="en-US"/>
        </w:rPr>
        <w:t>which</w:t>
      </w:r>
      <w:r w:rsidRPr="00E106B1">
        <w:rPr>
          <w:rFonts w:ascii="Times New Roman" w:hAnsi="Times New Roman" w:cs="Times New Roman"/>
          <w:lang w:val="en-US"/>
        </w:rPr>
        <w:t xml:space="preserve"> was followed by SMITH J in </w:t>
      </w:r>
      <w:r w:rsidRPr="00E106B1">
        <w:rPr>
          <w:rFonts w:ascii="Times New Roman" w:hAnsi="Times New Roman" w:cs="Times New Roman"/>
          <w:i/>
          <w:lang w:val="en-US"/>
        </w:rPr>
        <w:t>S (Pvt) Ltd</w:t>
      </w:r>
      <w:r w:rsidR="00BC796C" w:rsidRPr="00E106B1">
        <w:rPr>
          <w:rFonts w:ascii="Times New Roman" w:hAnsi="Times New Roman" w:cs="Times New Roman"/>
          <w:lang w:val="en-US"/>
        </w:rPr>
        <w:t xml:space="preserve"> v </w:t>
      </w:r>
      <w:r w:rsidR="00BC796C" w:rsidRPr="00E106B1">
        <w:rPr>
          <w:rFonts w:ascii="Times New Roman" w:hAnsi="Times New Roman" w:cs="Times New Roman"/>
          <w:i/>
          <w:lang w:val="en-US"/>
        </w:rPr>
        <w:t>Commi</w:t>
      </w:r>
      <w:r w:rsidRPr="00E106B1">
        <w:rPr>
          <w:rFonts w:ascii="Times New Roman" w:hAnsi="Times New Roman" w:cs="Times New Roman"/>
          <w:i/>
          <w:lang w:val="en-US"/>
        </w:rPr>
        <w:t>ssioner of Taxes</w:t>
      </w:r>
      <w:r w:rsidRPr="00E106B1">
        <w:rPr>
          <w:rFonts w:ascii="Times New Roman" w:hAnsi="Times New Roman" w:cs="Times New Roman"/>
          <w:lang w:val="en-US"/>
        </w:rPr>
        <w:t xml:space="preserve"> 1985 (4) SA 34 (ZH) at 385-39D), BEADLE CJ stated that:</w:t>
      </w:r>
    </w:p>
    <w:p w:rsidR="00BC796C" w:rsidRPr="00E106B1" w:rsidRDefault="000C2E6B" w:rsidP="00641CD7">
      <w:pPr>
        <w:pStyle w:val="NoSpacing"/>
        <w:jc w:val="both"/>
        <w:rPr>
          <w:rFonts w:ascii="Times New Roman" w:hAnsi="Times New Roman" w:cs="Times New Roman"/>
          <w:lang w:val="en-US"/>
        </w:rPr>
      </w:pPr>
      <w:r w:rsidRPr="00E106B1">
        <w:rPr>
          <w:rFonts w:ascii="Times New Roman" w:hAnsi="Times New Roman" w:cs="Times New Roman"/>
          <w:lang w:val="en-US"/>
        </w:rPr>
        <w:tab/>
      </w:r>
    </w:p>
    <w:p w:rsidR="000C2E6B" w:rsidRPr="00E106B1" w:rsidRDefault="000C2E6B"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t xml:space="preserve">“The broad test which is now universally applied was laid down by WATERMEYER AJP in </w:t>
      </w:r>
      <w:r w:rsidRPr="00E106B1">
        <w:rPr>
          <w:rFonts w:ascii="Times New Roman" w:hAnsi="Times New Roman" w:cs="Times New Roman"/>
          <w:i/>
          <w:lang w:val="en-US"/>
        </w:rPr>
        <w:t>Port Elizabeth El</w:t>
      </w:r>
      <w:r w:rsidR="0049123E" w:rsidRPr="00E106B1">
        <w:rPr>
          <w:rFonts w:ascii="Times New Roman" w:hAnsi="Times New Roman" w:cs="Times New Roman"/>
          <w:i/>
          <w:lang w:val="en-US"/>
        </w:rPr>
        <w:t>ectrict</w:t>
      </w:r>
      <w:r w:rsidRPr="00E106B1">
        <w:rPr>
          <w:rFonts w:ascii="Times New Roman" w:hAnsi="Times New Roman" w:cs="Times New Roman"/>
          <w:i/>
          <w:lang w:val="en-US"/>
        </w:rPr>
        <w:t xml:space="preserve"> Tramway Co</w:t>
      </w:r>
      <w:r w:rsidRPr="00E106B1">
        <w:rPr>
          <w:rFonts w:ascii="Times New Roman" w:hAnsi="Times New Roman" w:cs="Times New Roman"/>
          <w:lang w:val="en-US"/>
        </w:rPr>
        <w:t xml:space="preserve"> v </w:t>
      </w:r>
      <w:r w:rsidRPr="00E106B1">
        <w:rPr>
          <w:rFonts w:ascii="Times New Roman" w:hAnsi="Times New Roman" w:cs="Times New Roman"/>
          <w:i/>
          <w:lang w:val="en-US"/>
        </w:rPr>
        <w:t xml:space="preserve">Commissioner for Inland Revenue </w:t>
      </w:r>
      <w:r w:rsidRPr="00E106B1">
        <w:rPr>
          <w:rFonts w:ascii="Times New Roman" w:hAnsi="Times New Roman" w:cs="Times New Roman"/>
          <w:lang w:val="en-US"/>
        </w:rPr>
        <w:t xml:space="preserve">1936 CPD 241 at 246.  This test, with slight alteration in the wording was approved by the Appellate Division in Commissioner of </w:t>
      </w:r>
      <w:r w:rsidRPr="00E106B1">
        <w:rPr>
          <w:rFonts w:ascii="Times New Roman" w:hAnsi="Times New Roman" w:cs="Times New Roman"/>
          <w:i/>
          <w:lang w:val="en-US"/>
        </w:rPr>
        <w:t>Inland Revenue</w:t>
      </w:r>
      <w:r w:rsidRPr="00E106B1">
        <w:rPr>
          <w:rFonts w:ascii="Times New Roman" w:hAnsi="Times New Roman" w:cs="Times New Roman"/>
          <w:lang w:val="en-US"/>
        </w:rPr>
        <w:t xml:space="preserve"> v </w:t>
      </w:r>
      <w:r w:rsidRPr="00E106B1">
        <w:rPr>
          <w:rFonts w:ascii="Times New Roman" w:hAnsi="Times New Roman" w:cs="Times New Roman"/>
          <w:i/>
          <w:lang w:val="en-US"/>
        </w:rPr>
        <w:t>Gem &amp; Co (Pty) Ltd</w:t>
      </w:r>
      <w:r w:rsidRPr="00E106B1">
        <w:rPr>
          <w:rFonts w:ascii="Times New Roman" w:hAnsi="Times New Roman" w:cs="Times New Roman"/>
          <w:lang w:val="en-US"/>
        </w:rPr>
        <w:t xml:space="preserve"> 1955 (3) SA 293 (A) at 299, and the test as modified by the Appellate Division has subsequently</w:t>
      </w:r>
      <w:r w:rsidR="00F3010B" w:rsidRPr="00E106B1">
        <w:rPr>
          <w:rFonts w:ascii="Times New Roman" w:hAnsi="Times New Roman" w:cs="Times New Roman"/>
          <w:lang w:val="en-US"/>
        </w:rPr>
        <w:t xml:space="preserve"> been approved by that Division in the </w:t>
      </w:r>
      <w:r w:rsidR="00F3010B" w:rsidRPr="00E106B1">
        <w:rPr>
          <w:rFonts w:ascii="Times New Roman" w:hAnsi="Times New Roman" w:cs="Times New Roman"/>
          <w:i/>
          <w:lang w:val="en-US"/>
        </w:rPr>
        <w:t>Commissioner for Inland Revenue</w:t>
      </w:r>
      <w:r w:rsidR="00F3010B" w:rsidRPr="00E106B1">
        <w:rPr>
          <w:rFonts w:ascii="Times New Roman" w:hAnsi="Times New Roman" w:cs="Times New Roman"/>
          <w:lang w:val="en-US"/>
        </w:rPr>
        <w:t xml:space="preserve"> v </w:t>
      </w:r>
      <w:r w:rsidR="00F3010B" w:rsidRPr="00E106B1">
        <w:rPr>
          <w:rFonts w:ascii="Times New Roman" w:hAnsi="Times New Roman" w:cs="Times New Roman"/>
          <w:i/>
          <w:lang w:val="en-US"/>
        </w:rPr>
        <w:t>African Oxygen Ltd</w:t>
      </w:r>
      <w:r w:rsidR="00F3010B" w:rsidRPr="00E106B1">
        <w:rPr>
          <w:rFonts w:ascii="Times New Roman" w:hAnsi="Times New Roman" w:cs="Times New Roman"/>
          <w:lang w:val="en-US"/>
        </w:rPr>
        <w:t xml:space="preserve"> 1963 (1) SA 681 (A) at 688 and in </w:t>
      </w:r>
      <w:r w:rsidR="00F3010B" w:rsidRPr="00E106B1">
        <w:rPr>
          <w:rFonts w:ascii="Times New Roman" w:hAnsi="Times New Roman" w:cs="Times New Roman"/>
          <w:i/>
          <w:lang w:val="en-US"/>
        </w:rPr>
        <w:t>Commissioner for Inland Revenue</w:t>
      </w:r>
      <w:r w:rsidR="00F3010B" w:rsidRPr="00E106B1">
        <w:rPr>
          <w:rFonts w:ascii="Times New Roman" w:hAnsi="Times New Roman" w:cs="Times New Roman"/>
          <w:lang w:val="en-US"/>
        </w:rPr>
        <w:t xml:space="preserve"> v </w:t>
      </w:r>
      <w:r w:rsidR="00F3010B" w:rsidRPr="00E106B1">
        <w:rPr>
          <w:rFonts w:ascii="Times New Roman" w:hAnsi="Times New Roman" w:cs="Times New Roman"/>
          <w:i/>
          <w:lang w:val="en-US"/>
        </w:rPr>
        <w:t>Allied Building Society</w:t>
      </w:r>
      <w:r w:rsidR="00F3010B" w:rsidRPr="00E106B1">
        <w:rPr>
          <w:rFonts w:ascii="Times New Roman" w:hAnsi="Times New Roman" w:cs="Times New Roman"/>
          <w:lang w:val="en-US"/>
        </w:rPr>
        <w:t xml:space="preserve"> 1963 (4) SA 1 (A) at 13.  The broad task, which may now be regarded as the accepted test, is as follows:</w:t>
      </w:r>
    </w:p>
    <w:p w:rsidR="00F3010B" w:rsidRPr="00E106B1" w:rsidRDefault="00F3010B" w:rsidP="00641CD7">
      <w:pPr>
        <w:pStyle w:val="NoSpacing"/>
        <w:jc w:val="both"/>
        <w:rPr>
          <w:rFonts w:ascii="Times New Roman" w:hAnsi="Times New Roman" w:cs="Times New Roman"/>
          <w:lang w:val="en-US"/>
        </w:rPr>
      </w:pPr>
    </w:p>
    <w:p w:rsidR="00C47E7C" w:rsidRPr="00E106B1" w:rsidRDefault="00F3010B" w:rsidP="00641CD7">
      <w:pPr>
        <w:pStyle w:val="NoSpacing"/>
        <w:ind w:left="720"/>
        <w:jc w:val="both"/>
        <w:rPr>
          <w:rFonts w:ascii="Times New Roman" w:hAnsi="Times New Roman" w:cs="Times New Roman"/>
          <w:lang w:val="en-US"/>
        </w:rPr>
      </w:pPr>
      <w:r w:rsidRPr="00E106B1">
        <w:rPr>
          <w:rFonts w:ascii="Times New Roman" w:hAnsi="Times New Roman" w:cs="Times New Roman"/>
          <w:lang w:val="en-US"/>
        </w:rPr>
        <w:lastRenderedPageBreak/>
        <w:t xml:space="preserve">“All expenses attached to the performing of a business operation </w:t>
      </w:r>
      <w:r w:rsidRPr="00E106B1">
        <w:rPr>
          <w:rFonts w:ascii="Times New Roman" w:hAnsi="Times New Roman" w:cs="Times New Roman"/>
          <w:i/>
          <w:lang w:val="en-US"/>
        </w:rPr>
        <w:t>bona fide</w:t>
      </w:r>
      <w:r w:rsidRPr="00E106B1">
        <w:rPr>
          <w:rFonts w:ascii="Times New Roman" w:hAnsi="Times New Roman" w:cs="Times New Roman"/>
          <w:lang w:val="en-US"/>
        </w:rPr>
        <w:t xml:space="preserve"> performed for the purposes of any income are deductible whether such expenses are necessary for its performance or attached to it by chance or are bona fide incurred for the more efficient performance of such operation provided they are so closely connected with it that it would be proper, natural or reasonable to regard the expenses as part of the cost of performing the operation.”</w:t>
      </w:r>
    </w:p>
    <w:p w:rsidR="00C47E7C" w:rsidRPr="001F14E6" w:rsidRDefault="00C47E7C" w:rsidP="00641CD7">
      <w:pPr>
        <w:pStyle w:val="NoSpacing"/>
        <w:ind w:left="720"/>
        <w:jc w:val="both"/>
        <w:rPr>
          <w:rFonts w:ascii="Times New Roman" w:hAnsi="Times New Roman" w:cs="Times New Roman"/>
          <w:sz w:val="24"/>
          <w:szCs w:val="24"/>
          <w:lang w:val="en-US"/>
        </w:rPr>
      </w:pPr>
    </w:p>
    <w:p w:rsidR="00C47E7C" w:rsidRPr="001F14E6" w:rsidRDefault="00A21C2D" w:rsidP="00E106B1">
      <w:pPr>
        <w:pStyle w:val="NoSpacing"/>
        <w:spacing w:line="360" w:lineRule="auto"/>
        <w:contextual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It is beyond material dispute that during the period under review, the holding company, IAL housed group functions such as Internal Audit, Tax, Legal and Secretarial, Strategy, Operations and Corporate Communication.  The appellant provided the respondent with management services contract</w:t>
      </w:r>
      <w:r w:rsidR="0049123E"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 xml:space="preserve"> in place between the appellant and its holding company, IAL, which detail the services provided.  It also availed to the respondent invoices relating the management fees including detailed explanations of the nature of the services that are rendered from a group level.</w:t>
      </w:r>
    </w:p>
    <w:p w:rsidR="00A21C2D" w:rsidRPr="001F14E6" w:rsidRDefault="00A21C2D" w:rsidP="00E106B1">
      <w:pPr>
        <w:spacing w:after="0" w:line="360" w:lineRule="auto"/>
        <w:contextual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 xml:space="preserve">In a nutshell the issue here is whether or not the appellant received management services from IAL for the tax years 2010 to 2015.  The appellant adduced a considerable amount of evidence during the hearing.  It relied on the oral evidence (supported by documents) from the </w:t>
      </w:r>
      <w:r w:rsidR="00052706" w:rsidRPr="001F14E6">
        <w:rPr>
          <w:rFonts w:ascii="Times New Roman" w:hAnsi="Times New Roman" w:cs="Times New Roman"/>
          <w:sz w:val="24"/>
          <w:szCs w:val="24"/>
          <w:lang w:val="en-US"/>
        </w:rPr>
        <w:t>Group Director of IAL, GG, the C</w:t>
      </w:r>
      <w:r w:rsidRPr="001F14E6">
        <w:rPr>
          <w:rFonts w:ascii="Times New Roman" w:hAnsi="Times New Roman" w:cs="Times New Roman"/>
          <w:sz w:val="24"/>
          <w:szCs w:val="24"/>
          <w:lang w:val="en-US"/>
        </w:rPr>
        <w:t>ompany Secretary, ADL; the IAL Group Tax Officer RG and Finance Director of appellant MN.  Most of the testimony of these</w:t>
      </w:r>
      <w:r w:rsidR="00537FE7" w:rsidRPr="001F14E6">
        <w:rPr>
          <w:rFonts w:ascii="Times New Roman" w:hAnsi="Times New Roman" w:cs="Times New Roman"/>
          <w:sz w:val="24"/>
          <w:szCs w:val="24"/>
          <w:lang w:val="en-US"/>
        </w:rPr>
        <w:t xml:space="preserve"> high profile witnesses evinces the entrepreneurial skills of the </w:t>
      </w:r>
      <w:r w:rsidR="00DA60BD" w:rsidRPr="001F14E6">
        <w:rPr>
          <w:rFonts w:ascii="Times New Roman" w:hAnsi="Times New Roman" w:cs="Times New Roman"/>
          <w:sz w:val="24"/>
          <w:szCs w:val="24"/>
          <w:lang w:val="en-US"/>
        </w:rPr>
        <w:t>highly qualified people of the helm of IAL and the impact thereof</w:t>
      </w:r>
      <w:r w:rsidR="00A35313" w:rsidRPr="001F14E6">
        <w:rPr>
          <w:rFonts w:ascii="Times New Roman" w:hAnsi="Times New Roman" w:cs="Times New Roman"/>
          <w:sz w:val="24"/>
          <w:szCs w:val="24"/>
          <w:lang w:val="en-US"/>
        </w:rPr>
        <w:t xml:space="preserve"> on the appellant.  From a business point of view the holding company, IAL and the appellant and other subsidiaries are admirably run.  The IAL is a diversified conglomerate, operating as a management holding company for its subsidiaries and associate companies.  IAL is incorporated in Zimbabwe and is listed on the Zimbabwe Stock Exchange (“ZSE”).  The Group is involved in the manufacture, procurement, distribution and marketing of commodities for its food manufacturing and in the provision of managerial and entrepreneurial skills.  These activities are undertaken through various Group operating divisions and companies.</w:t>
      </w:r>
      <w:r w:rsidR="00FC4E20" w:rsidRPr="001F14E6">
        <w:rPr>
          <w:rFonts w:ascii="Times New Roman" w:hAnsi="Times New Roman" w:cs="Times New Roman"/>
          <w:sz w:val="24"/>
          <w:szCs w:val="24"/>
          <w:lang w:val="en-US"/>
        </w:rPr>
        <w:t xml:space="preserve">  </w:t>
      </w:r>
      <w:r w:rsidR="00C817D1" w:rsidRPr="001F14E6">
        <w:rPr>
          <w:rFonts w:ascii="Times New Roman" w:hAnsi="Times New Roman" w:cs="Times New Roman"/>
          <w:sz w:val="24"/>
          <w:szCs w:val="24"/>
          <w:lang w:val="en-US"/>
        </w:rPr>
        <w:t>The appellant one of such of the subsidiary companies.  The appellant’s modus operan</w:t>
      </w:r>
      <w:r w:rsidR="00C41DAB" w:rsidRPr="001F14E6">
        <w:rPr>
          <w:rFonts w:ascii="Times New Roman" w:hAnsi="Times New Roman" w:cs="Times New Roman"/>
          <w:sz w:val="24"/>
          <w:szCs w:val="24"/>
          <w:lang w:val="en-US"/>
        </w:rPr>
        <w:t>d</w:t>
      </w:r>
      <w:r w:rsidR="00C817D1" w:rsidRPr="001F14E6">
        <w:rPr>
          <w:rFonts w:ascii="Times New Roman" w:hAnsi="Times New Roman" w:cs="Times New Roman"/>
          <w:sz w:val="24"/>
          <w:szCs w:val="24"/>
          <w:lang w:val="en-US"/>
        </w:rPr>
        <w:t>i has already been highlighted in the preceding paragraph.  Suffice to state that IAL comp</w:t>
      </w:r>
      <w:r w:rsidR="0049123E" w:rsidRPr="001F14E6">
        <w:rPr>
          <w:rFonts w:ascii="Times New Roman" w:hAnsi="Times New Roman" w:cs="Times New Roman"/>
          <w:sz w:val="24"/>
          <w:szCs w:val="24"/>
          <w:lang w:val="en-US"/>
        </w:rPr>
        <w:t>rises</w:t>
      </w:r>
      <w:r w:rsidR="00C817D1" w:rsidRPr="001F14E6">
        <w:rPr>
          <w:rFonts w:ascii="Times New Roman" w:hAnsi="Times New Roman" w:cs="Times New Roman"/>
          <w:sz w:val="24"/>
          <w:szCs w:val="24"/>
          <w:lang w:val="en-US"/>
        </w:rPr>
        <w:t xml:space="preserve"> of a t</w:t>
      </w:r>
      <w:r w:rsidR="00C41DAB" w:rsidRPr="001F14E6">
        <w:rPr>
          <w:rFonts w:ascii="Times New Roman" w:hAnsi="Times New Roman" w:cs="Times New Roman"/>
          <w:sz w:val="24"/>
          <w:szCs w:val="24"/>
          <w:lang w:val="en-US"/>
        </w:rPr>
        <w:t>e</w:t>
      </w:r>
      <w:r w:rsidR="00C817D1" w:rsidRPr="001F14E6">
        <w:rPr>
          <w:rFonts w:ascii="Times New Roman" w:hAnsi="Times New Roman" w:cs="Times New Roman"/>
          <w:sz w:val="24"/>
          <w:szCs w:val="24"/>
          <w:lang w:val="en-US"/>
        </w:rPr>
        <w:t>am of functional exerts which vest experience and technical expertise, working to support the operations of the Group companies including the appellant, through the provision of management support services.  Through its corporate office, IAL acts as a centre of excellence consisting of a team of people that promote</w:t>
      </w:r>
      <w:r w:rsidR="00C41DAB" w:rsidRPr="001F14E6">
        <w:rPr>
          <w:rFonts w:ascii="Times New Roman" w:hAnsi="Times New Roman" w:cs="Times New Roman"/>
          <w:sz w:val="24"/>
          <w:szCs w:val="24"/>
          <w:lang w:val="en-US"/>
        </w:rPr>
        <w:t xml:space="preserve"> </w:t>
      </w:r>
      <w:r w:rsidR="00C817D1" w:rsidRPr="001F14E6">
        <w:rPr>
          <w:rFonts w:ascii="Times New Roman" w:hAnsi="Times New Roman" w:cs="Times New Roman"/>
          <w:sz w:val="24"/>
          <w:szCs w:val="24"/>
          <w:lang w:val="en-US"/>
        </w:rPr>
        <w:t>coll</w:t>
      </w:r>
      <w:r w:rsidR="00C47E7C" w:rsidRPr="001F14E6">
        <w:rPr>
          <w:rFonts w:ascii="Times New Roman" w:hAnsi="Times New Roman" w:cs="Times New Roman"/>
          <w:sz w:val="24"/>
          <w:szCs w:val="24"/>
          <w:lang w:val="en-US"/>
        </w:rPr>
        <w:t>a</w:t>
      </w:r>
      <w:r w:rsidR="00C817D1" w:rsidRPr="001F14E6">
        <w:rPr>
          <w:rFonts w:ascii="Times New Roman" w:hAnsi="Times New Roman" w:cs="Times New Roman"/>
          <w:sz w:val="24"/>
          <w:szCs w:val="24"/>
          <w:lang w:val="en-US"/>
        </w:rPr>
        <w:t>boration and use of best practices around specific focus areas to drive business results as reflected in the appellant’s overall increase production and fin</w:t>
      </w:r>
      <w:r w:rsidR="00C41DAB" w:rsidRPr="001F14E6">
        <w:rPr>
          <w:rFonts w:ascii="Times New Roman" w:hAnsi="Times New Roman" w:cs="Times New Roman"/>
          <w:sz w:val="24"/>
          <w:szCs w:val="24"/>
          <w:lang w:val="en-US"/>
        </w:rPr>
        <w:t>an</w:t>
      </w:r>
      <w:r w:rsidR="00C817D1" w:rsidRPr="001F14E6">
        <w:rPr>
          <w:rFonts w:ascii="Times New Roman" w:hAnsi="Times New Roman" w:cs="Times New Roman"/>
          <w:sz w:val="24"/>
          <w:szCs w:val="24"/>
          <w:lang w:val="en-US"/>
        </w:rPr>
        <w:t>cial indicators.  The shared service centre</w:t>
      </w:r>
      <w:r w:rsidR="00052706" w:rsidRPr="001F14E6">
        <w:rPr>
          <w:rFonts w:ascii="Times New Roman" w:hAnsi="Times New Roman" w:cs="Times New Roman"/>
          <w:sz w:val="24"/>
          <w:szCs w:val="24"/>
          <w:lang w:val="en-US"/>
        </w:rPr>
        <w:t xml:space="preserve"> arrangement, as adopted by the Group </w:t>
      </w:r>
      <w:r w:rsidR="00052706" w:rsidRPr="001F14E6">
        <w:rPr>
          <w:rFonts w:ascii="Times New Roman" w:hAnsi="Times New Roman" w:cs="Times New Roman"/>
          <w:i/>
          <w:sz w:val="24"/>
          <w:szCs w:val="24"/>
          <w:lang w:val="en-US"/>
        </w:rPr>
        <w:t>in casu</w:t>
      </w:r>
      <w:r w:rsidR="00052706" w:rsidRPr="001F14E6">
        <w:rPr>
          <w:rFonts w:ascii="Times New Roman" w:hAnsi="Times New Roman" w:cs="Times New Roman"/>
          <w:sz w:val="24"/>
          <w:szCs w:val="24"/>
          <w:lang w:val="en-US"/>
        </w:rPr>
        <w:t xml:space="preserve">, is common among multinational companies in today’s </w:t>
      </w:r>
      <w:r w:rsidR="00052706" w:rsidRPr="001F14E6">
        <w:rPr>
          <w:rFonts w:ascii="Times New Roman" w:hAnsi="Times New Roman" w:cs="Times New Roman"/>
          <w:sz w:val="24"/>
          <w:szCs w:val="24"/>
          <w:lang w:val="en-US"/>
        </w:rPr>
        <w:lastRenderedPageBreak/>
        <w:t>business environment where a Group can rely on professional in-house expertise while reducing overall cost for the administration and management of the business.  It would be expensive from a Group perspective, to duplicate the common functions at each operational subsidiary level.  This approach allows the Group entities to access professional support at reasonable expense.</w:t>
      </w:r>
    </w:p>
    <w:p w:rsidR="00052706" w:rsidRPr="001F14E6" w:rsidRDefault="00052706" w:rsidP="00E106B1">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Against this background, I propose to highlight the relevant services for which management fees were invoiced in this matter for the tax period under review.</w:t>
      </w:r>
    </w:p>
    <w:p w:rsidR="00052706" w:rsidRPr="001F14E6" w:rsidRDefault="00052706" w:rsidP="00641CD7">
      <w:pPr>
        <w:pStyle w:val="ListParagraph"/>
        <w:numPr>
          <w:ilvl w:val="0"/>
          <w:numId w:val="10"/>
        </w:numPr>
        <w:spacing w:after="0"/>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Strategic support service</w:t>
      </w:r>
    </w:p>
    <w:p w:rsidR="00052706" w:rsidRPr="001F14E6" w:rsidRDefault="00052706"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These services provide the basis for selecting lines of business, choosing an organization structure and operating procedures, analyzing and undertaking acquisitions and divestitures and responding to competitors and to market forces.  IAL, according to the testimony adduced, provides strategic advice aimed at growing the business.  This resulted in the expansion of the a</w:t>
      </w:r>
      <w:r w:rsidR="002C29E5" w:rsidRPr="001F14E6">
        <w:rPr>
          <w:rFonts w:ascii="Times New Roman" w:hAnsi="Times New Roman" w:cs="Times New Roman"/>
          <w:sz w:val="24"/>
          <w:szCs w:val="24"/>
          <w:lang w:val="en-US"/>
        </w:rPr>
        <w:t>p</w:t>
      </w:r>
      <w:r w:rsidRPr="001F14E6">
        <w:rPr>
          <w:rFonts w:ascii="Times New Roman" w:hAnsi="Times New Roman" w:cs="Times New Roman"/>
          <w:sz w:val="24"/>
          <w:szCs w:val="24"/>
          <w:lang w:val="en-US"/>
        </w:rPr>
        <w:t xml:space="preserve">pellant’s production capacity to the current 600 000 loaves </w:t>
      </w:r>
      <w:r w:rsidR="002C29E5" w:rsidRPr="001F14E6">
        <w:rPr>
          <w:rFonts w:ascii="Times New Roman" w:hAnsi="Times New Roman" w:cs="Times New Roman"/>
          <w:sz w:val="24"/>
          <w:szCs w:val="24"/>
          <w:lang w:val="en-US"/>
        </w:rPr>
        <w:t>per day from 300 000 loaves per day.  This also resulted in the appellant having the most technologically advanced plant in the country.  This evidence was given in detail during the hearing with aid of video recording of the bread manufacturing exercise.</w:t>
      </w:r>
    </w:p>
    <w:p w:rsidR="002C29E5" w:rsidRPr="001F14E6" w:rsidRDefault="002C29E5"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appellant also benefited from efficient and economic delivery of its bread because of its fleet identified and serviced at IAL level and access to better delivery platforms.</w:t>
      </w:r>
    </w:p>
    <w:p w:rsidR="002C29E5" w:rsidRPr="001F14E6" w:rsidRDefault="002C29E5" w:rsidP="00641CD7">
      <w:pPr>
        <w:pStyle w:val="ListParagraph"/>
        <w:numPr>
          <w:ilvl w:val="0"/>
          <w:numId w:val="10"/>
        </w:numPr>
        <w:spacing w:after="0"/>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Supplier negotiations</w:t>
      </w:r>
    </w:p>
    <w:p w:rsidR="002C29E5" w:rsidRPr="001F14E6" w:rsidRDefault="002C29E5"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Given IAL’s long standing suppliers and wider business relationships as it has been activ</w:t>
      </w:r>
      <w:r w:rsidR="00567583" w:rsidRPr="001F14E6">
        <w:rPr>
          <w:rFonts w:ascii="Times New Roman" w:hAnsi="Times New Roman" w:cs="Times New Roman"/>
          <w:sz w:val="24"/>
          <w:szCs w:val="24"/>
          <w:lang w:val="en-US"/>
        </w:rPr>
        <w:t>e, established and successful in the industry, it leverages from these relationships to provide assistance to the appellant through negotiation of favourable supply terms.</w:t>
      </w:r>
    </w:p>
    <w:p w:rsidR="00567583" w:rsidRPr="001F14E6" w:rsidRDefault="00567583" w:rsidP="00641CD7">
      <w:pPr>
        <w:spacing w:after="0"/>
        <w:ind w:firstLine="720"/>
        <w:jc w:val="both"/>
        <w:rPr>
          <w:rFonts w:ascii="Times New Roman" w:hAnsi="Times New Roman" w:cs="Times New Roman"/>
          <w:sz w:val="24"/>
          <w:szCs w:val="24"/>
          <w:lang w:val="en-US"/>
        </w:rPr>
      </w:pPr>
      <w:r w:rsidRPr="00905E89">
        <w:rPr>
          <w:rFonts w:ascii="Times New Roman" w:hAnsi="Times New Roman" w:cs="Times New Roman"/>
          <w:b/>
          <w:sz w:val="24"/>
          <w:szCs w:val="24"/>
          <w:lang w:val="en-US"/>
        </w:rPr>
        <w:t>(c)</w:t>
      </w:r>
      <w:r w:rsidRPr="001F14E6">
        <w:rPr>
          <w:rFonts w:ascii="Times New Roman" w:hAnsi="Times New Roman" w:cs="Times New Roman"/>
          <w:sz w:val="24"/>
          <w:szCs w:val="24"/>
          <w:lang w:val="en-US"/>
        </w:rPr>
        <w:tab/>
      </w:r>
      <w:r w:rsidRPr="001F14E6">
        <w:rPr>
          <w:rFonts w:ascii="Times New Roman" w:hAnsi="Times New Roman" w:cs="Times New Roman"/>
          <w:b/>
          <w:sz w:val="24"/>
          <w:szCs w:val="24"/>
          <w:lang w:val="en-US"/>
        </w:rPr>
        <w:t>Treasury function</w:t>
      </w:r>
    </w:p>
    <w:p w:rsidR="00567583" w:rsidRPr="001F14E6" w:rsidRDefault="00567583"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IAL ensures that the appellant secures cheaper financial facilities, secures long term facilities and IAL provides guaranteed facilities.  A cash pool is a banking structure which allows the balances on a number of separate accounts to be treated collectively.  The concentration of surplus cash into one account generally managed by the Group treasury improves the company’s control over cash.  Use of a cash pool can also help a company to improve its liquidity management, as total cash balances are managed centrally rather than locally.  Were IAL is experiencing cash shortfalls, it is funded from the master account at a cheaper rate than could be obtained locally or from external providers.</w:t>
      </w:r>
    </w:p>
    <w:p w:rsidR="00567583" w:rsidRPr="001F14E6" w:rsidRDefault="00567583" w:rsidP="00641CD7">
      <w:pPr>
        <w:pStyle w:val="ListParagraph"/>
        <w:spacing w:after="0"/>
        <w:jc w:val="both"/>
        <w:rPr>
          <w:rFonts w:ascii="Times New Roman" w:hAnsi="Times New Roman" w:cs="Times New Roman"/>
          <w:sz w:val="24"/>
          <w:szCs w:val="24"/>
          <w:lang w:val="en-US"/>
        </w:rPr>
      </w:pPr>
      <w:r w:rsidRPr="00905E89">
        <w:rPr>
          <w:rFonts w:ascii="Times New Roman" w:hAnsi="Times New Roman" w:cs="Times New Roman"/>
          <w:b/>
          <w:sz w:val="24"/>
          <w:szCs w:val="24"/>
          <w:lang w:val="en-US"/>
        </w:rPr>
        <w:t>(</w:t>
      </w:r>
      <w:r w:rsidR="00AE2DE4" w:rsidRPr="00905E89">
        <w:rPr>
          <w:rFonts w:ascii="Times New Roman" w:hAnsi="Times New Roman" w:cs="Times New Roman"/>
          <w:b/>
          <w:sz w:val="24"/>
          <w:szCs w:val="24"/>
          <w:lang w:val="en-US"/>
        </w:rPr>
        <w:t>d)</w:t>
      </w:r>
      <w:r w:rsidRPr="001F14E6">
        <w:rPr>
          <w:rFonts w:ascii="Times New Roman" w:hAnsi="Times New Roman" w:cs="Times New Roman"/>
          <w:sz w:val="24"/>
          <w:szCs w:val="24"/>
          <w:lang w:val="en-US"/>
        </w:rPr>
        <w:tab/>
      </w:r>
      <w:r w:rsidR="00B55554" w:rsidRPr="001F14E6">
        <w:rPr>
          <w:rFonts w:ascii="Times New Roman" w:hAnsi="Times New Roman" w:cs="Times New Roman"/>
          <w:b/>
          <w:sz w:val="24"/>
          <w:szCs w:val="24"/>
          <w:lang w:val="en-US"/>
        </w:rPr>
        <w:t>Project Management Support</w:t>
      </w:r>
    </w:p>
    <w:p w:rsidR="00B55554" w:rsidRPr="001F14E6" w:rsidRDefault="00B55554"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On an individual entity basis, if certain strategic projects are being undertaken IAL is heavily involved from a strategic and technical perspective, in designing, advising and </w:t>
      </w:r>
      <w:r w:rsidRPr="001F14E6">
        <w:rPr>
          <w:rFonts w:ascii="Times New Roman" w:hAnsi="Times New Roman" w:cs="Times New Roman"/>
          <w:sz w:val="24"/>
          <w:szCs w:val="24"/>
          <w:lang w:val="en-US"/>
        </w:rPr>
        <w:lastRenderedPageBreak/>
        <w:t>provision of strategic input.  The appellant would be involved in the direct implementation of the projects themselves, however with oversight from IAL who remains at hand as and when required.  In the circumstances, the appellant benefits from the extensive senior project management skills and expertise of IAL, which enhances its capabilities to implement appropriate strategies and ultimately</w:t>
      </w:r>
      <w:r w:rsidR="008800F6" w:rsidRPr="001F14E6">
        <w:rPr>
          <w:rFonts w:ascii="Times New Roman" w:hAnsi="Times New Roman" w:cs="Times New Roman"/>
          <w:sz w:val="24"/>
          <w:szCs w:val="24"/>
          <w:lang w:val="en-US"/>
        </w:rPr>
        <w:t xml:space="preserve"> drive revenue.</w:t>
      </w:r>
    </w:p>
    <w:p w:rsidR="008800F6" w:rsidRPr="001F14E6" w:rsidRDefault="008800F6" w:rsidP="00641CD7">
      <w:pPr>
        <w:pStyle w:val="ListParagraph"/>
        <w:spacing w:after="0"/>
        <w:jc w:val="both"/>
        <w:rPr>
          <w:rFonts w:ascii="Times New Roman" w:hAnsi="Times New Roman" w:cs="Times New Roman"/>
          <w:sz w:val="24"/>
          <w:szCs w:val="24"/>
          <w:lang w:val="en-US"/>
        </w:rPr>
      </w:pPr>
    </w:p>
    <w:p w:rsidR="008800F6" w:rsidRPr="001F14E6" w:rsidRDefault="00C47E7C" w:rsidP="00641CD7">
      <w:pPr>
        <w:pStyle w:val="ListParagraph"/>
        <w:spacing w:after="0"/>
        <w:jc w:val="both"/>
        <w:rPr>
          <w:rFonts w:ascii="Times New Roman" w:hAnsi="Times New Roman" w:cs="Times New Roman"/>
          <w:b/>
          <w:sz w:val="24"/>
          <w:szCs w:val="24"/>
          <w:lang w:val="en-US"/>
        </w:rPr>
      </w:pPr>
      <w:r w:rsidRPr="00905E89">
        <w:rPr>
          <w:rFonts w:ascii="Times New Roman" w:hAnsi="Times New Roman" w:cs="Times New Roman"/>
          <w:b/>
          <w:sz w:val="24"/>
          <w:szCs w:val="24"/>
          <w:lang w:val="en-US"/>
        </w:rPr>
        <w:t>(e</w:t>
      </w:r>
      <w:r w:rsidR="008800F6" w:rsidRPr="00905E89">
        <w:rPr>
          <w:rFonts w:ascii="Times New Roman" w:hAnsi="Times New Roman" w:cs="Times New Roman"/>
          <w:b/>
          <w:sz w:val="24"/>
          <w:szCs w:val="24"/>
          <w:lang w:val="en-US"/>
        </w:rPr>
        <w:t>)</w:t>
      </w:r>
      <w:r w:rsidR="008800F6" w:rsidRPr="001F14E6">
        <w:rPr>
          <w:rFonts w:ascii="Times New Roman" w:hAnsi="Times New Roman" w:cs="Times New Roman"/>
          <w:sz w:val="24"/>
          <w:szCs w:val="24"/>
          <w:lang w:val="en-US"/>
        </w:rPr>
        <w:tab/>
      </w:r>
      <w:r w:rsidR="008800F6" w:rsidRPr="001F14E6">
        <w:rPr>
          <w:rFonts w:ascii="Times New Roman" w:hAnsi="Times New Roman" w:cs="Times New Roman"/>
          <w:b/>
          <w:sz w:val="24"/>
          <w:szCs w:val="24"/>
          <w:lang w:val="en-US"/>
        </w:rPr>
        <w:t>Finance and Revenue</w:t>
      </w:r>
    </w:p>
    <w:p w:rsidR="008800F6" w:rsidRPr="001F14E6" w:rsidRDefault="008800F6"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IAL supports the appellant with various functions that enable the efficient running of the financial function.  The support produced by IAL leads to economies of scale as well as savings for the appellant as the company does not require a large contingency of finance staff or staff with financial qualifications to perform the functions required.</w:t>
      </w:r>
    </w:p>
    <w:p w:rsidR="008800F6" w:rsidRPr="001F14E6" w:rsidRDefault="008800F6" w:rsidP="00641CD7">
      <w:pPr>
        <w:pStyle w:val="ListParagraph"/>
        <w:spacing w:after="0"/>
        <w:ind w:left="1080"/>
        <w:jc w:val="both"/>
        <w:rPr>
          <w:rFonts w:ascii="Times New Roman" w:hAnsi="Times New Roman" w:cs="Times New Roman"/>
          <w:sz w:val="24"/>
          <w:szCs w:val="24"/>
          <w:lang w:val="en-US"/>
        </w:rPr>
      </w:pPr>
    </w:p>
    <w:p w:rsidR="008800F6" w:rsidRPr="001F14E6" w:rsidRDefault="008800F6" w:rsidP="00641CD7">
      <w:pPr>
        <w:pStyle w:val="ListParagraph"/>
        <w:numPr>
          <w:ilvl w:val="0"/>
          <w:numId w:val="5"/>
        </w:numPr>
        <w:spacing w:after="0"/>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Legal and regulatory affairs</w:t>
      </w:r>
    </w:p>
    <w:p w:rsidR="008800F6" w:rsidRPr="001F14E6" w:rsidRDefault="008800F6"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IAL provides advice on company</w:t>
      </w:r>
      <w:r w:rsidR="00E15D3F" w:rsidRPr="001F14E6">
        <w:rPr>
          <w:rFonts w:ascii="Times New Roman" w:hAnsi="Times New Roman" w:cs="Times New Roman"/>
          <w:sz w:val="24"/>
          <w:szCs w:val="24"/>
          <w:lang w:val="en-US"/>
        </w:rPr>
        <w:t xml:space="preserve"> secretarial and legal issues.  It also provides legal opinion and legal advice concerning the activities of the appellant.  The support from IAL leads to economies of scale as well as the savings for the appellant.</w:t>
      </w:r>
    </w:p>
    <w:p w:rsidR="00E15D3F" w:rsidRPr="001F14E6" w:rsidRDefault="00E15D3F" w:rsidP="00641CD7">
      <w:pPr>
        <w:pStyle w:val="ListParagraph"/>
        <w:numPr>
          <w:ilvl w:val="0"/>
          <w:numId w:val="5"/>
        </w:numPr>
        <w:spacing w:after="0"/>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Tax services</w:t>
      </w:r>
    </w:p>
    <w:p w:rsidR="00E15D3F" w:rsidRPr="001F14E6" w:rsidRDefault="00E15D3F"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appellant is generally responsible for its own tax functions.</w:t>
      </w:r>
      <w:r w:rsidR="00594B55" w:rsidRPr="001F14E6">
        <w:rPr>
          <w:rFonts w:ascii="Times New Roman" w:hAnsi="Times New Roman" w:cs="Times New Roman"/>
          <w:sz w:val="24"/>
          <w:szCs w:val="24"/>
          <w:lang w:val="en-US"/>
        </w:rPr>
        <w:t xml:space="preserve">  IAL asserts with the review of the tax computations every quarter, VAT returns, input tax claims and documentation.  IAL also asserts Group companies such as the appellant obtain clearance certificates and attend to any tax queries from the revenue authority.  This is a summation of the material aspects of the appellant’s evidence alluded to above.</w:t>
      </w:r>
    </w:p>
    <w:p w:rsidR="00594B55" w:rsidRPr="00905E89" w:rsidRDefault="00594B55" w:rsidP="00641CD7">
      <w:pPr>
        <w:pStyle w:val="ListParagraph"/>
        <w:numPr>
          <w:ilvl w:val="0"/>
          <w:numId w:val="11"/>
        </w:numPr>
        <w:spacing w:after="0"/>
        <w:jc w:val="both"/>
        <w:rPr>
          <w:rFonts w:ascii="Times New Roman" w:hAnsi="Times New Roman" w:cs="Times New Roman"/>
          <w:b/>
          <w:sz w:val="24"/>
          <w:szCs w:val="24"/>
          <w:u w:val="single"/>
          <w:lang w:val="en-US"/>
        </w:rPr>
      </w:pPr>
      <w:r w:rsidRPr="00905E89">
        <w:rPr>
          <w:rFonts w:ascii="Times New Roman" w:hAnsi="Times New Roman" w:cs="Times New Roman"/>
          <w:b/>
          <w:sz w:val="24"/>
          <w:szCs w:val="24"/>
          <w:u w:val="single"/>
          <w:lang w:val="en-US"/>
        </w:rPr>
        <w:t>Deducting of management fees</w:t>
      </w:r>
    </w:p>
    <w:p w:rsidR="00594B55" w:rsidRPr="001F14E6" w:rsidRDefault="00594B55"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w:t>
      </w:r>
      <w:r w:rsidR="006B7FCA" w:rsidRPr="001F14E6">
        <w:rPr>
          <w:rFonts w:ascii="Times New Roman" w:hAnsi="Times New Roman" w:cs="Times New Roman"/>
          <w:sz w:val="24"/>
          <w:szCs w:val="24"/>
          <w:lang w:val="en-US"/>
        </w:rPr>
        <w:t xml:space="preserve"> respondent’s Commissioner disallowed the management fees primarily on three grounds:</w:t>
      </w:r>
    </w:p>
    <w:p w:rsidR="006B7FCA" w:rsidRPr="001F14E6" w:rsidRDefault="00336946" w:rsidP="00905E89">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Firstly, there was insufficient evidence of actual services rendered.</w:t>
      </w:r>
    </w:p>
    <w:p w:rsidR="00336946" w:rsidRPr="001F14E6" w:rsidRDefault="00336946" w:rsidP="00905E89">
      <w:pPr>
        <w:pStyle w:val="ListParagraph"/>
        <w:numPr>
          <w:ilvl w:val="0"/>
          <w:numId w:val="5"/>
        </w:num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Secondly, the appellant did not provide a cost build-up of the pre-determined fees</w:t>
      </w:r>
    </w:p>
    <w:p w:rsidR="00336946" w:rsidRPr="001F14E6" w:rsidRDefault="00506A60" w:rsidP="00905E89">
      <w:pPr>
        <w:pStyle w:val="ListParagraph"/>
        <w:numPr>
          <w:ilvl w:val="0"/>
          <w:numId w:val="5"/>
        </w:numPr>
        <w:spacing w:after="0" w:line="24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w:t>
      </w:r>
      <w:r w:rsidR="00336946" w:rsidRPr="001F14E6">
        <w:rPr>
          <w:rFonts w:ascii="Times New Roman" w:hAnsi="Times New Roman" w:cs="Times New Roman"/>
          <w:sz w:val="24"/>
          <w:szCs w:val="24"/>
          <w:lang w:val="en-US"/>
        </w:rPr>
        <w:t>hirdly</w:t>
      </w:r>
      <w:r w:rsidRPr="001F14E6">
        <w:rPr>
          <w:rFonts w:ascii="Times New Roman" w:hAnsi="Times New Roman" w:cs="Times New Roman"/>
          <w:sz w:val="24"/>
          <w:szCs w:val="24"/>
          <w:lang w:val="en-US"/>
        </w:rPr>
        <w:t xml:space="preserve"> there was no proof of unique expertise that w</w:t>
      </w:r>
      <w:r w:rsidR="00AE6E3D"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s available at IAL which was not available at the appellant, which warranted the supply of such services by IAL to the appellant.</w:t>
      </w:r>
    </w:p>
    <w:p w:rsidR="00506A60" w:rsidRPr="001F14E6" w:rsidRDefault="00506A60"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 xml:space="preserve">These three grounds relied upon </w:t>
      </w:r>
      <w:r w:rsidR="00AE6E3D" w:rsidRPr="001F14E6">
        <w:rPr>
          <w:rFonts w:ascii="Times New Roman" w:hAnsi="Times New Roman" w:cs="Times New Roman"/>
          <w:sz w:val="24"/>
          <w:szCs w:val="24"/>
          <w:lang w:val="en-US"/>
        </w:rPr>
        <w:t>b</w:t>
      </w:r>
      <w:r w:rsidRPr="001F14E6">
        <w:rPr>
          <w:rFonts w:ascii="Times New Roman" w:hAnsi="Times New Roman" w:cs="Times New Roman"/>
          <w:sz w:val="24"/>
          <w:szCs w:val="24"/>
          <w:lang w:val="en-US"/>
        </w:rPr>
        <w:t>y the Commissioner have been considered in proper context.  It is trite that a parent company can arra</w:t>
      </w:r>
      <w:r w:rsidR="00AE6E3D" w:rsidRPr="001F14E6">
        <w:rPr>
          <w:rFonts w:ascii="Times New Roman" w:hAnsi="Times New Roman" w:cs="Times New Roman"/>
          <w:sz w:val="24"/>
          <w:szCs w:val="24"/>
          <w:lang w:val="en-US"/>
        </w:rPr>
        <w:t>n</w:t>
      </w:r>
      <w:r w:rsidRPr="001F14E6">
        <w:rPr>
          <w:rFonts w:ascii="Times New Roman" w:hAnsi="Times New Roman" w:cs="Times New Roman"/>
          <w:sz w:val="24"/>
          <w:szCs w:val="24"/>
          <w:lang w:val="en-US"/>
        </w:rPr>
        <w:t>ge for a wide scope of services to be available to its subsidiaries, in particular, technical, financial and c</w:t>
      </w:r>
      <w:r w:rsidR="00CE0908" w:rsidRPr="001F14E6">
        <w:rPr>
          <w:rFonts w:ascii="Times New Roman" w:hAnsi="Times New Roman" w:cs="Times New Roman"/>
          <w:sz w:val="24"/>
          <w:szCs w:val="24"/>
          <w:lang w:val="en-US"/>
        </w:rPr>
        <w:t>ommercial services.  In an inte</w:t>
      </w:r>
      <w:r w:rsidRPr="001F14E6">
        <w:rPr>
          <w:rFonts w:ascii="Times New Roman" w:hAnsi="Times New Roman" w:cs="Times New Roman"/>
          <w:sz w:val="24"/>
          <w:szCs w:val="24"/>
          <w:lang w:val="en-US"/>
        </w:rPr>
        <w:t>grated group, the board of directors and senior management of the parent company make all important decisions concerning th</w:t>
      </w:r>
      <w:r w:rsidR="00AE6E3D"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 xml:space="preserve"> affairs of its subsidiaries and the parent company, or another </w:t>
      </w:r>
      <w:r w:rsidRPr="001F14E6">
        <w:rPr>
          <w:rFonts w:ascii="Times New Roman" w:hAnsi="Times New Roman" w:cs="Times New Roman"/>
          <w:sz w:val="24"/>
          <w:szCs w:val="24"/>
          <w:lang w:val="en-US"/>
        </w:rPr>
        <w:lastRenderedPageBreak/>
        <w:t>subsidiary, may carry out all mark</w:t>
      </w:r>
      <w:r w:rsidR="00AE6E3D"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ting, training and treasury functions – OECD Transfer Pricing Guidelines for Multinational Enterprises and Tax Administrators at 7.2 and 7.4.</w:t>
      </w:r>
    </w:p>
    <w:p w:rsidR="00506A60" w:rsidRPr="001F14E6" w:rsidRDefault="00506A60"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Further, the revenue authority cannot place itself in the armchair of a businessman or in the</w:t>
      </w:r>
      <w:r w:rsidR="00CE0908" w:rsidRPr="001F14E6">
        <w:rPr>
          <w:rFonts w:ascii="Times New Roman" w:hAnsi="Times New Roman" w:cs="Times New Roman"/>
          <w:sz w:val="24"/>
          <w:szCs w:val="24"/>
          <w:lang w:val="en-US"/>
        </w:rPr>
        <w:t xml:space="preserve"> position of the Board of Directors and assume the role of deciding what is reasonable expenditure having regard to the circumstances of the case.  No businessman can be compelled to maximize its profit.  The tax authorities must put themselves in the shoes of the tax payer and see how a prudent businessman would act.  The authorities must not look at the matter from their own view point but that of a prudent business an – SA Builders Ltd v CIT (2006) 289 ITR 26 (SC).  Further, I agree with what was stat</w:t>
      </w:r>
      <w:r w:rsidR="00AE6E3D" w:rsidRPr="001F14E6">
        <w:rPr>
          <w:rFonts w:ascii="Times New Roman" w:hAnsi="Times New Roman" w:cs="Times New Roman"/>
          <w:sz w:val="24"/>
          <w:szCs w:val="24"/>
          <w:lang w:val="en-US"/>
        </w:rPr>
        <w:t>e</w:t>
      </w:r>
      <w:r w:rsidR="00CE0908" w:rsidRPr="001F14E6">
        <w:rPr>
          <w:rFonts w:ascii="Times New Roman" w:hAnsi="Times New Roman" w:cs="Times New Roman"/>
          <w:sz w:val="24"/>
          <w:szCs w:val="24"/>
          <w:lang w:val="en-US"/>
        </w:rPr>
        <w:t xml:space="preserve">d by Australia’s Full Federal Court on the function of the tax authorities and fiscal legislation.  In FC of T v BHP Billion Finance Ltd 2010 ATC 20169 at paragraph [18] the said court quoted with approval from </w:t>
      </w:r>
      <w:r w:rsidR="00CE0908" w:rsidRPr="001F14E6">
        <w:rPr>
          <w:rFonts w:ascii="Times New Roman" w:hAnsi="Times New Roman" w:cs="Times New Roman"/>
          <w:i/>
          <w:sz w:val="24"/>
          <w:szCs w:val="24"/>
          <w:lang w:val="en-US"/>
        </w:rPr>
        <w:t>Tweddle</w:t>
      </w:r>
      <w:r w:rsidR="00CE0908" w:rsidRPr="001F14E6">
        <w:rPr>
          <w:rFonts w:ascii="Times New Roman" w:hAnsi="Times New Roman" w:cs="Times New Roman"/>
          <w:sz w:val="24"/>
          <w:szCs w:val="24"/>
          <w:lang w:val="en-US"/>
        </w:rPr>
        <w:t xml:space="preserve"> v </w:t>
      </w:r>
      <w:r w:rsidR="00CE0908" w:rsidRPr="001F14E6">
        <w:rPr>
          <w:rFonts w:ascii="Times New Roman" w:hAnsi="Times New Roman" w:cs="Times New Roman"/>
          <w:i/>
          <w:sz w:val="24"/>
          <w:szCs w:val="24"/>
          <w:lang w:val="en-US"/>
        </w:rPr>
        <w:t xml:space="preserve">FCT </w:t>
      </w:r>
      <w:r w:rsidR="00CE0908" w:rsidRPr="001F14E6">
        <w:rPr>
          <w:rFonts w:ascii="Times New Roman" w:hAnsi="Times New Roman" w:cs="Times New Roman"/>
          <w:sz w:val="24"/>
          <w:szCs w:val="24"/>
          <w:lang w:val="en-US"/>
        </w:rPr>
        <w:t>(1942) 180 CLR at 7 where WILLIAMS J staid that:</w:t>
      </w:r>
    </w:p>
    <w:p w:rsidR="00067EC5" w:rsidRPr="00905E89" w:rsidRDefault="00905E89" w:rsidP="00641CD7">
      <w:pPr>
        <w:pStyle w:val="NoSpacing"/>
        <w:ind w:left="720"/>
        <w:jc w:val="both"/>
        <w:rPr>
          <w:rFonts w:ascii="Times New Roman" w:hAnsi="Times New Roman" w:cs="Times New Roman"/>
          <w:lang w:val="en-US"/>
        </w:rPr>
      </w:pPr>
      <w:r w:rsidRPr="00905E89">
        <w:rPr>
          <w:rFonts w:ascii="Times New Roman" w:hAnsi="Times New Roman" w:cs="Times New Roman"/>
          <w:lang w:val="en-US"/>
        </w:rPr>
        <w:t>“</w:t>
      </w:r>
      <w:r w:rsidR="00AE6E3D" w:rsidRPr="00905E89">
        <w:rPr>
          <w:rFonts w:ascii="Times New Roman" w:hAnsi="Times New Roman" w:cs="Times New Roman"/>
          <w:lang w:val="en-US"/>
        </w:rPr>
        <w:t xml:space="preserve">it is not </w:t>
      </w:r>
      <w:r w:rsidR="00A00B52" w:rsidRPr="00905E89">
        <w:rPr>
          <w:rFonts w:ascii="Times New Roman" w:hAnsi="Times New Roman" w:cs="Times New Roman"/>
          <w:lang w:val="en-US"/>
        </w:rPr>
        <w:t>suggested that it is the function of the Income Tax Act</w:t>
      </w:r>
      <w:r w:rsidR="0049123E" w:rsidRPr="00905E89">
        <w:rPr>
          <w:rFonts w:ascii="Times New Roman" w:hAnsi="Times New Roman" w:cs="Times New Roman"/>
          <w:lang w:val="en-US"/>
        </w:rPr>
        <w:t>s</w:t>
      </w:r>
      <w:r w:rsidR="00A00B52" w:rsidRPr="00905E89">
        <w:rPr>
          <w:rFonts w:ascii="Times New Roman" w:hAnsi="Times New Roman" w:cs="Times New Roman"/>
          <w:lang w:val="en-US"/>
        </w:rPr>
        <w:t xml:space="preserve"> or those who administer them to dictate to tax payers in what business they should engage or how to run their business profitably or economically.  The Act must operate upon the result of a tax payer’s activities as it finds them.  If a tax payer is in fact engaged in two businesses, one profitable and the other showing a loss, the Commissioner is not entitled to say he must close down the unprofitable business and cut his losses even if it might be better in his own interests and although it certainly would be better in the interests of the Commissioner if he did as: </w:t>
      </w:r>
      <w:r w:rsidR="00A00B52" w:rsidRPr="00905E89">
        <w:rPr>
          <w:rFonts w:ascii="Times New Roman" w:hAnsi="Times New Roman" w:cs="Times New Roman"/>
          <w:i/>
          <w:lang w:val="en-US"/>
        </w:rPr>
        <w:t>Toohey’s Ltd</w:t>
      </w:r>
      <w:r w:rsidR="00A00B52" w:rsidRPr="00905E89">
        <w:rPr>
          <w:rFonts w:ascii="Times New Roman" w:hAnsi="Times New Roman" w:cs="Times New Roman"/>
          <w:lang w:val="en-US"/>
        </w:rPr>
        <w:t xml:space="preserve"> v </w:t>
      </w:r>
      <w:r w:rsidR="00A00B52" w:rsidRPr="00905E89">
        <w:rPr>
          <w:rFonts w:ascii="Times New Roman" w:hAnsi="Times New Roman" w:cs="Times New Roman"/>
          <w:i/>
          <w:lang w:val="en-US"/>
        </w:rPr>
        <w:t xml:space="preserve">Commissioner of Taxation </w:t>
      </w:r>
      <w:r w:rsidR="00A00B52" w:rsidRPr="00905E89">
        <w:rPr>
          <w:rFonts w:ascii="Times New Roman" w:hAnsi="Times New Roman" w:cs="Times New Roman"/>
          <w:lang w:val="en-US"/>
        </w:rPr>
        <w:t>(NSW) (1922</w:t>
      </w:r>
      <w:r w:rsidRPr="00905E89">
        <w:rPr>
          <w:rFonts w:ascii="Times New Roman" w:hAnsi="Times New Roman" w:cs="Times New Roman"/>
          <w:lang w:val="en-US"/>
        </w:rPr>
        <w:t>) 22 SR (NSW) 432 at pp 44044,]”</w:t>
      </w:r>
    </w:p>
    <w:p w:rsidR="00A00B52" w:rsidRPr="001F14E6" w:rsidRDefault="00A00B52" w:rsidP="00641CD7">
      <w:pPr>
        <w:pStyle w:val="NoSpacing"/>
        <w:jc w:val="both"/>
        <w:rPr>
          <w:rFonts w:ascii="Times New Roman" w:hAnsi="Times New Roman" w:cs="Times New Roman"/>
          <w:sz w:val="24"/>
          <w:szCs w:val="24"/>
          <w:lang w:val="en-US"/>
        </w:rPr>
      </w:pPr>
    </w:p>
    <w:p w:rsidR="00D70ED0" w:rsidRPr="001F14E6" w:rsidRDefault="00A00B52"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Further, in Income Tax case number (1847) 73 SATC 126 the court</w:t>
      </w:r>
      <w:r w:rsidR="00687E58" w:rsidRPr="001F14E6">
        <w:rPr>
          <w:rFonts w:ascii="Times New Roman" w:hAnsi="Times New Roman" w:cs="Times New Roman"/>
          <w:sz w:val="24"/>
          <w:szCs w:val="24"/>
          <w:lang w:val="en-US"/>
        </w:rPr>
        <w:t xml:space="preserve"> reminded the Commissioner of SARS after the latter had disallowed management and marketing fees paid by a subsidiary to its holding company that:</w:t>
      </w:r>
    </w:p>
    <w:p w:rsidR="00AF5EC0" w:rsidRPr="00905E89" w:rsidRDefault="00687E58" w:rsidP="00641CD7">
      <w:pPr>
        <w:pStyle w:val="NoSpacing"/>
        <w:ind w:left="720"/>
        <w:jc w:val="both"/>
        <w:rPr>
          <w:rFonts w:ascii="Times New Roman" w:hAnsi="Times New Roman" w:cs="Times New Roman"/>
          <w:lang w:val="en-US"/>
        </w:rPr>
      </w:pPr>
      <w:r w:rsidRPr="00905E89">
        <w:rPr>
          <w:rFonts w:ascii="Times New Roman" w:hAnsi="Times New Roman" w:cs="Times New Roman"/>
          <w:lang w:val="en-US"/>
        </w:rPr>
        <w:t xml:space="preserve">“it is not for the court or the Commissioner to say, with the benefit of hindsight be disallowed on the basis that it was not strictly ‘necessary’, or that it was not as effective as it could have been.  If the purpose of the expenditure was to produce income, in the course of trade, and the expenditure was not of a capital nature, then that is sufficient.  Accordingly, the respondent was wrong in his assessment of these fees.”  </w:t>
      </w:r>
    </w:p>
    <w:p w:rsidR="00AF5EC0" w:rsidRPr="001F14E6" w:rsidRDefault="00AF5EC0" w:rsidP="00641CD7">
      <w:pPr>
        <w:pStyle w:val="NoSpacing"/>
        <w:jc w:val="both"/>
        <w:rPr>
          <w:rFonts w:ascii="Times New Roman" w:hAnsi="Times New Roman" w:cs="Times New Roman"/>
          <w:sz w:val="24"/>
          <w:szCs w:val="24"/>
          <w:lang w:val="en-US"/>
        </w:rPr>
      </w:pPr>
    </w:p>
    <w:p w:rsidR="00687E58" w:rsidRPr="001F14E6" w:rsidRDefault="00687E58"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 this said case the court accepted t</w:t>
      </w:r>
      <w:r w:rsidR="00AF5EC0" w:rsidRPr="001F14E6">
        <w:rPr>
          <w:rFonts w:ascii="Times New Roman" w:hAnsi="Times New Roman" w:cs="Times New Roman"/>
          <w:sz w:val="24"/>
          <w:szCs w:val="24"/>
          <w:lang w:val="en-US"/>
        </w:rPr>
        <w:t>h</w:t>
      </w:r>
      <w:r w:rsidRPr="001F14E6">
        <w:rPr>
          <w:rFonts w:ascii="Times New Roman" w:hAnsi="Times New Roman" w:cs="Times New Roman"/>
          <w:sz w:val="24"/>
          <w:szCs w:val="24"/>
          <w:lang w:val="en-US"/>
        </w:rPr>
        <w:t>at, many a time a subsidiary</w:t>
      </w:r>
      <w:r w:rsidR="00AF5EC0" w:rsidRPr="001F14E6">
        <w:rPr>
          <w:rFonts w:ascii="Times New Roman" w:hAnsi="Times New Roman" w:cs="Times New Roman"/>
          <w:sz w:val="24"/>
          <w:szCs w:val="24"/>
          <w:lang w:val="en-US"/>
        </w:rPr>
        <w:t xml:space="preserve"> is utterly dependent on its holding company </w:t>
      </w:r>
      <w:r w:rsidR="0049123E" w:rsidRPr="001F14E6">
        <w:rPr>
          <w:rFonts w:ascii="Times New Roman" w:hAnsi="Times New Roman" w:cs="Times New Roman"/>
          <w:sz w:val="24"/>
          <w:szCs w:val="24"/>
          <w:lang w:val="en-US"/>
        </w:rPr>
        <w:t xml:space="preserve">for its effective functioning.  The holding company </w:t>
      </w:r>
      <w:r w:rsidR="00AF5EC0" w:rsidRPr="001F14E6">
        <w:rPr>
          <w:rFonts w:ascii="Times New Roman" w:hAnsi="Times New Roman" w:cs="Times New Roman"/>
          <w:sz w:val="24"/>
          <w:szCs w:val="24"/>
          <w:lang w:val="en-US"/>
        </w:rPr>
        <w:t xml:space="preserve">had used its muscle, as a long established public company, to raise capital for the tax payer and from the evidence it was clear the tax payer needed the management input of the holding company and received it.  It need the global vision and strategic advice of the cosmopolitan, internationally experienced team from the holding company.  The management service fees charged by the holding company to the subsidiary were held to be in line with the </w:t>
      </w:r>
      <w:r w:rsidR="0049123E" w:rsidRPr="001F14E6">
        <w:rPr>
          <w:rFonts w:ascii="Times New Roman" w:hAnsi="Times New Roman" w:cs="Times New Roman"/>
          <w:sz w:val="24"/>
          <w:szCs w:val="24"/>
          <w:lang w:val="en-US"/>
        </w:rPr>
        <w:t>norm i</w:t>
      </w:r>
      <w:r w:rsidR="00AF5EC0" w:rsidRPr="001F14E6">
        <w:rPr>
          <w:rFonts w:ascii="Times New Roman" w:hAnsi="Times New Roman" w:cs="Times New Roman"/>
          <w:sz w:val="24"/>
          <w:szCs w:val="24"/>
          <w:lang w:val="en-US"/>
        </w:rPr>
        <w:t>n the industry.</w:t>
      </w:r>
    </w:p>
    <w:p w:rsidR="00AF5EC0" w:rsidRPr="001F14E6" w:rsidRDefault="00AF5EC0"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lastRenderedPageBreak/>
        <w:tab/>
      </w:r>
      <w:r w:rsidR="007A695D" w:rsidRPr="001F14E6">
        <w:rPr>
          <w:rFonts w:ascii="Times New Roman" w:hAnsi="Times New Roman" w:cs="Times New Roman"/>
          <w:sz w:val="24"/>
          <w:szCs w:val="24"/>
          <w:lang w:val="en-US"/>
        </w:rPr>
        <w:t>I will now consider the evidence before me in light of the above principles.  In this case it is beyond material dispute that the management fees charged by IAL to the appellant were pre-determined at the beginning of each year and subsequently invoice</w:t>
      </w:r>
      <w:r w:rsidR="004070CE" w:rsidRPr="001F14E6">
        <w:rPr>
          <w:rFonts w:ascii="Times New Roman" w:hAnsi="Times New Roman" w:cs="Times New Roman"/>
          <w:sz w:val="24"/>
          <w:szCs w:val="24"/>
          <w:lang w:val="en-US"/>
        </w:rPr>
        <w:t>s</w:t>
      </w:r>
      <w:r w:rsidR="007A695D" w:rsidRPr="001F14E6">
        <w:rPr>
          <w:rFonts w:ascii="Times New Roman" w:hAnsi="Times New Roman" w:cs="Times New Roman"/>
          <w:sz w:val="24"/>
          <w:szCs w:val="24"/>
          <w:lang w:val="en-US"/>
        </w:rPr>
        <w:t xml:space="preserve"> were then issued in respect of each</w:t>
      </w:r>
      <w:r w:rsidR="004070CE" w:rsidRPr="001F14E6">
        <w:rPr>
          <w:rFonts w:ascii="Times New Roman" w:hAnsi="Times New Roman" w:cs="Times New Roman"/>
          <w:sz w:val="24"/>
          <w:szCs w:val="24"/>
          <w:lang w:val="en-US"/>
        </w:rPr>
        <w:t xml:space="preserve"> month in the year whether or not service was actually supplied.  The position of the respondent is corroborated by the evidence of the appellant.  The Group Finance Director likened the charges for management fees levied by the IAL to subscriptions for DSTV which were pre-determined and prepaid notwithstanding the fact that the customer does not on a particular day choose to watch the programs provided.  When the respondent requested the cost build up or the evidence of the services that were rendered by IAL to the appellant, no such evidence or cost build up was produced.  The only documents produced were the contracts between IAL and the appellant.  Such contracts did not prove that in fact services had been rendered to the appellant by IAL.  The best they showed was that IAL was available to render the services as and when they were required by the appellant.  Even in the documents produced by the appellant the cost build up could not be established.  These documents are secondary evidence which do not show who authored them, when they were authored and why.  They bear no evidence as to when they were presented, if at all, to the respondent.  It is trite law in this jurisdiction that in respect of management services, the obligation to pay for such services does not arise upon the signing of a service level agreement between the holding company and its subsidiary.  The obligation is incurred when services are actually rendered.</w:t>
      </w:r>
    </w:p>
    <w:p w:rsidR="004070CE" w:rsidRPr="001F14E6" w:rsidRDefault="004070CE"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 xml:space="preserve">In </w:t>
      </w:r>
      <w:r w:rsidRPr="001F14E6">
        <w:rPr>
          <w:rFonts w:ascii="Times New Roman" w:hAnsi="Times New Roman" w:cs="Times New Roman"/>
          <w:i/>
          <w:sz w:val="24"/>
          <w:szCs w:val="24"/>
          <w:lang w:val="en-US"/>
        </w:rPr>
        <w:t>CF (Pvt) Ltd</w:t>
      </w:r>
      <w:r w:rsidR="008F4D4B" w:rsidRPr="001F14E6">
        <w:rPr>
          <w:rFonts w:ascii="Times New Roman" w:hAnsi="Times New Roman" w:cs="Times New Roman"/>
          <w:i/>
          <w:sz w:val="24"/>
          <w:szCs w:val="24"/>
          <w:lang w:val="en-US"/>
        </w:rPr>
        <w:t>, supra</w:t>
      </w:r>
      <w:r w:rsidR="008F4D4B" w:rsidRPr="001F14E6">
        <w:rPr>
          <w:rFonts w:ascii="Times New Roman" w:hAnsi="Times New Roman" w:cs="Times New Roman"/>
          <w:sz w:val="24"/>
          <w:szCs w:val="24"/>
          <w:lang w:val="en-US"/>
        </w:rPr>
        <w:t xml:space="preserve"> at p39, </w:t>
      </w:r>
      <w:r w:rsidR="00905E89" w:rsidRPr="00905E89">
        <w:rPr>
          <w:rFonts w:ascii="Times New Roman" w:hAnsi="Times New Roman" w:cs="Times New Roman"/>
          <w:smallCaps/>
          <w:sz w:val="24"/>
          <w:szCs w:val="24"/>
          <w:lang w:val="en-US"/>
        </w:rPr>
        <w:t>kudya j</w:t>
      </w:r>
      <w:r w:rsidR="008F4D4B" w:rsidRPr="001F14E6">
        <w:rPr>
          <w:rFonts w:ascii="Times New Roman" w:hAnsi="Times New Roman" w:cs="Times New Roman"/>
          <w:sz w:val="24"/>
          <w:szCs w:val="24"/>
          <w:lang w:val="en-US"/>
        </w:rPr>
        <w:t xml:space="preserve"> (as he then was) had this to say:</w:t>
      </w:r>
    </w:p>
    <w:p w:rsidR="008F4D4B" w:rsidRPr="00905E89" w:rsidRDefault="008F4D4B" w:rsidP="00905E89">
      <w:pPr>
        <w:pStyle w:val="NoSpacing"/>
        <w:ind w:left="720"/>
        <w:jc w:val="both"/>
        <w:rPr>
          <w:rFonts w:ascii="Times New Roman" w:hAnsi="Times New Roman" w:cs="Times New Roman"/>
          <w:lang w:val="en-US"/>
        </w:rPr>
      </w:pPr>
      <w:r w:rsidRPr="00905E89">
        <w:rPr>
          <w:rFonts w:ascii="Times New Roman" w:hAnsi="Times New Roman" w:cs="Times New Roman"/>
          <w:lang w:val="en-US"/>
        </w:rPr>
        <w:t xml:space="preserve">“The principle of law that LEWIS JP appears to have approved in </w:t>
      </w:r>
      <w:r w:rsidRPr="00905E89">
        <w:rPr>
          <w:rFonts w:ascii="Times New Roman" w:hAnsi="Times New Roman" w:cs="Times New Roman"/>
          <w:i/>
          <w:lang w:val="en-US"/>
        </w:rPr>
        <w:t>Commissioner of Tax</w:t>
      </w:r>
      <w:r w:rsidRPr="00905E89">
        <w:rPr>
          <w:rFonts w:ascii="Times New Roman" w:hAnsi="Times New Roman" w:cs="Times New Roman"/>
          <w:lang w:val="en-US"/>
        </w:rPr>
        <w:t xml:space="preserve"> v </w:t>
      </w:r>
      <w:r w:rsidRPr="00905E89">
        <w:rPr>
          <w:rFonts w:ascii="Times New Roman" w:hAnsi="Times New Roman" w:cs="Times New Roman"/>
          <w:i/>
          <w:lang w:val="en-US"/>
        </w:rPr>
        <w:t>A, supra</w:t>
      </w:r>
      <w:r w:rsidRPr="00905E89">
        <w:rPr>
          <w:rFonts w:ascii="Times New Roman" w:hAnsi="Times New Roman" w:cs="Times New Roman"/>
          <w:lang w:val="en-US"/>
        </w:rPr>
        <w:t xml:space="preserve">, at 415G-H by reference to two Australian cases of </w:t>
      </w:r>
      <w:r w:rsidRPr="00905E89">
        <w:rPr>
          <w:rFonts w:ascii="Times New Roman" w:hAnsi="Times New Roman" w:cs="Times New Roman"/>
          <w:i/>
          <w:lang w:val="en-US"/>
        </w:rPr>
        <w:t>Federal Commissioner of Taxes</w:t>
      </w:r>
      <w:r w:rsidRPr="00905E89">
        <w:rPr>
          <w:rFonts w:ascii="Times New Roman" w:hAnsi="Times New Roman" w:cs="Times New Roman"/>
          <w:lang w:val="en-US"/>
        </w:rPr>
        <w:t xml:space="preserve"> v </w:t>
      </w:r>
      <w:r w:rsidRPr="00905E89">
        <w:rPr>
          <w:rFonts w:ascii="Times New Roman" w:hAnsi="Times New Roman" w:cs="Times New Roman"/>
          <w:i/>
          <w:lang w:val="en-US"/>
        </w:rPr>
        <w:t>James Flood (Pty) Ltd</w:t>
      </w:r>
      <w:r w:rsidRPr="00905E89">
        <w:rPr>
          <w:rFonts w:ascii="Times New Roman" w:hAnsi="Times New Roman" w:cs="Times New Roman"/>
          <w:lang w:val="en-US"/>
        </w:rPr>
        <w:t xml:space="preserve"> (1953) 88 CLR 493 and </w:t>
      </w:r>
      <w:r w:rsidRPr="00905E89">
        <w:rPr>
          <w:rFonts w:ascii="Times New Roman" w:hAnsi="Times New Roman" w:cs="Times New Roman"/>
          <w:i/>
          <w:lang w:val="en-US"/>
        </w:rPr>
        <w:t>Nevill &amp; Co. Ltd</w:t>
      </w:r>
      <w:r w:rsidRPr="00905E89">
        <w:rPr>
          <w:rFonts w:ascii="Times New Roman" w:hAnsi="Times New Roman" w:cs="Times New Roman"/>
          <w:lang w:val="en-US"/>
        </w:rPr>
        <w:t xml:space="preserve"> v </w:t>
      </w:r>
      <w:r w:rsidRPr="00905E89">
        <w:rPr>
          <w:rFonts w:ascii="Times New Roman" w:hAnsi="Times New Roman" w:cs="Times New Roman"/>
          <w:i/>
          <w:lang w:val="en-US"/>
        </w:rPr>
        <w:t xml:space="preserve">Federal Commissioner of Taxation </w:t>
      </w:r>
      <w:r w:rsidRPr="00905E89">
        <w:rPr>
          <w:rFonts w:ascii="Times New Roman" w:hAnsi="Times New Roman" w:cs="Times New Roman"/>
          <w:lang w:val="en-US"/>
        </w:rPr>
        <w:t xml:space="preserve">and the English case of </w:t>
      </w:r>
      <w:r w:rsidRPr="00905E89">
        <w:rPr>
          <w:rFonts w:ascii="Times New Roman" w:hAnsi="Times New Roman" w:cs="Times New Roman"/>
          <w:i/>
          <w:lang w:val="en-US"/>
        </w:rPr>
        <w:t>Edward Collins and Son Ltd</w:t>
      </w:r>
      <w:r w:rsidRPr="00905E89">
        <w:rPr>
          <w:rFonts w:ascii="Times New Roman" w:hAnsi="Times New Roman" w:cs="Times New Roman"/>
          <w:lang w:val="en-US"/>
        </w:rPr>
        <w:t xml:space="preserve"> v </w:t>
      </w:r>
      <w:r w:rsidRPr="00905E89">
        <w:rPr>
          <w:rFonts w:ascii="Times New Roman" w:hAnsi="Times New Roman" w:cs="Times New Roman"/>
          <w:i/>
          <w:lang w:val="en-US"/>
        </w:rPr>
        <w:t>IRC</w:t>
      </w:r>
      <w:r w:rsidRPr="00905E89">
        <w:rPr>
          <w:rFonts w:ascii="Times New Roman" w:hAnsi="Times New Roman" w:cs="Times New Roman"/>
          <w:lang w:val="en-US"/>
        </w:rPr>
        <w:t xml:space="preserve"> 12 TC 773 at 783 was that an expenditure or loss arising from the terms and conditions set out in a contract is incurred when the contracted work is performed.  This view is supported by the  underlying words by WATERMEYE</w:t>
      </w:r>
      <w:r w:rsidR="0049123E" w:rsidRPr="00905E89">
        <w:rPr>
          <w:rFonts w:ascii="Times New Roman" w:hAnsi="Times New Roman" w:cs="Times New Roman"/>
          <w:lang w:val="en-US"/>
        </w:rPr>
        <w:t>R</w:t>
      </w:r>
      <w:r w:rsidRPr="00905E89">
        <w:rPr>
          <w:rFonts w:ascii="Times New Roman" w:hAnsi="Times New Roman" w:cs="Times New Roman"/>
          <w:lang w:val="en-US"/>
        </w:rPr>
        <w:t xml:space="preserve"> AJP in </w:t>
      </w:r>
      <w:r w:rsidRPr="00905E89">
        <w:rPr>
          <w:rFonts w:ascii="Times New Roman" w:hAnsi="Times New Roman" w:cs="Times New Roman"/>
          <w:i/>
          <w:lang w:val="en-US"/>
        </w:rPr>
        <w:t>Port Elizabeth Electric Tranway Co. Ltd</w:t>
      </w:r>
      <w:r w:rsidRPr="00905E89">
        <w:rPr>
          <w:rFonts w:ascii="Times New Roman" w:hAnsi="Times New Roman" w:cs="Times New Roman"/>
          <w:lang w:val="en-US"/>
        </w:rPr>
        <w:t xml:space="preserve"> v </w:t>
      </w:r>
      <w:r w:rsidRPr="00905E89">
        <w:rPr>
          <w:rFonts w:ascii="Times New Roman" w:hAnsi="Times New Roman" w:cs="Times New Roman"/>
          <w:i/>
          <w:lang w:val="en-US"/>
        </w:rPr>
        <w:t>CIR</w:t>
      </w:r>
      <w:r w:rsidRPr="00905E89">
        <w:rPr>
          <w:rFonts w:ascii="Times New Roman" w:hAnsi="Times New Roman" w:cs="Times New Roman"/>
          <w:lang w:val="en-US"/>
        </w:rPr>
        <w:t xml:space="preserve"> 85 SATC 13 (1936 CPD 241) wh at p15 stated that:</w:t>
      </w:r>
    </w:p>
    <w:p w:rsidR="008F4D4B" w:rsidRPr="00905E89" w:rsidRDefault="008F4D4B" w:rsidP="00641CD7">
      <w:pPr>
        <w:pStyle w:val="NoSpacing"/>
        <w:jc w:val="both"/>
        <w:rPr>
          <w:rFonts w:ascii="Times New Roman" w:hAnsi="Times New Roman" w:cs="Times New Roman"/>
          <w:lang w:val="en-US"/>
        </w:rPr>
      </w:pPr>
    </w:p>
    <w:p w:rsidR="008F4D4B" w:rsidRPr="00905E89" w:rsidRDefault="008F4D4B" w:rsidP="00641CD7">
      <w:pPr>
        <w:pStyle w:val="NoSpacing"/>
        <w:ind w:left="720"/>
        <w:jc w:val="both"/>
        <w:rPr>
          <w:rFonts w:ascii="Times New Roman" w:hAnsi="Times New Roman" w:cs="Times New Roman"/>
          <w:lang w:val="en-US"/>
        </w:rPr>
      </w:pPr>
      <w:r w:rsidRPr="00905E89">
        <w:rPr>
          <w:rFonts w:ascii="Times New Roman" w:hAnsi="Times New Roman" w:cs="Times New Roman"/>
          <w:lang w:val="en-US"/>
        </w:rPr>
        <w:t>‘But expenses ‘actually incurred’ cannot mean actually paid.  So long as the liability to pay them actually has been incurred they may be deductible. …  The clear</w:t>
      </w:r>
      <w:r w:rsidR="00347F79" w:rsidRPr="00905E89">
        <w:rPr>
          <w:rFonts w:ascii="Times New Roman" w:hAnsi="Times New Roman" w:cs="Times New Roman"/>
          <w:lang w:val="en-US"/>
        </w:rPr>
        <w:t xml:space="preserve"> principle arising from these cases is that the unconditional obligation to pay is incurred</w:t>
      </w:r>
      <w:r w:rsidR="009F6F44" w:rsidRPr="00905E89">
        <w:rPr>
          <w:rFonts w:ascii="Times New Roman" w:hAnsi="Times New Roman" w:cs="Times New Roman"/>
          <w:lang w:val="en-US"/>
        </w:rPr>
        <w:t xml:space="preserve"> when the work is done or the services are rendered.  In my view, the provision made in respect of the audit fees constituted a contingent liability, the performance of which was “impending, threatened or expected” in the future.  The appellant wrongly sought to deduct in the years in which the provisions were made.”  </w:t>
      </w:r>
      <w:r w:rsidR="009F6F44" w:rsidRPr="00905E89">
        <w:rPr>
          <w:rFonts w:ascii="Times New Roman" w:hAnsi="Times New Roman" w:cs="Times New Roman"/>
          <w:i/>
          <w:lang w:val="en-US"/>
        </w:rPr>
        <w:t>In casu</w:t>
      </w:r>
      <w:r w:rsidR="009F6F44" w:rsidRPr="00905E89">
        <w:rPr>
          <w:rFonts w:ascii="Times New Roman" w:hAnsi="Times New Roman" w:cs="Times New Roman"/>
          <w:lang w:val="en-US"/>
        </w:rPr>
        <w:t xml:space="preserve">, the dispute does not relate to whether the expenditure is “actually incurred” or “actually paid”.  The legal dispute concerns the determination as to when expenditure is “actually incurred” in circumstances where a payment has already been made on </w:t>
      </w:r>
      <w:r w:rsidR="009056C6" w:rsidRPr="00905E89">
        <w:rPr>
          <w:rFonts w:ascii="Times New Roman" w:hAnsi="Times New Roman" w:cs="Times New Roman"/>
          <w:lang w:val="en-US"/>
        </w:rPr>
        <w:t>t</w:t>
      </w:r>
      <w:r w:rsidR="009F6F44" w:rsidRPr="00905E89">
        <w:rPr>
          <w:rFonts w:ascii="Times New Roman" w:hAnsi="Times New Roman" w:cs="Times New Roman"/>
          <w:lang w:val="en-US"/>
        </w:rPr>
        <w:t>he basis</w:t>
      </w:r>
      <w:r w:rsidR="009056C6" w:rsidRPr="00905E89">
        <w:rPr>
          <w:rFonts w:ascii="Times New Roman" w:hAnsi="Times New Roman" w:cs="Times New Roman"/>
          <w:lang w:val="en-US"/>
        </w:rPr>
        <w:t xml:space="preserve"> of a contractual document but without evidence that the contacted service was “actually rendered”.</w:t>
      </w:r>
    </w:p>
    <w:p w:rsidR="009056C6" w:rsidRPr="00905E89" w:rsidRDefault="009056C6" w:rsidP="00905E89">
      <w:pPr>
        <w:pStyle w:val="NoSpacing"/>
        <w:jc w:val="both"/>
        <w:rPr>
          <w:rFonts w:ascii="Times New Roman" w:hAnsi="Times New Roman" w:cs="Times New Roman"/>
          <w:lang w:val="en-US"/>
        </w:rPr>
      </w:pPr>
      <w:r w:rsidRPr="00905E89">
        <w:rPr>
          <w:rFonts w:ascii="Times New Roman" w:hAnsi="Times New Roman" w:cs="Times New Roman"/>
          <w:lang w:val="en-US"/>
        </w:rPr>
        <w:tab/>
        <w:t>The determination as to whether the appellant is correct or not is two- fold.</w:t>
      </w:r>
    </w:p>
    <w:p w:rsidR="00C47E7C" w:rsidRPr="001F14E6" w:rsidRDefault="00C47E7C" w:rsidP="00905E89">
      <w:pPr>
        <w:pStyle w:val="NoSpacing"/>
        <w:jc w:val="both"/>
        <w:rPr>
          <w:rFonts w:ascii="Times New Roman" w:hAnsi="Times New Roman" w:cs="Times New Roman"/>
          <w:sz w:val="24"/>
          <w:szCs w:val="24"/>
          <w:lang w:val="en-US"/>
        </w:rPr>
      </w:pPr>
    </w:p>
    <w:p w:rsidR="009056C6" w:rsidRPr="001F14E6" w:rsidRDefault="009056C6"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lastRenderedPageBreak/>
        <w:tab/>
        <w:t>Firstl</w:t>
      </w:r>
      <w:r w:rsidR="00C47E7C" w:rsidRPr="001F14E6">
        <w:rPr>
          <w:rFonts w:ascii="Times New Roman" w:hAnsi="Times New Roman" w:cs="Times New Roman"/>
          <w:sz w:val="24"/>
          <w:szCs w:val="24"/>
          <w:lang w:val="en-US"/>
        </w:rPr>
        <w:t>y</w:t>
      </w:r>
      <w:r w:rsidRPr="001F14E6">
        <w:rPr>
          <w:rFonts w:ascii="Times New Roman" w:hAnsi="Times New Roman" w:cs="Times New Roman"/>
          <w:sz w:val="24"/>
          <w:szCs w:val="24"/>
          <w:lang w:val="en-US"/>
        </w:rPr>
        <w:t>, the determination is whether the conclusion of a contract for service necessarily means that the services had been rendered.  Put differently, the question is whether a payment made pursuant to the conclusion of service level contract amounts to incurring expenditure for purposes of deductions permissible in</w:t>
      </w:r>
      <w:r w:rsidR="00D8408F" w:rsidRPr="001F14E6">
        <w:rPr>
          <w:rFonts w:ascii="Times New Roman" w:hAnsi="Times New Roman" w:cs="Times New Roman"/>
          <w:sz w:val="24"/>
          <w:szCs w:val="24"/>
          <w:lang w:val="en-US"/>
        </w:rPr>
        <w:t xml:space="preserve"> terms of s15 (2)(a) of the Act.  In my view, the signing of the service level contract is not </w:t>
      </w:r>
      <w:r w:rsidR="00A50285" w:rsidRPr="001F14E6">
        <w:rPr>
          <w:rFonts w:ascii="Times New Roman" w:hAnsi="Times New Roman" w:cs="Times New Roman"/>
          <w:sz w:val="24"/>
          <w:szCs w:val="24"/>
          <w:lang w:val="en-US"/>
        </w:rPr>
        <w:t>s</w:t>
      </w:r>
      <w:r w:rsidR="00D8408F" w:rsidRPr="001F14E6">
        <w:rPr>
          <w:rFonts w:ascii="Times New Roman" w:hAnsi="Times New Roman" w:cs="Times New Roman"/>
          <w:sz w:val="24"/>
          <w:szCs w:val="24"/>
          <w:lang w:val="en-US"/>
        </w:rPr>
        <w:t>ufficient for the appellant to incur obligation to pay management fe</w:t>
      </w:r>
      <w:r w:rsidR="00FA0EA1" w:rsidRPr="001F14E6">
        <w:rPr>
          <w:rFonts w:ascii="Times New Roman" w:hAnsi="Times New Roman" w:cs="Times New Roman"/>
          <w:sz w:val="24"/>
          <w:szCs w:val="24"/>
          <w:lang w:val="en-US"/>
        </w:rPr>
        <w:t>e</w:t>
      </w:r>
      <w:r w:rsidR="00D8408F" w:rsidRPr="001F14E6">
        <w:rPr>
          <w:rFonts w:ascii="Times New Roman" w:hAnsi="Times New Roman" w:cs="Times New Roman"/>
          <w:sz w:val="24"/>
          <w:szCs w:val="24"/>
          <w:lang w:val="en-US"/>
        </w:rPr>
        <w:t>s.  In the circumstances I have to determine the second issue i.e. whether in fact any services were rendered by IAL, and if so, what the services were and how much was charged in respect of services.  This two-stage inquiry is evinced by the splitting of the issues in the joint minute of the parties.  The first issue being the question management services were rendered by IAL and the second being a determination of the extent of such services.</w:t>
      </w:r>
    </w:p>
    <w:p w:rsidR="00D8408F" w:rsidRPr="001F14E6" w:rsidRDefault="00D8408F"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 am</w:t>
      </w:r>
      <w:r w:rsidR="00FA0EA1" w:rsidRPr="001F14E6">
        <w:rPr>
          <w:rFonts w:ascii="Times New Roman" w:hAnsi="Times New Roman" w:cs="Times New Roman"/>
          <w:sz w:val="24"/>
          <w:szCs w:val="24"/>
          <w:lang w:val="en-US"/>
        </w:rPr>
        <w:t xml:space="preserve"> </w:t>
      </w:r>
      <w:r w:rsidRPr="001F14E6">
        <w:rPr>
          <w:rFonts w:ascii="Times New Roman" w:hAnsi="Times New Roman" w:cs="Times New Roman"/>
          <w:sz w:val="24"/>
          <w:szCs w:val="24"/>
          <w:lang w:val="en-US"/>
        </w:rPr>
        <w:t>in agreement with the contention of the respondent that the execution of a service level agreement between the appellant and its holding company, IAL, does not amount to incurring any l</w:t>
      </w:r>
      <w:r w:rsidR="00FA0EA1"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gal obligation in respect of management fees.  Like any other con</w:t>
      </w:r>
      <w:r w:rsidR="00FA0EA1" w:rsidRPr="001F14E6">
        <w:rPr>
          <w:rFonts w:ascii="Times New Roman" w:hAnsi="Times New Roman" w:cs="Times New Roman"/>
          <w:sz w:val="24"/>
          <w:szCs w:val="24"/>
          <w:lang w:val="en-US"/>
        </w:rPr>
        <w:t>t</w:t>
      </w:r>
      <w:r w:rsidRPr="001F14E6">
        <w:rPr>
          <w:rFonts w:ascii="Times New Roman" w:hAnsi="Times New Roman" w:cs="Times New Roman"/>
          <w:sz w:val="24"/>
          <w:szCs w:val="24"/>
          <w:lang w:val="en-US"/>
        </w:rPr>
        <w:t>ract, the incurrence of a lega</w:t>
      </w:r>
      <w:r w:rsidR="00FA0EA1" w:rsidRPr="001F14E6">
        <w:rPr>
          <w:rFonts w:ascii="Times New Roman" w:hAnsi="Times New Roman" w:cs="Times New Roman"/>
          <w:sz w:val="24"/>
          <w:szCs w:val="24"/>
          <w:lang w:val="en-US"/>
        </w:rPr>
        <w:t>l obligation depends on the perf</w:t>
      </w:r>
      <w:r w:rsidRPr="001F14E6">
        <w:rPr>
          <w:rFonts w:ascii="Times New Roman" w:hAnsi="Times New Roman" w:cs="Times New Roman"/>
          <w:sz w:val="24"/>
          <w:szCs w:val="24"/>
          <w:lang w:val="en-US"/>
        </w:rPr>
        <w:t xml:space="preserve">ormance by the parties of </w:t>
      </w:r>
      <w:r w:rsidR="00FA0EA1" w:rsidRPr="001F14E6">
        <w:rPr>
          <w:rFonts w:ascii="Times New Roman" w:hAnsi="Times New Roman" w:cs="Times New Roman"/>
          <w:sz w:val="24"/>
          <w:szCs w:val="24"/>
          <w:lang w:val="en-US"/>
        </w:rPr>
        <w:t>t</w:t>
      </w:r>
      <w:r w:rsidRPr="001F14E6">
        <w:rPr>
          <w:rFonts w:ascii="Times New Roman" w:hAnsi="Times New Roman" w:cs="Times New Roman"/>
          <w:sz w:val="24"/>
          <w:szCs w:val="24"/>
          <w:lang w:val="en-US"/>
        </w:rPr>
        <w:t>heir obligations in terms of the contract.  There being no evidence that the appellant received</w:t>
      </w:r>
      <w:r w:rsidR="00FA0EA1" w:rsidRPr="001F14E6">
        <w:rPr>
          <w:rFonts w:ascii="Times New Roman" w:hAnsi="Times New Roman" w:cs="Times New Roman"/>
          <w:sz w:val="24"/>
          <w:szCs w:val="24"/>
          <w:lang w:val="en-US"/>
        </w:rPr>
        <w:t xml:space="preserve"> specified services from IAL </w:t>
      </w:r>
      <w:r w:rsidR="00077E25" w:rsidRPr="001F14E6">
        <w:rPr>
          <w:rFonts w:ascii="Times New Roman" w:hAnsi="Times New Roman" w:cs="Times New Roman"/>
          <w:sz w:val="24"/>
          <w:szCs w:val="24"/>
          <w:lang w:val="en-US"/>
        </w:rPr>
        <w:t>during the tax period under consideration (and if so the extent thereof) no legal obligation was incurred by the appellant in respect of management fees.</w:t>
      </w:r>
    </w:p>
    <w:p w:rsidR="00077E25" w:rsidRPr="001F14E6" w:rsidRDefault="00077E25" w:rsidP="00905E89">
      <w:pPr>
        <w:spacing w:after="0" w:line="360" w:lineRule="auto"/>
        <w:ind w:firstLine="72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In other words, the appellant succeeded in establishing the exist</w:t>
      </w:r>
      <w:r w:rsidR="00ED0D50" w:rsidRPr="001F14E6">
        <w:rPr>
          <w:rFonts w:ascii="Times New Roman" w:hAnsi="Times New Roman" w:cs="Times New Roman"/>
          <w:sz w:val="24"/>
          <w:szCs w:val="24"/>
          <w:lang w:val="en-US"/>
        </w:rPr>
        <w:t>en</w:t>
      </w:r>
      <w:r w:rsidRPr="001F14E6">
        <w:rPr>
          <w:rFonts w:ascii="Times New Roman" w:hAnsi="Times New Roman" w:cs="Times New Roman"/>
          <w:sz w:val="24"/>
          <w:szCs w:val="24"/>
          <w:lang w:val="en-US"/>
        </w:rPr>
        <w:t xml:space="preserve">ce of contractual relationship between it and </w:t>
      </w:r>
      <w:r w:rsidR="00380AFA" w:rsidRPr="001F14E6">
        <w:rPr>
          <w:rFonts w:ascii="Times New Roman" w:hAnsi="Times New Roman" w:cs="Times New Roman"/>
          <w:sz w:val="24"/>
          <w:szCs w:val="24"/>
          <w:lang w:val="en-US"/>
        </w:rPr>
        <w:t>its holding company.</w:t>
      </w:r>
      <w:r w:rsidR="00ED0D50" w:rsidRPr="001F14E6">
        <w:rPr>
          <w:rFonts w:ascii="Times New Roman" w:hAnsi="Times New Roman" w:cs="Times New Roman"/>
          <w:sz w:val="24"/>
          <w:szCs w:val="24"/>
          <w:lang w:val="en-US"/>
        </w:rPr>
        <w:t xml:space="preserve">  It, however, did lead evidence to establish that services were rendered to it by IAL pursuant to the service level contract and the extent of such service.  It failed to prove a cost build-up of the</w:t>
      </w:r>
      <w:r w:rsidR="00C416C6" w:rsidRPr="001F14E6">
        <w:rPr>
          <w:rFonts w:ascii="Times New Roman" w:hAnsi="Times New Roman" w:cs="Times New Roman"/>
          <w:sz w:val="24"/>
          <w:szCs w:val="24"/>
          <w:lang w:val="en-US"/>
        </w:rPr>
        <w:t xml:space="preserve"> p</w:t>
      </w:r>
      <w:r w:rsidR="00ED0D50" w:rsidRPr="001F14E6">
        <w:rPr>
          <w:rFonts w:ascii="Times New Roman" w:hAnsi="Times New Roman" w:cs="Times New Roman"/>
          <w:sz w:val="24"/>
          <w:szCs w:val="24"/>
          <w:lang w:val="en-US"/>
        </w:rPr>
        <w:t>re-determined fees when required to do so by t</w:t>
      </w:r>
      <w:r w:rsidR="000A5840" w:rsidRPr="001F14E6">
        <w:rPr>
          <w:rFonts w:ascii="Times New Roman" w:hAnsi="Times New Roman" w:cs="Times New Roman"/>
          <w:sz w:val="24"/>
          <w:szCs w:val="24"/>
          <w:lang w:val="en-US"/>
        </w:rPr>
        <w:t>h</w:t>
      </w:r>
      <w:r w:rsidR="00ED0D50" w:rsidRPr="001F14E6">
        <w:rPr>
          <w:rFonts w:ascii="Times New Roman" w:hAnsi="Times New Roman" w:cs="Times New Roman"/>
          <w:sz w:val="24"/>
          <w:szCs w:val="24"/>
          <w:lang w:val="en-US"/>
        </w:rPr>
        <w:t xml:space="preserve">e respondent.  The evidence of the Group Finance Director, supra, was not helpful in this regard.  He was not employed by IAL in this between 2010 and 2011 i.e the relevant tax period </w:t>
      </w:r>
      <w:r w:rsidR="00ED0D50" w:rsidRPr="001F14E6">
        <w:rPr>
          <w:rFonts w:ascii="Times New Roman" w:hAnsi="Times New Roman" w:cs="Times New Roman"/>
          <w:i/>
          <w:sz w:val="24"/>
          <w:szCs w:val="24"/>
          <w:lang w:val="en-US"/>
        </w:rPr>
        <w:t>in casu</w:t>
      </w:r>
      <w:r w:rsidR="00ED0D50" w:rsidRPr="001F14E6">
        <w:rPr>
          <w:rFonts w:ascii="Times New Roman" w:hAnsi="Times New Roman" w:cs="Times New Roman"/>
          <w:sz w:val="24"/>
          <w:szCs w:val="24"/>
          <w:lang w:val="en-US"/>
        </w:rPr>
        <w:t>.   His testimony pr</w:t>
      </w:r>
      <w:r w:rsidR="00C416C6" w:rsidRPr="001F14E6">
        <w:rPr>
          <w:rFonts w:ascii="Times New Roman" w:hAnsi="Times New Roman" w:cs="Times New Roman"/>
          <w:sz w:val="24"/>
          <w:szCs w:val="24"/>
          <w:lang w:val="en-US"/>
        </w:rPr>
        <w:t xml:space="preserve">imarily </w:t>
      </w:r>
      <w:r w:rsidR="00595A35">
        <w:rPr>
          <w:rFonts w:ascii="Times New Roman" w:hAnsi="Times New Roman" w:cs="Times New Roman"/>
          <w:sz w:val="24"/>
          <w:szCs w:val="24"/>
          <w:lang w:val="en-US"/>
        </w:rPr>
        <w:t>comprises</w:t>
      </w:r>
      <w:r w:rsidR="00C416C6" w:rsidRPr="001F14E6">
        <w:rPr>
          <w:rFonts w:ascii="Times New Roman" w:hAnsi="Times New Roman" w:cs="Times New Roman"/>
          <w:sz w:val="24"/>
          <w:szCs w:val="24"/>
          <w:lang w:val="en-US"/>
        </w:rPr>
        <w:t xml:space="preserve"> a rationaliz</w:t>
      </w:r>
      <w:r w:rsidR="00ED0D50" w:rsidRPr="001F14E6">
        <w:rPr>
          <w:rFonts w:ascii="Times New Roman" w:hAnsi="Times New Roman" w:cs="Times New Roman"/>
          <w:sz w:val="24"/>
          <w:szCs w:val="24"/>
          <w:lang w:val="en-US"/>
        </w:rPr>
        <w:t>a</w:t>
      </w:r>
      <w:r w:rsidR="00C416C6" w:rsidRPr="001F14E6">
        <w:rPr>
          <w:rFonts w:ascii="Times New Roman" w:hAnsi="Times New Roman" w:cs="Times New Roman"/>
          <w:sz w:val="24"/>
          <w:szCs w:val="24"/>
          <w:lang w:val="en-US"/>
        </w:rPr>
        <w:t>t</w:t>
      </w:r>
      <w:r w:rsidR="00ED0D50" w:rsidRPr="001F14E6">
        <w:rPr>
          <w:rFonts w:ascii="Times New Roman" w:hAnsi="Times New Roman" w:cs="Times New Roman"/>
          <w:sz w:val="24"/>
          <w:szCs w:val="24"/>
          <w:lang w:val="en-US"/>
        </w:rPr>
        <w:t>ion of facts as gathered from company documents.  He conceded that there were people who could competently speak to the activities undertaken by IAL in as far as they related to appellant between the years 2010 and 2011.  It is trite that not every employee can give evidence on behalf of a corporate body such as t</w:t>
      </w:r>
      <w:r w:rsidR="000A5840" w:rsidRPr="001F14E6">
        <w:rPr>
          <w:rFonts w:ascii="Times New Roman" w:hAnsi="Times New Roman" w:cs="Times New Roman"/>
          <w:sz w:val="24"/>
          <w:szCs w:val="24"/>
          <w:lang w:val="en-US"/>
        </w:rPr>
        <w:t>h</w:t>
      </w:r>
      <w:r w:rsidR="00ED0D50" w:rsidRPr="001F14E6">
        <w:rPr>
          <w:rFonts w:ascii="Times New Roman" w:hAnsi="Times New Roman" w:cs="Times New Roman"/>
          <w:sz w:val="24"/>
          <w:szCs w:val="24"/>
          <w:lang w:val="en-US"/>
        </w:rPr>
        <w:t>e appellant.  Any such employee must have been at the relevant time, b</w:t>
      </w:r>
      <w:r w:rsidR="00C416C6" w:rsidRPr="001F14E6">
        <w:rPr>
          <w:rFonts w:ascii="Times New Roman" w:hAnsi="Times New Roman" w:cs="Times New Roman"/>
          <w:sz w:val="24"/>
          <w:szCs w:val="24"/>
          <w:lang w:val="en-US"/>
        </w:rPr>
        <w:t>e</w:t>
      </w:r>
      <w:r w:rsidR="00ED0D50" w:rsidRPr="001F14E6">
        <w:rPr>
          <w:rFonts w:ascii="Times New Roman" w:hAnsi="Times New Roman" w:cs="Times New Roman"/>
          <w:sz w:val="24"/>
          <w:szCs w:val="24"/>
          <w:lang w:val="en-US"/>
        </w:rPr>
        <w:t>en placed with</w:t>
      </w:r>
      <w:r w:rsidR="00C416C6" w:rsidRPr="001F14E6">
        <w:rPr>
          <w:rFonts w:ascii="Times New Roman" w:hAnsi="Times New Roman" w:cs="Times New Roman"/>
          <w:sz w:val="24"/>
          <w:szCs w:val="24"/>
          <w:lang w:val="en-US"/>
        </w:rPr>
        <w:t>in</w:t>
      </w:r>
      <w:r w:rsidR="00ED0D50" w:rsidRPr="001F14E6">
        <w:rPr>
          <w:rFonts w:ascii="Times New Roman" w:hAnsi="Times New Roman" w:cs="Times New Roman"/>
          <w:sz w:val="24"/>
          <w:szCs w:val="24"/>
          <w:lang w:val="en-US"/>
        </w:rPr>
        <w:t xml:space="preserve"> the </w:t>
      </w:r>
      <w:r w:rsidR="000A5840" w:rsidRPr="001F14E6">
        <w:rPr>
          <w:rFonts w:ascii="Times New Roman" w:hAnsi="Times New Roman" w:cs="Times New Roman"/>
          <w:sz w:val="24"/>
          <w:szCs w:val="24"/>
          <w:lang w:val="en-US"/>
        </w:rPr>
        <w:t>c</w:t>
      </w:r>
      <w:r w:rsidR="00ED0D50" w:rsidRPr="001F14E6">
        <w:rPr>
          <w:rFonts w:ascii="Times New Roman" w:hAnsi="Times New Roman" w:cs="Times New Roman"/>
          <w:sz w:val="24"/>
          <w:szCs w:val="24"/>
          <w:lang w:val="en-US"/>
        </w:rPr>
        <w:t>orporate governance structure of the corporate entity so as to enable h</w:t>
      </w:r>
      <w:r w:rsidR="000A5840" w:rsidRPr="001F14E6">
        <w:rPr>
          <w:rFonts w:ascii="Times New Roman" w:hAnsi="Times New Roman" w:cs="Times New Roman"/>
          <w:sz w:val="24"/>
          <w:szCs w:val="24"/>
          <w:lang w:val="en-US"/>
        </w:rPr>
        <w:t>i</w:t>
      </w:r>
      <w:r w:rsidR="00ED0D50" w:rsidRPr="001F14E6">
        <w:rPr>
          <w:rFonts w:ascii="Times New Roman" w:hAnsi="Times New Roman" w:cs="Times New Roman"/>
          <w:sz w:val="24"/>
          <w:szCs w:val="24"/>
          <w:lang w:val="en-US"/>
        </w:rPr>
        <w:t>m or her to have</w:t>
      </w:r>
      <w:r w:rsidR="00AC50D8" w:rsidRPr="001F14E6">
        <w:rPr>
          <w:rFonts w:ascii="Times New Roman" w:hAnsi="Times New Roman" w:cs="Times New Roman"/>
          <w:sz w:val="24"/>
          <w:szCs w:val="24"/>
          <w:lang w:val="en-US"/>
        </w:rPr>
        <w:t xml:space="preserve"> knowledge of the facts which he or she testifies to.  Such knowledge must be derived from the employee’s personal contact with the transactions in issue or from their position in the company which allows him or her access to the relevant information – </w:t>
      </w:r>
      <w:r w:rsidR="00AC50D8" w:rsidRPr="001F14E6">
        <w:rPr>
          <w:rFonts w:ascii="Times New Roman" w:hAnsi="Times New Roman" w:cs="Times New Roman"/>
          <w:i/>
          <w:sz w:val="24"/>
          <w:szCs w:val="24"/>
          <w:lang w:val="en-US"/>
        </w:rPr>
        <w:t>Antonio</w:t>
      </w:r>
      <w:r w:rsidR="00AC50D8" w:rsidRPr="001F14E6">
        <w:rPr>
          <w:rFonts w:ascii="Times New Roman" w:hAnsi="Times New Roman" w:cs="Times New Roman"/>
          <w:sz w:val="24"/>
          <w:szCs w:val="24"/>
          <w:lang w:val="en-US"/>
        </w:rPr>
        <w:t xml:space="preserve"> v </w:t>
      </w:r>
      <w:r w:rsidR="00AC50D8" w:rsidRPr="001F14E6">
        <w:rPr>
          <w:rFonts w:ascii="Times New Roman" w:hAnsi="Times New Roman" w:cs="Times New Roman"/>
          <w:i/>
          <w:sz w:val="24"/>
          <w:szCs w:val="24"/>
          <w:lang w:val="en-US"/>
        </w:rPr>
        <w:t>Ashanti Goldfields Zimbabwe &amp; Anor</w:t>
      </w:r>
      <w:r w:rsidR="00AC50D8" w:rsidRPr="001F14E6">
        <w:rPr>
          <w:rFonts w:ascii="Times New Roman" w:hAnsi="Times New Roman" w:cs="Times New Roman"/>
          <w:sz w:val="24"/>
          <w:szCs w:val="24"/>
          <w:lang w:val="en-US"/>
        </w:rPr>
        <w:t xml:space="preserve"> 2009 (2) ZLR 272 (H) at 384D-E.  The position of this witness at the </w:t>
      </w:r>
      <w:r w:rsidR="00AC50D8" w:rsidRPr="001F14E6">
        <w:rPr>
          <w:rFonts w:ascii="Times New Roman" w:hAnsi="Times New Roman" w:cs="Times New Roman"/>
          <w:sz w:val="24"/>
          <w:szCs w:val="24"/>
          <w:lang w:val="en-US"/>
        </w:rPr>
        <w:lastRenderedPageBreak/>
        <w:t xml:space="preserve">relevant time did not allow him to deal personally with the interaction between the appellant and IAL.  </w:t>
      </w:r>
      <w:r w:rsidR="00C416C6" w:rsidRPr="001F14E6">
        <w:rPr>
          <w:rFonts w:ascii="Times New Roman" w:hAnsi="Times New Roman" w:cs="Times New Roman"/>
          <w:sz w:val="24"/>
          <w:szCs w:val="24"/>
          <w:lang w:val="en-US"/>
        </w:rPr>
        <w:t xml:space="preserve">  </w:t>
      </w:r>
      <w:r w:rsidR="00AC50D8" w:rsidRPr="001F14E6">
        <w:rPr>
          <w:rFonts w:ascii="Times New Roman" w:hAnsi="Times New Roman" w:cs="Times New Roman"/>
          <w:sz w:val="24"/>
          <w:szCs w:val="24"/>
          <w:lang w:val="en-US"/>
        </w:rPr>
        <w:t>In any event his evidence is harmless to the case for the respondent.  In most respects it constitutes nothing more than a</w:t>
      </w:r>
      <w:r w:rsidR="0045436F" w:rsidRPr="001F14E6">
        <w:rPr>
          <w:rFonts w:ascii="Times New Roman" w:hAnsi="Times New Roman" w:cs="Times New Roman"/>
          <w:sz w:val="24"/>
          <w:szCs w:val="24"/>
          <w:lang w:val="en-US"/>
        </w:rPr>
        <w:t xml:space="preserve"> restatement of common cause facts or a confirmation of the respondent’s position.  From his evidence it can be gleaned that the strategic decision to unbundle the bread making business commenced in 2010 and was completed in 2015.  It is not clear what fees were changeable under the service level agreement for the tax period 2010 – 2011.  He gave detailed evidence of expertise and experience of management of IAL at the disposal of the appellant.  With due respect, the appellant, </w:t>
      </w:r>
      <w:r w:rsidR="0045436F" w:rsidRPr="001F14E6">
        <w:rPr>
          <w:rFonts w:ascii="Times New Roman" w:hAnsi="Times New Roman" w:cs="Times New Roman"/>
          <w:i/>
          <w:sz w:val="24"/>
          <w:szCs w:val="24"/>
          <w:lang w:val="en-US"/>
        </w:rPr>
        <w:t>in casu</w:t>
      </w:r>
      <w:r w:rsidR="0045436F" w:rsidRPr="001F14E6">
        <w:rPr>
          <w:rFonts w:ascii="Times New Roman" w:hAnsi="Times New Roman" w:cs="Times New Roman"/>
          <w:sz w:val="24"/>
          <w:szCs w:val="24"/>
          <w:lang w:val="en-US"/>
        </w:rPr>
        <w:t>, is required to prove that in fact, it received management services</w:t>
      </w:r>
      <w:r w:rsidR="00A92BCF" w:rsidRPr="001F14E6">
        <w:rPr>
          <w:rFonts w:ascii="Times New Roman" w:hAnsi="Times New Roman" w:cs="Times New Roman"/>
          <w:sz w:val="24"/>
          <w:szCs w:val="24"/>
          <w:lang w:val="en-US"/>
        </w:rPr>
        <w:t xml:space="preserve"> from IAL</w:t>
      </w:r>
      <w:r w:rsidR="00C416C6" w:rsidRPr="001F14E6">
        <w:rPr>
          <w:rFonts w:ascii="Times New Roman" w:hAnsi="Times New Roman" w:cs="Times New Roman"/>
          <w:sz w:val="24"/>
          <w:szCs w:val="24"/>
          <w:lang w:val="en-US"/>
        </w:rPr>
        <w:t>.</w:t>
      </w:r>
      <w:r w:rsidR="00A92BCF" w:rsidRPr="001F14E6">
        <w:rPr>
          <w:rFonts w:ascii="Times New Roman" w:hAnsi="Times New Roman" w:cs="Times New Roman"/>
          <w:sz w:val="24"/>
          <w:szCs w:val="24"/>
          <w:lang w:val="en-US"/>
        </w:rPr>
        <w:t xml:space="preserve"> </w:t>
      </w:r>
      <w:r w:rsidR="00C416C6" w:rsidRPr="001F14E6">
        <w:rPr>
          <w:rFonts w:ascii="Times New Roman" w:hAnsi="Times New Roman" w:cs="Times New Roman"/>
          <w:sz w:val="24"/>
          <w:szCs w:val="24"/>
          <w:lang w:val="en-US"/>
        </w:rPr>
        <w:t xml:space="preserve">The service level agreements signed by appellant and IAL merely establish the contractual relationship </w:t>
      </w:r>
      <w:r w:rsidR="00A92BCF" w:rsidRPr="001F14E6">
        <w:rPr>
          <w:rFonts w:ascii="Times New Roman" w:hAnsi="Times New Roman" w:cs="Times New Roman"/>
          <w:sz w:val="24"/>
          <w:szCs w:val="24"/>
          <w:lang w:val="en-US"/>
        </w:rPr>
        <w:t>as alluded to above.  The invoi</w:t>
      </w:r>
      <w:r w:rsidR="00A50285" w:rsidRPr="001F14E6">
        <w:rPr>
          <w:rFonts w:ascii="Times New Roman" w:hAnsi="Times New Roman" w:cs="Times New Roman"/>
          <w:sz w:val="24"/>
          <w:szCs w:val="24"/>
          <w:lang w:val="en-US"/>
        </w:rPr>
        <w:t xml:space="preserve">ces issued by </w:t>
      </w:r>
      <w:r w:rsidR="00A92BCF" w:rsidRPr="001F14E6">
        <w:rPr>
          <w:rFonts w:ascii="Times New Roman" w:hAnsi="Times New Roman" w:cs="Times New Roman"/>
          <w:sz w:val="24"/>
          <w:szCs w:val="24"/>
          <w:lang w:val="en-US"/>
        </w:rPr>
        <w:t>IAL to the appellant did not provide sufficient evidence to confirm that the services under contention were rendered.  Even in court such evidence was not forthcoming from the witness.  The witness made detailed reference to a presentation document made to the respondent on 20 November 2018.  This is a secondary document.  It, however, does not show that in fact any services were rendered by IAL to the appellant.  The service documents upon which the summary is based were not produced either to the respondent or this court.</w:t>
      </w:r>
      <w:r w:rsidR="000E1D87" w:rsidRPr="001F14E6">
        <w:rPr>
          <w:rFonts w:ascii="Times New Roman" w:hAnsi="Times New Roman" w:cs="Times New Roman"/>
          <w:sz w:val="24"/>
          <w:szCs w:val="24"/>
          <w:lang w:val="en-US"/>
        </w:rPr>
        <w:t xml:space="preserve">  The person who prepared it was not identified with any clarity in the appellant’s evidence.  </w:t>
      </w:r>
      <w:r w:rsidR="00AE2DE4" w:rsidRPr="001F14E6">
        <w:rPr>
          <w:rFonts w:ascii="Times New Roman" w:hAnsi="Times New Roman" w:cs="Times New Roman"/>
          <w:sz w:val="24"/>
          <w:szCs w:val="24"/>
          <w:lang w:val="en-US"/>
        </w:rPr>
        <w:t>No one</w:t>
      </w:r>
      <w:r w:rsidR="000E1D87" w:rsidRPr="001F14E6">
        <w:rPr>
          <w:rFonts w:ascii="Times New Roman" w:hAnsi="Times New Roman" w:cs="Times New Roman"/>
          <w:sz w:val="24"/>
          <w:szCs w:val="24"/>
          <w:lang w:val="en-US"/>
        </w:rPr>
        <w:t xml:space="preserve"> can therefore vouch for the correctness of the</w:t>
      </w:r>
      <w:r w:rsidR="00222BDC" w:rsidRPr="001F14E6">
        <w:rPr>
          <w:rFonts w:ascii="Times New Roman" w:hAnsi="Times New Roman" w:cs="Times New Roman"/>
          <w:sz w:val="24"/>
          <w:szCs w:val="24"/>
          <w:lang w:val="en-US"/>
        </w:rPr>
        <w:t xml:space="preserve"> ent</w:t>
      </w:r>
      <w:r w:rsidR="00C416C6" w:rsidRPr="001F14E6">
        <w:rPr>
          <w:rFonts w:ascii="Times New Roman" w:hAnsi="Times New Roman" w:cs="Times New Roman"/>
          <w:sz w:val="24"/>
          <w:szCs w:val="24"/>
          <w:lang w:val="en-US"/>
        </w:rPr>
        <w:t>r</w:t>
      </w:r>
      <w:r w:rsidR="00222BDC" w:rsidRPr="001F14E6">
        <w:rPr>
          <w:rFonts w:ascii="Times New Roman" w:hAnsi="Times New Roman" w:cs="Times New Roman"/>
          <w:sz w:val="24"/>
          <w:szCs w:val="24"/>
          <w:lang w:val="en-US"/>
        </w:rPr>
        <w:t xml:space="preserve">ies in the document.  The document does not refer to the service level agreements which it purports to give birth to the number s set out therein.  No minutes, emails or any other documents confirm that in fact the charges related to any services that were in </w:t>
      </w:r>
      <w:r w:rsidR="009F3B5E" w:rsidRPr="001F14E6">
        <w:rPr>
          <w:rFonts w:ascii="Times New Roman" w:hAnsi="Times New Roman" w:cs="Times New Roman"/>
          <w:sz w:val="24"/>
          <w:szCs w:val="24"/>
          <w:lang w:val="en-US"/>
        </w:rPr>
        <w:t>f</w:t>
      </w:r>
      <w:r w:rsidR="00222BDC" w:rsidRPr="001F14E6">
        <w:rPr>
          <w:rFonts w:ascii="Times New Roman" w:hAnsi="Times New Roman" w:cs="Times New Roman"/>
          <w:sz w:val="24"/>
          <w:szCs w:val="24"/>
          <w:lang w:val="en-US"/>
        </w:rPr>
        <w:t>act actually rendered.  The testimony of this witness and indeed that of the Company Secretary was to the effect that the figures were arrived</w:t>
      </w:r>
      <w:r w:rsidR="00B368DE" w:rsidRPr="001F14E6">
        <w:rPr>
          <w:rFonts w:ascii="Times New Roman" w:hAnsi="Times New Roman" w:cs="Times New Roman"/>
          <w:sz w:val="24"/>
          <w:szCs w:val="24"/>
          <w:lang w:val="en-US"/>
        </w:rPr>
        <w:t xml:space="preserve"> at taking into account what was reasonable on the market.  Reference was made to bench-marking the charges against reputable companies which supplied similar services.  There is nothing wrong with bench-marking.  Hereunder there must be reliable evidence of such bench-marking.  Such reputable companies and their charges should be evinced, otherwise it seems no more than a retrospective</w:t>
      </w:r>
      <w:r w:rsidR="00E527A9" w:rsidRPr="001F14E6">
        <w:rPr>
          <w:rFonts w:ascii="Times New Roman" w:hAnsi="Times New Roman" w:cs="Times New Roman"/>
          <w:sz w:val="24"/>
          <w:szCs w:val="24"/>
          <w:lang w:val="en-US"/>
        </w:rPr>
        <w:t xml:space="preserve"> rationalization of figures, extrapolated in order to justify the invoices that had been issued between 2010 and 2015.  The document do</w:t>
      </w:r>
      <w:r w:rsidR="009F3B5E" w:rsidRPr="001F14E6">
        <w:rPr>
          <w:rFonts w:ascii="Times New Roman" w:hAnsi="Times New Roman" w:cs="Times New Roman"/>
          <w:sz w:val="24"/>
          <w:szCs w:val="24"/>
          <w:lang w:val="en-US"/>
        </w:rPr>
        <w:t>e</w:t>
      </w:r>
      <w:r w:rsidR="00E527A9" w:rsidRPr="001F14E6">
        <w:rPr>
          <w:rFonts w:ascii="Times New Roman" w:hAnsi="Times New Roman" w:cs="Times New Roman"/>
          <w:sz w:val="24"/>
          <w:szCs w:val="24"/>
          <w:lang w:val="en-US"/>
        </w:rPr>
        <w:t>s not even state the particular date on which it was made.  The witness admitted that it was prepared in order to “access certain information gaps that ZIMRA had identified.”  It is trite that the performance of the contracted services is a matter of evidence.  The appellant failed to produce such evidence.  In any even</w:t>
      </w:r>
      <w:r w:rsidR="00CE4C55" w:rsidRPr="001F14E6">
        <w:rPr>
          <w:rFonts w:ascii="Times New Roman" w:hAnsi="Times New Roman" w:cs="Times New Roman"/>
          <w:sz w:val="24"/>
          <w:szCs w:val="24"/>
          <w:lang w:val="en-US"/>
        </w:rPr>
        <w:t>t</w:t>
      </w:r>
      <w:r w:rsidR="00E527A9" w:rsidRPr="001F14E6">
        <w:rPr>
          <w:rFonts w:ascii="Times New Roman" w:hAnsi="Times New Roman" w:cs="Times New Roman"/>
          <w:sz w:val="24"/>
          <w:szCs w:val="24"/>
          <w:lang w:val="en-US"/>
        </w:rPr>
        <w:t>, some of the services would only be</w:t>
      </w:r>
      <w:r w:rsidR="00CE4C55" w:rsidRPr="001F14E6">
        <w:rPr>
          <w:rFonts w:ascii="Times New Roman" w:hAnsi="Times New Roman" w:cs="Times New Roman"/>
          <w:sz w:val="24"/>
          <w:szCs w:val="24"/>
          <w:lang w:val="en-US"/>
        </w:rPr>
        <w:t xml:space="preserve"> rendered once a year.  For instance, tax services would be rendered at the time when the submission of tax returns was at hand.  The monthly charge therefore did </w:t>
      </w:r>
      <w:r w:rsidR="00CE4C55" w:rsidRPr="001F14E6">
        <w:rPr>
          <w:rFonts w:ascii="Times New Roman" w:hAnsi="Times New Roman" w:cs="Times New Roman"/>
          <w:sz w:val="24"/>
          <w:szCs w:val="24"/>
          <w:lang w:val="en-US"/>
        </w:rPr>
        <w:lastRenderedPageBreak/>
        <w:t>not take into account whether the services were actually rendered in that particular month or not.  It was simply a standard charge that was raised.  This shows the falsity of the service level agreement con</w:t>
      </w:r>
      <w:r w:rsidR="009F3B5E" w:rsidRPr="001F14E6">
        <w:rPr>
          <w:rFonts w:ascii="Times New Roman" w:hAnsi="Times New Roman" w:cs="Times New Roman"/>
          <w:sz w:val="24"/>
          <w:szCs w:val="24"/>
          <w:lang w:val="en-US"/>
        </w:rPr>
        <w:t>tra</w:t>
      </w:r>
      <w:r w:rsidR="00CE4C55" w:rsidRPr="001F14E6">
        <w:rPr>
          <w:rFonts w:ascii="Times New Roman" w:hAnsi="Times New Roman" w:cs="Times New Roman"/>
          <w:sz w:val="24"/>
          <w:szCs w:val="24"/>
          <w:lang w:val="en-US"/>
        </w:rPr>
        <w:t>cted between the appellant and IAL.</w:t>
      </w:r>
    </w:p>
    <w:p w:rsidR="00CE4C55" w:rsidRPr="001F14E6" w:rsidRDefault="00CE4C55"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The Company Secretary also testified that he personally drafted the service level agreement between the appellant and IAL.  He admitted that some of the agreement</w:t>
      </w:r>
      <w:r w:rsidR="009F3B5E"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 xml:space="preserve"> were replicated with errors for the years 2010 to 2015.  He stated that employees, directors or shareholders at IAL provided services to appellant.  Naturally, because IAL was the shareholder in the appellant, in their co</w:t>
      </w:r>
      <w:r w:rsidR="00A65877" w:rsidRPr="001F14E6">
        <w:rPr>
          <w:rFonts w:ascii="Times New Roman" w:hAnsi="Times New Roman" w:cs="Times New Roman"/>
          <w:sz w:val="24"/>
          <w:szCs w:val="24"/>
          <w:lang w:val="en-US"/>
        </w:rPr>
        <w:t>urse</w:t>
      </w:r>
      <w:r w:rsidRPr="001F14E6">
        <w:rPr>
          <w:rFonts w:ascii="Times New Roman" w:hAnsi="Times New Roman" w:cs="Times New Roman"/>
          <w:sz w:val="24"/>
          <w:szCs w:val="24"/>
          <w:lang w:val="en-US"/>
        </w:rPr>
        <w:t xml:space="preserve"> of business, these persons dealt with some aspects of the business of the appellant.  What, however, did not clearly come</w:t>
      </w:r>
      <w:r w:rsidR="001B2D74" w:rsidRPr="001F14E6">
        <w:rPr>
          <w:rFonts w:ascii="Times New Roman" w:hAnsi="Times New Roman" w:cs="Times New Roman"/>
          <w:sz w:val="24"/>
          <w:szCs w:val="24"/>
          <w:lang w:val="en-US"/>
        </w:rPr>
        <w:t xml:space="preserve"> out from his testimony is the dichotomy between the said persons, including himself serving IAL and serving the appellant.  IAL existed for its own purposes for which it was not entitled to charge </w:t>
      </w:r>
      <w:r w:rsidR="00A65877" w:rsidRPr="001F14E6">
        <w:rPr>
          <w:rFonts w:ascii="Times New Roman" w:hAnsi="Times New Roman" w:cs="Times New Roman"/>
          <w:sz w:val="24"/>
          <w:szCs w:val="24"/>
          <w:lang w:val="en-US"/>
        </w:rPr>
        <w:t>t</w:t>
      </w:r>
      <w:r w:rsidR="001B2D74" w:rsidRPr="001F14E6">
        <w:rPr>
          <w:rFonts w:ascii="Times New Roman" w:hAnsi="Times New Roman" w:cs="Times New Roman"/>
          <w:sz w:val="24"/>
          <w:szCs w:val="24"/>
          <w:lang w:val="en-US"/>
        </w:rPr>
        <w:t>he appellant.  He stated that because of the strategic interventions of the IAL shared services centre, the appellant made substantial savings in fuel procurement, insurance premiums, legal services, audit services etc.  That may be so to some extent.  But he confirmed that it was difficult to quantify the time</w:t>
      </w:r>
      <w:r w:rsidR="00A65877" w:rsidRPr="001F14E6">
        <w:rPr>
          <w:rFonts w:ascii="Times New Roman" w:hAnsi="Times New Roman" w:cs="Times New Roman"/>
          <w:sz w:val="24"/>
          <w:szCs w:val="24"/>
          <w:lang w:val="en-US"/>
        </w:rPr>
        <w:t xml:space="preserve"> spent by the officers of IAL on business of the appellant since none of them kept time sheets.  Further the issue was raised with this witness – whether the invoices issued by IAL to appellant met the legal requirements of invoice.  It is trite that the meaning of the noun “invoice” given in the Short</w:t>
      </w:r>
      <w:r w:rsidR="002842D9" w:rsidRPr="001F14E6">
        <w:rPr>
          <w:rFonts w:ascii="Times New Roman" w:hAnsi="Times New Roman" w:cs="Times New Roman"/>
          <w:sz w:val="24"/>
          <w:szCs w:val="24"/>
          <w:lang w:val="en-US"/>
        </w:rPr>
        <w:t>e</w:t>
      </w:r>
      <w:r w:rsidR="00A65877" w:rsidRPr="001F14E6">
        <w:rPr>
          <w:rFonts w:ascii="Times New Roman" w:hAnsi="Times New Roman" w:cs="Times New Roman"/>
          <w:sz w:val="24"/>
          <w:szCs w:val="24"/>
          <w:lang w:val="en-US"/>
        </w:rPr>
        <w:t>r Oxford Dictionary is: ‘a list of the particular items of goods shipped or sent to a factory, consignee or purchaser, with their value or prices and charges’.  And the meaning of the verb ‘to invoice’ is given as: ‘to make an invoice of, to enter in an invoice’.  The basic idea at the root of the noun ‘invoice’ seems to be a list of the things se</w:t>
      </w:r>
      <w:r w:rsidR="002842D9" w:rsidRPr="001F14E6">
        <w:rPr>
          <w:rFonts w:ascii="Times New Roman" w:hAnsi="Times New Roman" w:cs="Times New Roman"/>
          <w:sz w:val="24"/>
          <w:szCs w:val="24"/>
          <w:lang w:val="en-US"/>
        </w:rPr>
        <w:t>nt away or shipped, not necessarily</w:t>
      </w:r>
      <w:r w:rsidR="00A65877" w:rsidRPr="001F14E6">
        <w:rPr>
          <w:rFonts w:ascii="Times New Roman" w:hAnsi="Times New Roman" w:cs="Times New Roman"/>
          <w:sz w:val="24"/>
          <w:szCs w:val="24"/>
          <w:lang w:val="en-US"/>
        </w:rPr>
        <w:t xml:space="preserve">, to a buyer – </w:t>
      </w:r>
      <w:r w:rsidR="00A65877" w:rsidRPr="001F14E6">
        <w:rPr>
          <w:rFonts w:ascii="Times New Roman" w:hAnsi="Times New Roman" w:cs="Times New Roman"/>
          <w:i/>
          <w:sz w:val="24"/>
          <w:szCs w:val="24"/>
          <w:lang w:val="en-US"/>
        </w:rPr>
        <w:t>Universal Shipping Co. (Pty) Ltd</w:t>
      </w:r>
      <w:r w:rsidR="00A65877" w:rsidRPr="001F14E6">
        <w:rPr>
          <w:rFonts w:ascii="Times New Roman" w:hAnsi="Times New Roman" w:cs="Times New Roman"/>
          <w:sz w:val="24"/>
          <w:szCs w:val="24"/>
          <w:lang w:val="en-US"/>
        </w:rPr>
        <w:t xml:space="preserve"> v </w:t>
      </w:r>
      <w:r w:rsidR="00A65877" w:rsidRPr="001F14E6">
        <w:rPr>
          <w:rFonts w:ascii="Times New Roman" w:hAnsi="Times New Roman" w:cs="Times New Roman"/>
          <w:i/>
          <w:sz w:val="24"/>
          <w:szCs w:val="24"/>
          <w:lang w:val="en-US"/>
        </w:rPr>
        <w:t>Weston Distributing Co</w:t>
      </w:r>
      <w:r w:rsidR="00A65877" w:rsidRPr="001F14E6">
        <w:rPr>
          <w:rFonts w:ascii="Times New Roman" w:hAnsi="Times New Roman" w:cs="Times New Roman"/>
          <w:sz w:val="24"/>
          <w:szCs w:val="24"/>
          <w:lang w:val="en-US"/>
        </w:rPr>
        <w:t xml:space="preserve">. 1946 NPD 260 at 263.  Strictly speaking these documents in law were in fact not invoices.  They were accepted by the appellant as invoices and paid upon.  In the circumstances it is either no services would have been </w:t>
      </w:r>
      <w:r w:rsidR="009F3B5E" w:rsidRPr="001F14E6">
        <w:rPr>
          <w:rFonts w:ascii="Times New Roman" w:hAnsi="Times New Roman" w:cs="Times New Roman"/>
          <w:sz w:val="24"/>
          <w:szCs w:val="24"/>
          <w:lang w:val="en-US"/>
        </w:rPr>
        <w:t>tender</w:t>
      </w:r>
      <w:r w:rsidR="00A65877" w:rsidRPr="001F14E6">
        <w:rPr>
          <w:rFonts w:ascii="Times New Roman" w:hAnsi="Times New Roman" w:cs="Times New Roman"/>
          <w:sz w:val="24"/>
          <w:szCs w:val="24"/>
          <w:lang w:val="en-US"/>
        </w:rPr>
        <w:t>ed by IAL for certain periods but all the same wanted payments</w:t>
      </w:r>
      <w:r w:rsidR="00192E1C" w:rsidRPr="001F14E6">
        <w:rPr>
          <w:rFonts w:ascii="Times New Roman" w:hAnsi="Times New Roman" w:cs="Times New Roman"/>
          <w:sz w:val="24"/>
          <w:szCs w:val="24"/>
          <w:lang w:val="en-US"/>
        </w:rPr>
        <w:t xml:space="preserve"> to be made to IAL</w:t>
      </w:r>
      <w:r w:rsidR="002842D9" w:rsidRPr="001F14E6">
        <w:rPr>
          <w:rFonts w:ascii="Times New Roman" w:hAnsi="Times New Roman" w:cs="Times New Roman"/>
          <w:sz w:val="24"/>
          <w:szCs w:val="24"/>
          <w:lang w:val="en-US"/>
        </w:rPr>
        <w:t xml:space="preserve"> </w:t>
      </w:r>
      <w:r w:rsidR="00192E1C" w:rsidRPr="001F14E6">
        <w:rPr>
          <w:rFonts w:ascii="Times New Roman" w:hAnsi="Times New Roman" w:cs="Times New Roman"/>
          <w:sz w:val="24"/>
          <w:szCs w:val="24"/>
          <w:lang w:val="en-US"/>
        </w:rPr>
        <w:t>or that some services would be rendered but all the same IAL want</w:t>
      </w:r>
      <w:r w:rsidR="002842D9" w:rsidRPr="001F14E6">
        <w:rPr>
          <w:rFonts w:ascii="Times New Roman" w:hAnsi="Times New Roman" w:cs="Times New Roman"/>
          <w:sz w:val="24"/>
          <w:szCs w:val="24"/>
          <w:lang w:val="en-US"/>
        </w:rPr>
        <w:t>e</w:t>
      </w:r>
      <w:r w:rsidR="00192E1C" w:rsidRPr="001F14E6">
        <w:rPr>
          <w:rFonts w:ascii="Times New Roman" w:hAnsi="Times New Roman" w:cs="Times New Roman"/>
          <w:sz w:val="24"/>
          <w:szCs w:val="24"/>
          <w:lang w:val="en-US"/>
        </w:rPr>
        <w:t>d to be paid for all the service</w:t>
      </w:r>
      <w:r w:rsidR="009F3B5E" w:rsidRPr="001F14E6">
        <w:rPr>
          <w:rFonts w:ascii="Times New Roman" w:hAnsi="Times New Roman" w:cs="Times New Roman"/>
          <w:sz w:val="24"/>
          <w:szCs w:val="24"/>
          <w:lang w:val="en-US"/>
        </w:rPr>
        <w:t>s</w:t>
      </w:r>
      <w:r w:rsidR="00192E1C" w:rsidRPr="001F14E6">
        <w:rPr>
          <w:rFonts w:ascii="Times New Roman" w:hAnsi="Times New Roman" w:cs="Times New Roman"/>
          <w:sz w:val="24"/>
          <w:szCs w:val="24"/>
          <w:lang w:val="en-US"/>
        </w:rPr>
        <w:t xml:space="preserve">.  The Group Tax Officer’s testimony was essentially an attempt to establish that services were rendered </w:t>
      </w:r>
      <w:r w:rsidR="009F3B5E" w:rsidRPr="001F14E6">
        <w:rPr>
          <w:rFonts w:ascii="Times New Roman" w:hAnsi="Times New Roman" w:cs="Times New Roman"/>
          <w:sz w:val="24"/>
          <w:szCs w:val="24"/>
          <w:lang w:val="en-US"/>
        </w:rPr>
        <w:t>in respect of tax advice to appellant.  There is, however, nothing which evinces exactly when the services were rendered and how much was charged for the services</w:t>
      </w:r>
      <w:r w:rsidR="00192E1C" w:rsidRPr="001F14E6">
        <w:rPr>
          <w:rFonts w:ascii="Times New Roman" w:hAnsi="Times New Roman" w:cs="Times New Roman"/>
          <w:sz w:val="24"/>
          <w:szCs w:val="24"/>
          <w:lang w:val="en-US"/>
        </w:rPr>
        <w:t>.</w:t>
      </w:r>
    </w:p>
    <w:p w:rsidR="00192E1C" w:rsidRPr="001F14E6" w:rsidRDefault="00192E1C" w:rsidP="00905E89">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 xml:space="preserve">The Finance Director for appellant testified </w:t>
      </w:r>
      <w:r w:rsidR="009F3B5E" w:rsidRPr="001F14E6">
        <w:rPr>
          <w:rFonts w:ascii="Times New Roman" w:hAnsi="Times New Roman" w:cs="Times New Roman"/>
          <w:sz w:val="24"/>
          <w:szCs w:val="24"/>
          <w:lang w:val="en-US"/>
        </w:rPr>
        <w:t xml:space="preserve">and </w:t>
      </w:r>
      <w:r w:rsidRPr="001F14E6">
        <w:rPr>
          <w:rFonts w:ascii="Times New Roman" w:hAnsi="Times New Roman" w:cs="Times New Roman"/>
          <w:sz w:val="24"/>
          <w:szCs w:val="24"/>
          <w:lang w:val="en-US"/>
        </w:rPr>
        <w:t>his testimony remarkably contradicted that of the Group Fina</w:t>
      </w:r>
      <w:r w:rsidR="002842D9" w:rsidRPr="001F14E6">
        <w:rPr>
          <w:rFonts w:ascii="Times New Roman" w:hAnsi="Times New Roman" w:cs="Times New Roman"/>
          <w:sz w:val="24"/>
          <w:szCs w:val="24"/>
          <w:lang w:val="en-US"/>
        </w:rPr>
        <w:t>n</w:t>
      </w:r>
      <w:r w:rsidRPr="001F14E6">
        <w:rPr>
          <w:rFonts w:ascii="Times New Roman" w:hAnsi="Times New Roman" w:cs="Times New Roman"/>
          <w:sz w:val="24"/>
          <w:szCs w:val="24"/>
          <w:lang w:val="en-US"/>
        </w:rPr>
        <w:t xml:space="preserve">ce Director of IAL on the fundamental premise upon which the notices in issue were raised.  He contended that the invoices were issued on the basis of services </w:t>
      </w:r>
      <w:r w:rsidRPr="001F14E6">
        <w:rPr>
          <w:rFonts w:ascii="Times New Roman" w:hAnsi="Times New Roman" w:cs="Times New Roman"/>
          <w:sz w:val="24"/>
          <w:szCs w:val="24"/>
          <w:lang w:val="en-US"/>
        </w:rPr>
        <w:lastRenderedPageBreak/>
        <w:t xml:space="preserve">rendered and by implication suggested that if services were not rendered for any particular portion of the period concerned, the appellant would not be obliged to pay IAL.  In </w:t>
      </w:r>
      <w:r w:rsidR="002842D9" w:rsidRPr="001F14E6">
        <w:rPr>
          <w:rFonts w:ascii="Times New Roman" w:hAnsi="Times New Roman" w:cs="Times New Roman"/>
          <w:sz w:val="24"/>
          <w:szCs w:val="24"/>
          <w:lang w:val="en-US"/>
        </w:rPr>
        <w:t>contradiction the Group Finance Director had testified that the rendering of a service was not a pre-requisite for the charge which IAL ra</w:t>
      </w:r>
      <w:r w:rsidR="00A50285" w:rsidRPr="001F14E6">
        <w:rPr>
          <w:rFonts w:ascii="Times New Roman" w:hAnsi="Times New Roman" w:cs="Times New Roman"/>
          <w:sz w:val="24"/>
          <w:szCs w:val="24"/>
          <w:lang w:val="en-US"/>
        </w:rPr>
        <w:t>i</w:t>
      </w:r>
      <w:r w:rsidR="002842D9" w:rsidRPr="001F14E6">
        <w:rPr>
          <w:rFonts w:ascii="Times New Roman" w:hAnsi="Times New Roman" w:cs="Times New Roman"/>
          <w:sz w:val="24"/>
          <w:szCs w:val="24"/>
          <w:lang w:val="en-US"/>
        </w:rPr>
        <w:t>sed on a monthly basis to the appellant.  The evidence of these witnesses was therefore, mutually d</w:t>
      </w:r>
      <w:r w:rsidR="004B5D34" w:rsidRPr="001F14E6">
        <w:rPr>
          <w:rFonts w:ascii="Times New Roman" w:hAnsi="Times New Roman" w:cs="Times New Roman"/>
          <w:sz w:val="24"/>
          <w:szCs w:val="24"/>
          <w:lang w:val="en-US"/>
        </w:rPr>
        <w:t>e</w:t>
      </w:r>
      <w:r w:rsidR="002842D9" w:rsidRPr="001F14E6">
        <w:rPr>
          <w:rFonts w:ascii="Times New Roman" w:hAnsi="Times New Roman" w:cs="Times New Roman"/>
          <w:sz w:val="24"/>
          <w:szCs w:val="24"/>
          <w:lang w:val="en-US"/>
        </w:rPr>
        <w:t>st</w:t>
      </w:r>
      <w:r w:rsidR="004B5D34" w:rsidRPr="001F14E6">
        <w:rPr>
          <w:rFonts w:ascii="Times New Roman" w:hAnsi="Times New Roman" w:cs="Times New Roman"/>
          <w:sz w:val="24"/>
          <w:szCs w:val="24"/>
          <w:lang w:val="en-US"/>
        </w:rPr>
        <w:t>ru</w:t>
      </w:r>
      <w:r w:rsidR="002842D9" w:rsidRPr="001F14E6">
        <w:rPr>
          <w:rFonts w:ascii="Times New Roman" w:hAnsi="Times New Roman" w:cs="Times New Roman"/>
          <w:sz w:val="24"/>
          <w:szCs w:val="24"/>
          <w:lang w:val="en-US"/>
        </w:rPr>
        <w:t>ctive.  The appellant’s Finance Director stated that the yearly fees were registered and agreed upon the commencemen</w:t>
      </w:r>
      <w:r w:rsidR="004E5CEC" w:rsidRPr="001F14E6">
        <w:rPr>
          <w:rFonts w:ascii="Times New Roman" w:hAnsi="Times New Roman" w:cs="Times New Roman"/>
          <w:sz w:val="24"/>
          <w:szCs w:val="24"/>
          <w:lang w:val="en-US"/>
        </w:rPr>
        <w:t>t</w:t>
      </w:r>
      <w:r w:rsidR="002842D9" w:rsidRPr="001F14E6">
        <w:rPr>
          <w:rFonts w:ascii="Times New Roman" w:hAnsi="Times New Roman" w:cs="Times New Roman"/>
          <w:sz w:val="24"/>
          <w:szCs w:val="24"/>
          <w:lang w:val="en-US"/>
        </w:rPr>
        <w:t xml:space="preserve"> of the year.  He, however, had no documents as proof of such negotiations on the fees.  He did not provide any rational basis for the charge which was raised by IAL to the appellant.  He also admitted IAL exists for its own purposes and does not exist to provide service to the subsidiary only.  It was therefore, necessary to separate the functions of the employees, direc</w:t>
      </w:r>
      <w:r w:rsidR="004E5CEC" w:rsidRPr="001F14E6">
        <w:rPr>
          <w:rFonts w:ascii="Times New Roman" w:hAnsi="Times New Roman" w:cs="Times New Roman"/>
          <w:sz w:val="24"/>
          <w:szCs w:val="24"/>
          <w:lang w:val="en-US"/>
        </w:rPr>
        <w:t>t</w:t>
      </w:r>
      <w:r w:rsidR="002842D9" w:rsidRPr="001F14E6">
        <w:rPr>
          <w:rFonts w:ascii="Times New Roman" w:hAnsi="Times New Roman" w:cs="Times New Roman"/>
          <w:sz w:val="24"/>
          <w:szCs w:val="24"/>
          <w:lang w:val="en-US"/>
        </w:rPr>
        <w:t>ors and shareholders of IAL in pursuant of the int</w:t>
      </w:r>
      <w:r w:rsidR="004E5CEC" w:rsidRPr="001F14E6">
        <w:rPr>
          <w:rFonts w:ascii="Times New Roman" w:hAnsi="Times New Roman" w:cs="Times New Roman"/>
          <w:sz w:val="24"/>
          <w:szCs w:val="24"/>
          <w:lang w:val="en-US"/>
        </w:rPr>
        <w:t>e</w:t>
      </w:r>
      <w:r w:rsidR="002842D9" w:rsidRPr="001F14E6">
        <w:rPr>
          <w:rFonts w:ascii="Times New Roman" w:hAnsi="Times New Roman" w:cs="Times New Roman"/>
          <w:sz w:val="24"/>
          <w:szCs w:val="24"/>
          <w:lang w:val="en-US"/>
        </w:rPr>
        <w:t>rests of IAL as against the interests of the appellant as a subsidiary.  He conceded that the invoices w</w:t>
      </w:r>
      <w:r w:rsidR="004E5CEC" w:rsidRPr="001F14E6">
        <w:rPr>
          <w:rFonts w:ascii="Times New Roman" w:hAnsi="Times New Roman" w:cs="Times New Roman"/>
          <w:sz w:val="24"/>
          <w:szCs w:val="24"/>
          <w:lang w:val="en-US"/>
        </w:rPr>
        <w:t>e</w:t>
      </w:r>
      <w:r w:rsidR="002842D9" w:rsidRPr="001F14E6">
        <w:rPr>
          <w:rFonts w:ascii="Times New Roman" w:hAnsi="Times New Roman" w:cs="Times New Roman"/>
          <w:sz w:val="24"/>
          <w:szCs w:val="24"/>
          <w:lang w:val="en-US"/>
        </w:rPr>
        <w:t>re no</w:t>
      </w:r>
      <w:r w:rsidR="004B5D34" w:rsidRPr="001F14E6">
        <w:rPr>
          <w:rFonts w:ascii="Times New Roman" w:hAnsi="Times New Roman" w:cs="Times New Roman"/>
          <w:sz w:val="24"/>
          <w:szCs w:val="24"/>
          <w:lang w:val="en-US"/>
        </w:rPr>
        <w:t>t</w:t>
      </w:r>
      <w:r w:rsidR="002842D9" w:rsidRPr="001F14E6">
        <w:rPr>
          <w:rFonts w:ascii="Times New Roman" w:hAnsi="Times New Roman" w:cs="Times New Roman"/>
          <w:sz w:val="24"/>
          <w:szCs w:val="24"/>
          <w:lang w:val="en-US"/>
        </w:rPr>
        <w:t xml:space="preserve"> itemizing the services rendered.  The acceptance o</w:t>
      </w:r>
      <w:r w:rsidR="004B5D34" w:rsidRPr="001F14E6">
        <w:rPr>
          <w:rFonts w:ascii="Times New Roman" w:hAnsi="Times New Roman" w:cs="Times New Roman"/>
          <w:sz w:val="24"/>
          <w:szCs w:val="24"/>
          <w:lang w:val="en-US"/>
        </w:rPr>
        <w:t>f</w:t>
      </w:r>
      <w:r w:rsidR="002842D9" w:rsidRPr="001F14E6">
        <w:rPr>
          <w:rFonts w:ascii="Times New Roman" w:hAnsi="Times New Roman" w:cs="Times New Roman"/>
          <w:sz w:val="24"/>
          <w:szCs w:val="24"/>
          <w:lang w:val="en-US"/>
        </w:rPr>
        <w:t xml:space="preserve"> an irregular invoice by the respondent does not make the appellant compliant with the law.  S20 (4) of the Value Added Tax Act re</w:t>
      </w:r>
      <w:r w:rsidR="004E5CEC" w:rsidRPr="001F14E6">
        <w:rPr>
          <w:rFonts w:ascii="Times New Roman" w:hAnsi="Times New Roman" w:cs="Times New Roman"/>
          <w:sz w:val="24"/>
          <w:szCs w:val="24"/>
          <w:lang w:val="en-US"/>
        </w:rPr>
        <w:t>q</w:t>
      </w:r>
      <w:r w:rsidR="002842D9" w:rsidRPr="001F14E6">
        <w:rPr>
          <w:rFonts w:ascii="Times New Roman" w:hAnsi="Times New Roman" w:cs="Times New Roman"/>
          <w:sz w:val="24"/>
          <w:szCs w:val="24"/>
          <w:lang w:val="en-US"/>
        </w:rPr>
        <w:t>uires that</w:t>
      </w:r>
      <w:r w:rsidR="004E5CEC" w:rsidRPr="001F14E6">
        <w:rPr>
          <w:rFonts w:ascii="Times New Roman" w:hAnsi="Times New Roman" w:cs="Times New Roman"/>
          <w:sz w:val="24"/>
          <w:szCs w:val="24"/>
          <w:lang w:val="en-US"/>
        </w:rPr>
        <w:t xml:space="preserve"> a tax invoice must contain particulars including –</w:t>
      </w:r>
    </w:p>
    <w:p w:rsidR="004E5CEC" w:rsidRPr="001F14E6" w:rsidRDefault="004E5CEC" w:rsidP="00641CD7">
      <w:pPr>
        <w:pStyle w:val="NoSpacing"/>
        <w:jc w:val="both"/>
        <w:rPr>
          <w:rFonts w:ascii="Times New Roman" w:hAnsi="Times New Roman" w:cs="Times New Roman"/>
          <w:sz w:val="24"/>
          <w:szCs w:val="24"/>
          <w:lang w:val="en-US"/>
        </w:rPr>
      </w:pPr>
    </w:p>
    <w:p w:rsidR="004E5CEC" w:rsidRPr="00905E89" w:rsidRDefault="004E5CEC" w:rsidP="00641CD7">
      <w:pPr>
        <w:pStyle w:val="NoSpacing"/>
        <w:jc w:val="both"/>
        <w:rPr>
          <w:rFonts w:ascii="Times New Roman" w:hAnsi="Times New Roman" w:cs="Times New Roman"/>
          <w:lang w:val="en-US"/>
        </w:rPr>
      </w:pPr>
      <w:r w:rsidRPr="001F14E6">
        <w:rPr>
          <w:rFonts w:ascii="Times New Roman" w:hAnsi="Times New Roman" w:cs="Times New Roman"/>
          <w:sz w:val="24"/>
          <w:szCs w:val="24"/>
          <w:lang w:val="en-US"/>
        </w:rPr>
        <w:tab/>
        <w:t>“(e)</w:t>
      </w:r>
      <w:r w:rsidRPr="001F14E6">
        <w:rPr>
          <w:rFonts w:ascii="Times New Roman" w:hAnsi="Times New Roman" w:cs="Times New Roman"/>
          <w:sz w:val="24"/>
          <w:szCs w:val="24"/>
          <w:lang w:val="en-US"/>
        </w:rPr>
        <w:tab/>
      </w:r>
      <w:r w:rsidRPr="00905E89">
        <w:rPr>
          <w:rFonts w:ascii="Times New Roman" w:hAnsi="Times New Roman" w:cs="Times New Roman"/>
          <w:lang w:val="en-US"/>
        </w:rPr>
        <w:t>a description of the goods or services supplied;</w:t>
      </w:r>
    </w:p>
    <w:p w:rsidR="004E5CEC" w:rsidRPr="00905E89" w:rsidRDefault="00905E89" w:rsidP="00905E89">
      <w:pPr>
        <w:pStyle w:val="NoSpacing"/>
        <w:ind w:left="1440" w:hanging="720"/>
        <w:jc w:val="both"/>
        <w:rPr>
          <w:rFonts w:ascii="Times New Roman" w:hAnsi="Times New Roman" w:cs="Times New Roman"/>
          <w:lang w:val="en-US"/>
        </w:rPr>
      </w:pPr>
      <w:r w:rsidRPr="00905E89">
        <w:rPr>
          <w:rFonts w:ascii="Times New Roman" w:hAnsi="Times New Roman" w:cs="Times New Roman"/>
          <w:lang w:val="en-US"/>
        </w:rPr>
        <w:t xml:space="preserve">  </w:t>
      </w:r>
      <w:r w:rsidR="004E5CEC" w:rsidRPr="00905E89">
        <w:rPr>
          <w:rFonts w:ascii="Times New Roman" w:hAnsi="Times New Roman" w:cs="Times New Roman"/>
          <w:lang w:val="en-US"/>
        </w:rPr>
        <w:t>(f)</w:t>
      </w:r>
      <w:r w:rsidR="004E5CEC" w:rsidRPr="00905E89">
        <w:rPr>
          <w:rFonts w:ascii="Times New Roman" w:hAnsi="Times New Roman" w:cs="Times New Roman"/>
          <w:lang w:val="en-US"/>
        </w:rPr>
        <w:tab/>
        <w:t xml:space="preserve">the quantity or volume of the goods, or services supplied.”  These provisions are mandatory and anything done in contravention thereof is a nullity – </w:t>
      </w:r>
      <w:r w:rsidR="004E5CEC" w:rsidRPr="00905E89">
        <w:rPr>
          <w:rFonts w:ascii="Times New Roman" w:hAnsi="Times New Roman" w:cs="Times New Roman"/>
          <w:i/>
          <w:lang w:val="en-US"/>
        </w:rPr>
        <w:t>Schirhout</w:t>
      </w:r>
      <w:r w:rsidR="004E5CEC" w:rsidRPr="00905E89">
        <w:rPr>
          <w:rFonts w:ascii="Times New Roman" w:hAnsi="Times New Roman" w:cs="Times New Roman"/>
          <w:lang w:val="en-US"/>
        </w:rPr>
        <w:t xml:space="preserve"> v </w:t>
      </w:r>
      <w:r w:rsidR="004E5CEC" w:rsidRPr="00905E89">
        <w:rPr>
          <w:rFonts w:ascii="Times New Roman" w:hAnsi="Times New Roman" w:cs="Times New Roman"/>
          <w:i/>
          <w:lang w:val="en-US"/>
        </w:rPr>
        <w:t>Minister of Justice</w:t>
      </w:r>
      <w:r w:rsidR="004E5CEC" w:rsidRPr="00905E89">
        <w:rPr>
          <w:rFonts w:ascii="Times New Roman" w:hAnsi="Times New Roman" w:cs="Times New Roman"/>
          <w:lang w:val="en-US"/>
        </w:rPr>
        <w:t xml:space="preserve"> 1926 AD 99 at 109; </w:t>
      </w:r>
      <w:r w:rsidR="004E5CEC" w:rsidRPr="00905E89">
        <w:rPr>
          <w:rFonts w:ascii="Times New Roman" w:hAnsi="Times New Roman" w:cs="Times New Roman"/>
          <w:i/>
          <w:lang w:val="en-US"/>
        </w:rPr>
        <w:t>X-tend-A-Home (Pty) Ltd</w:t>
      </w:r>
      <w:r w:rsidR="004E5CEC" w:rsidRPr="00905E89">
        <w:rPr>
          <w:rFonts w:ascii="Times New Roman" w:hAnsi="Times New Roman" w:cs="Times New Roman"/>
          <w:lang w:val="en-US"/>
        </w:rPr>
        <w:t xml:space="preserve"> v </w:t>
      </w:r>
      <w:r w:rsidR="004E5CEC" w:rsidRPr="00905E89">
        <w:rPr>
          <w:rFonts w:ascii="Times New Roman" w:hAnsi="Times New Roman" w:cs="Times New Roman"/>
          <w:i/>
          <w:lang w:val="en-US"/>
        </w:rPr>
        <w:t>H</w:t>
      </w:r>
      <w:r w:rsidR="004B5D34" w:rsidRPr="00905E89">
        <w:rPr>
          <w:rFonts w:ascii="Times New Roman" w:hAnsi="Times New Roman" w:cs="Times New Roman"/>
          <w:i/>
          <w:lang w:val="en-US"/>
        </w:rPr>
        <w:t>oselaw</w:t>
      </w:r>
      <w:r w:rsidR="004E5CEC" w:rsidRPr="00905E89">
        <w:rPr>
          <w:rFonts w:ascii="Times New Roman" w:hAnsi="Times New Roman" w:cs="Times New Roman"/>
          <w:i/>
          <w:lang w:val="en-US"/>
        </w:rPr>
        <w:t xml:space="preserve"> Investments (Pvt) Ltd</w:t>
      </w:r>
      <w:r w:rsidR="004E5CEC" w:rsidRPr="00905E89">
        <w:rPr>
          <w:rFonts w:ascii="Times New Roman" w:hAnsi="Times New Roman" w:cs="Times New Roman"/>
          <w:lang w:val="en-US"/>
        </w:rPr>
        <w:t xml:space="preserve"> 2000 (2) ZLR 348 (S); </w:t>
      </w:r>
      <w:r w:rsidR="004E5CEC" w:rsidRPr="00905E89">
        <w:rPr>
          <w:rFonts w:ascii="Times New Roman" w:hAnsi="Times New Roman" w:cs="Times New Roman"/>
          <w:i/>
          <w:lang w:val="en-US"/>
        </w:rPr>
        <w:t>Manning</w:t>
      </w:r>
      <w:r w:rsidR="004E5CEC" w:rsidRPr="00905E89">
        <w:rPr>
          <w:rFonts w:ascii="Times New Roman" w:hAnsi="Times New Roman" w:cs="Times New Roman"/>
          <w:lang w:val="en-US"/>
        </w:rPr>
        <w:t xml:space="preserve"> v </w:t>
      </w:r>
      <w:r w:rsidR="004B5D34" w:rsidRPr="00905E89">
        <w:rPr>
          <w:rFonts w:ascii="Times New Roman" w:hAnsi="Times New Roman" w:cs="Times New Roman"/>
          <w:i/>
          <w:lang w:val="en-US"/>
        </w:rPr>
        <w:t>Manning</w:t>
      </w:r>
      <w:r w:rsidR="004E5CEC" w:rsidRPr="00905E89">
        <w:rPr>
          <w:rFonts w:ascii="Times New Roman" w:hAnsi="Times New Roman" w:cs="Times New Roman"/>
          <w:i/>
          <w:lang w:val="en-US"/>
        </w:rPr>
        <w:t xml:space="preserve"> </w:t>
      </w:r>
      <w:r w:rsidR="004E5CEC" w:rsidRPr="00905E89">
        <w:rPr>
          <w:rFonts w:ascii="Times New Roman" w:hAnsi="Times New Roman" w:cs="Times New Roman"/>
          <w:lang w:val="en-US"/>
        </w:rPr>
        <w:t>1986 (2) ZLR 1 (S).</w:t>
      </w:r>
    </w:p>
    <w:p w:rsidR="00A50285" w:rsidRPr="001F14E6" w:rsidRDefault="00A50285" w:rsidP="00641CD7">
      <w:pPr>
        <w:pStyle w:val="NoSpacing"/>
        <w:ind w:left="1440" w:hanging="720"/>
        <w:jc w:val="both"/>
        <w:rPr>
          <w:rFonts w:ascii="Times New Roman" w:hAnsi="Times New Roman" w:cs="Times New Roman"/>
          <w:sz w:val="24"/>
          <w:szCs w:val="24"/>
          <w:lang w:val="en-US"/>
        </w:rPr>
      </w:pPr>
    </w:p>
    <w:p w:rsidR="00A50285" w:rsidRPr="001F14E6" w:rsidRDefault="004E5CEC" w:rsidP="003D7A2B">
      <w:pPr>
        <w:pStyle w:val="NoSpacing"/>
        <w:spacing w:line="360" w:lineRule="auto"/>
        <w:contextual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In any event erroneous acceptance of inv</w:t>
      </w:r>
      <w:r w:rsidR="004B5D34" w:rsidRPr="001F14E6">
        <w:rPr>
          <w:rFonts w:ascii="Times New Roman" w:hAnsi="Times New Roman" w:cs="Times New Roman"/>
          <w:sz w:val="24"/>
          <w:szCs w:val="24"/>
          <w:lang w:val="en-US"/>
        </w:rPr>
        <w:t>alid</w:t>
      </w:r>
      <w:r w:rsidRPr="001F14E6">
        <w:rPr>
          <w:rFonts w:ascii="Times New Roman" w:hAnsi="Times New Roman" w:cs="Times New Roman"/>
          <w:sz w:val="24"/>
          <w:szCs w:val="24"/>
          <w:lang w:val="en-US"/>
        </w:rPr>
        <w:t xml:space="preserve"> </w:t>
      </w:r>
      <w:r w:rsidR="004B5D34" w:rsidRPr="001F14E6">
        <w:rPr>
          <w:rFonts w:ascii="Times New Roman" w:hAnsi="Times New Roman" w:cs="Times New Roman"/>
          <w:sz w:val="24"/>
          <w:szCs w:val="24"/>
          <w:lang w:val="en-US"/>
        </w:rPr>
        <w:t>invoices</w:t>
      </w:r>
      <w:r w:rsidRPr="001F14E6">
        <w:rPr>
          <w:rFonts w:ascii="Times New Roman" w:hAnsi="Times New Roman" w:cs="Times New Roman"/>
          <w:sz w:val="24"/>
          <w:szCs w:val="24"/>
          <w:lang w:val="en-US"/>
        </w:rPr>
        <w:t xml:space="preserve"> by the respon</w:t>
      </w:r>
      <w:r w:rsidR="00A50285" w:rsidRPr="001F14E6">
        <w:rPr>
          <w:rFonts w:ascii="Times New Roman" w:hAnsi="Times New Roman" w:cs="Times New Roman"/>
          <w:sz w:val="24"/>
          <w:szCs w:val="24"/>
          <w:lang w:val="en-US"/>
        </w:rPr>
        <w:t>d</w:t>
      </w:r>
      <w:r w:rsidRPr="001F14E6">
        <w:rPr>
          <w:rFonts w:ascii="Times New Roman" w:hAnsi="Times New Roman" w:cs="Times New Roman"/>
          <w:sz w:val="24"/>
          <w:szCs w:val="24"/>
          <w:lang w:val="en-US"/>
        </w:rPr>
        <w:t>ent’s officials would not validated t</w:t>
      </w:r>
      <w:r w:rsidR="004B5D34" w:rsidRPr="001F14E6">
        <w:rPr>
          <w:rFonts w:ascii="Times New Roman" w:hAnsi="Times New Roman" w:cs="Times New Roman"/>
          <w:sz w:val="24"/>
          <w:szCs w:val="24"/>
          <w:lang w:val="en-US"/>
        </w:rPr>
        <w:t>h</w:t>
      </w:r>
      <w:r w:rsidRPr="001F14E6">
        <w:rPr>
          <w:rFonts w:ascii="Times New Roman" w:hAnsi="Times New Roman" w:cs="Times New Roman"/>
          <w:sz w:val="24"/>
          <w:szCs w:val="24"/>
          <w:lang w:val="en-US"/>
        </w:rPr>
        <w:t xml:space="preserve">em – </w:t>
      </w:r>
      <w:r w:rsidRPr="001F14E6">
        <w:rPr>
          <w:rFonts w:ascii="Times New Roman" w:hAnsi="Times New Roman" w:cs="Times New Roman"/>
          <w:i/>
          <w:sz w:val="24"/>
          <w:szCs w:val="24"/>
          <w:lang w:val="en-US"/>
        </w:rPr>
        <w:t>R</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Board of Inland Revenue XP</w:t>
      </w:r>
      <w:r w:rsidRPr="001F14E6">
        <w:rPr>
          <w:rFonts w:ascii="Times New Roman" w:hAnsi="Times New Roman" w:cs="Times New Roman"/>
          <w:sz w:val="24"/>
          <w:szCs w:val="24"/>
          <w:lang w:val="en-US"/>
        </w:rPr>
        <w:t xml:space="preserve">. </w:t>
      </w:r>
      <w:r w:rsidRPr="001F14E6">
        <w:rPr>
          <w:rFonts w:ascii="Times New Roman" w:hAnsi="Times New Roman" w:cs="Times New Roman"/>
          <w:i/>
          <w:sz w:val="24"/>
          <w:szCs w:val="24"/>
          <w:lang w:val="en-US"/>
        </w:rPr>
        <w:t>MFK Underwriting Agencies Ltd &amp; Ors</w:t>
      </w:r>
      <w:r w:rsidRPr="001F14E6">
        <w:rPr>
          <w:rFonts w:ascii="Times New Roman" w:hAnsi="Times New Roman" w:cs="Times New Roman"/>
          <w:sz w:val="24"/>
          <w:szCs w:val="24"/>
          <w:lang w:val="en-US"/>
        </w:rPr>
        <w:t xml:space="preserve"> [1997] ALL ER 91 at 100d-j; </w:t>
      </w:r>
      <w:r w:rsidRPr="001F14E6">
        <w:rPr>
          <w:rFonts w:ascii="Times New Roman" w:hAnsi="Times New Roman" w:cs="Times New Roman"/>
          <w:i/>
          <w:sz w:val="24"/>
          <w:szCs w:val="24"/>
          <w:lang w:val="en-US"/>
        </w:rPr>
        <w:t>AG exp – Imperial</w:t>
      </w:r>
      <w:r w:rsidRPr="001F14E6">
        <w:rPr>
          <w:rFonts w:ascii="Times New Roman" w:hAnsi="Times New Roman" w:cs="Times New Roman"/>
          <w:sz w:val="24"/>
          <w:szCs w:val="24"/>
          <w:lang w:val="en-US"/>
        </w:rPr>
        <w:t xml:space="preserve"> </w:t>
      </w:r>
      <w:r w:rsidRPr="001F14E6">
        <w:rPr>
          <w:rFonts w:ascii="Times New Roman" w:hAnsi="Times New Roman" w:cs="Times New Roman"/>
          <w:i/>
          <w:sz w:val="24"/>
          <w:szCs w:val="24"/>
          <w:lang w:val="en-US"/>
        </w:rPr>
        <w:t>Chemical Industries PLC</w:t>
      </w:r>
      <w:r w:rsidRPr="001F14E6">
        <w:rPr>
          <w:rFonts w:ascii="Times New Roman" w:hAnsi="Times New Roman" w:cs="Times New Roman"/>
          <w:sz w:val="24"/>
          <w:szCs w:val="24"/>
          <w:lang w:val="en-US"/>
        </w:rPr>
        <w:t xml:space="preserve"> (1986) 60 TCI at 64; </w:t>
      </w:r>
      <w:r w:rsidRPr="001F14E6">
        <w:rPr>
          <w:rFonts w:ascii="Times New Roman" w:hAnsi="Times New Roman" w:cs="Times New Roman"/>
          <w:i/>
          <w:sz w:val="24"/>
          <w:szCs w:val="24"/>
          <w:lang w:val="en-US"/>
        </w:rPr>
        <w:t>Vest</w:t>
      </w:r>
      <w:r w:rsidR="004B5D34" w:rsidRPr="001F14E6">
        <w:rPr>
          <w:rFonts w:ascii="Times New Roman" w:hAnsi="Times New Roman" w:cs="Times New Roman"/>
          <w:i/>
          <w:sz w:val="24"/>
          <w:szCs w:val="24"/>
          <w:lang w:val="en-US"/>
        </w:rPr>
        <w:t>c</w:t>
      </w:r>
      <w:r w:rsidRPr="001F14E6">
        <w:rPr>
          <w:rFonts w:ascii="Times New Roman" w:hAnsi="Times New Roman" w:cs="Times New Roman"/>
          <w:i/>
          <w:sz w:val="24"/>
          <w:szCs w:val="24"/>
          <w:lang w:val="en-US"/>
        </w:rPr>
        <w:t>y</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 xml:space="preserve">ICR </w:t>
      </w:r>
      <w:r w:rsidRPr="001F14E6">
        <w:rPr>
          <w:rFonts w:ascii="Times New Roman" w:hAnsi="Times New Roman" w:cs="Times New Roman"/>
          <w:sz w:val="24"/>
          <w:szCs w:val="24"/>
          <w:lang w:val="en-US"/>
        </w:rPr>
        <w:t xml:space="preserve">(No. 1) [1977] 3 ALL ER 1075 at 1098 [1979] ch ITI 177 and </w:t>
      </w:r>
      <w:r w:rsidRPr="001F14E6">
        <w:rPr>
          <w:rFonts w:ascii="Times New Roman" w:hAnsi="Times New Roman" w:cs="Times New Roman"/>
          <w:i/>
          <w:sz w:val="24"/>
          <w:szCs w:val="24"/>
          <w:lang w:val="en-US"/>
        </w:rPr>
        <w:t>Commissioner of Taxes</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Astra H</w:t>
      </w:r>
      <w:r w:rsidR="004B5D34" w:rsidRPr="001F14E6">
        <w:rPr>
          <w:rFonts w:ascii="Times New Roman" w:hAnsi="Times New Roman" w:cs="Times New Roman"/>
          <w:i/>
          <w:sz w:val="24"/>
          <w:szCs w:val="24"/>
          <w:lang w:val="en-US"/>
        </w:rPr>
        <w:t>o</w:t>
      </w:r>
      <w:r w:rsidRPr="001F14E6">
        <w:rPr>
          <w:rFonts w:ascii="Times New Roman" w:hAnsi="Times New Roman" w:cs="Times New Roman"/>
          <w:i/>
          <w:sz w:val="24"/>
          <w:szCs w:val="24"/>
          <w:lang w:val="en-US"/>
        </w:rPr>
        <w:t>ldings (Pvt) Ltd</w:t>
      </w:r>
      <w:r w:rsidRPr="001F14E6">
        <w:rPr>
          <w:rFonts w:ascii="Times New Roman" w:hAnsi="Times New Roman" w:cs="Times New Roman"/>
          <w:sz w:val="24"/>
          <w:szCs w:val="24"/>
          <w:lang w:val="en-US"/>
        </w:rPr>
        <w:t xml:space="preserve"> 2003 (1) ZLR 417 (S).  </w:t>
      </w:r>
    </w:p>
    <w:p w:rsidR="004E5CEC" w:rsidRPr="001F14E6" w:rsidRDefault="004E5CEC" w:rsidP="003D7A2B">
      <w:pPr>
        <w:spacing w:after="0" w:line="360" w:lineRule="auto"/>
        <w:ind w:firstLine="720"/>
        <w:contextualSpacing/>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From the</w:t>
      </w:r>
      <w:r w:rsidR="004B5D34"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e authorities it is trite that “one should be taxed by laws, and not untaxed by commissions” or errors of revenue officers.</w:t>
      </w:r>
    </w:p>
    <w:p w:rsidR="004E5CEC" w:rsidRPr="001F14E6" w:rsidRDefault="004E5CEC"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From the foregoing it is clear that the appellant’s case on the issue of management fees must fa</w:t>
      </w:r>
      <w:r w:rsidR="004B5D34" w:rsidRPr="001F14E6">
        <w:rPr>
          <w:rFonts w:ascii="Times New Roman" w:hAnsi="Times New Roman" w:cs="Times New Roman"/>
          <w:sz w:val="24"/>
          <w:szCs w:val="24"/>
          <w:lang w:val="en-US"/>
        </w:rPr>
        <w:t>i</w:t>
      </w:r>
      <w:r w:rsidRPr="001F14E6">
        <w:rPr>
          <w:rFonts w:ascii="Times New Roman" w:hAnsi="Times New Roman" w:cs="Times New Roman"/>
          <w:sz w:val="24"/>
          <w:szCs w:val="24"/>
          <w:lang w:val="en-US"/>
        </w:rPr>
        <w:t>l.</w:t>
      </w:r>
    </w:p>
    <w:p w:rsidR="004E5CEC" w:rsidRPr="001F14E6" w:rsidRDefault="004E5CEC" w:rsidP="00641CD7">
      <w:pPr>
        <w:pStyle w:val="NoSpacing"/>
        <w:numPr>
          <w:ilvl w:val="0"/>
          <w:numId w:val="6"/>
        </w:numPr>
        <w:jc w:val="both"/>
        <w:rPr>
          <w:rFonts w:ascii="Times New Roman" w:hAnsi="Times New Roman" w:cs="Times New Roman"/>
          <w:sz w:val="24"/>
          <w:szCs w:val="24"/>
          <w:u w:val="single"/>
          <w:lang w:val="en-US"/>
        </w:rPr>
      </w:pPr>
      <w:r w:rsidRPr="001F14E6">
        <w:rPr>
          <w:rFonts w:ascii="Times New Roman" w:hAnsi="Times New Roman" w:cs="Times New Roman"/>
          <w:sz w:val="24"/>
          <w:szCs w:val="24"/>
          <w:u w:val="single"/>
          <w:lang w:val="en-US"/>
        </w:rPr>
        <w:t>Whether canteen meals provided to factory workers are taxable</w:t>
      </w:r>
    </w:p>
    <w:p w:rsidR="008D55C6" w:rsidRPr="001F14E6" w:rsidRDefault="008D55C6" w:rsidP="00641CD7">
      <w:pPr>
        <w:pStyle w:val="NoSpacing"/>
        <w:jc w:val="both"/>
        <w:rPr>
          <w:rFonts w:ascii="Times New Roman" w:hAnsi="Times New Roman" w:cs="Times New Roman"/>
          <w:sz w:val="24"/>
          <w:szCs w:val="24"/>
          <w:lang w:val="en-US"/>
        </w:rPr>
      </w:pPr>
    </w:p>
    <w:p w:rsidR="004E5CEC" w:rsidRPr="001F14E6" w:rsidRDefault="004E5CEC"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evidence of the appellant on canteen meals was primarily from three witnesses.  What the evidence showed is th</w:t>
      </w:r>
      <w:r w:rsidR="00A50285" w:rsidRPr="001F14E6">
        <w:rPr>
          <w:rFonts w:ascii="Times New Roman" w:hAnsi="Times New Roman" w:cs="Times New Roman"/>
          <w:sz w:val="24"/>
          <w:szCs w:val="24"/>
          <w:lang w:val="en-US"/>
        </w:rPr>
        <w:t>a</w:t>
      </w:r>
      <w:r w:rsidRPr="001F14E6">
        <w:rPr>
          <w:rFonts w:ascii="Times New Roman" w:hAnsi="Times New Roman" w:cs="Times New Roman"/>
          <w:sz w:val="24"/>
          <w:szCs w:val="24"/>
          <w:lang w:val="en-US"/>
        </w:rPr>
        <w:t>t the factory workers based at appellant’s fac</w:t>
      </w:r>
      <w:r w:rsidR="00A50285" w:rsidRPr="001F14E6">
        <w:rPr>
          <w:rFonts w:ascii="Times New Roman" w:hAnsi="Times New Roman" w:cs="Times New Roman"/>
          <w:sz w:val="24"/>
          <w:szCs w:val="24"/>
          <w:lang w:val="en-US"/>
        </w:rPr>
        <w:t>tory</w:t>
      </w:r>
      <w:r w:rsidRPr="001F14E6">
        <w:rPr>
          <w:rFonts w:ascii="Times New Roman" w:hAnsi="Times New Roman" w:cs="Times New Roman"/>
          <w:sz w:val="24"/>
          <w:szCs w:val="24"/>
          <w:lang w:val="en-US"/>
        </w:rPr>
        <w:t xml:space="preserve"> were supplied with meals.  Such meals were not supplied in </w:t>
      </w:r>
      <w:r w:rsidR="00A50285" w:rsidRPr="001F14E6">
        <w:rPr>
          <w:rFonts w:ascii="Times New Roman" w:hAnsi="Times New Roman" w:cs="Times New Roman"/>
          <w:sz w:val="24"/>
          <w:szCs w:val="24"/>
          <w:lang w:val="en-US"/>
        </w:rPr>
        <w:t>t</w:t>
      </w:r>
      <w:r w:rsidRPr="001F14E6">
        <w:rPr>
          <w:rFonts w:ascii="Times New Roman" w:hAnsi="Times New Roman" w:cs="Times New Roman"/>
          <w:sz w:val="24"/>
          <w:szCs w:val="24"/>
          <w:lang w:val="en-US"/>
        </w:rPr>
        <w:t>he factory an</w:t>
      </w:r>
      <w:r w:rsidR="00A50285" w:rsidRPr="001F14E6">
        <w:rPr>
          <w:rFonts w:ascii="Times New Roman" w:hAnsi="Times New Roman" w:cs="Times New Roman"/>
          <w:sz w:val="24"/>
          <w:szCs w:val="24"/>
          <w:lang w:val="en-US"/>
        </w:rPr>
        <w:t>d</w:t>
      </w:r>
      <w:r w:rsidRPr="001F14E6">
        <w:rPr>
          <w:rFonts w:ascii="Times New Roman" w:hAnsi="Times New Roman" w:cs="Times New Roman"/>
          <w:sz w:val="24"/>
          <w:szCs w:val="24"/>
          <w:lang w:val="en-US"/>
        </w:rPr>
        <w:t xml:space="preserve"> at the post of duty.  The workers exited </w:t>
      </w:r>
      <w:r w:rsidRPr="001F14E6">
        <w:rPr>
          <w:rFonts w:ascii="Times New Roman" w:hAnsi="Times New Roman" w:cs="Times New Roman"/>
          <w:sz w:val="24"/>
          <w:szCs w:val="24"/>
          <w:lang w:val="en-US"/>
        </w:rPr>
        <w:lastRenderedPageBreak/>
        <w:t xml:space="preserve">the factory floor and had a break from work for about fifteen (15) minutes and consumed the meal in a canteen outside the factory.  </w:t>
      </w:r>
      <w:r w:rsidR="00A50285" w:rsidRPr="001F14E6">
        <w:rPr>
          <w:rFonts w:ascii="Times New Roman" w:hAnsi="Times New Roman" w:cs="Times New Roman"/>
          <w:i/>
          <w:sz w:val="24"/>
          <w:szCs w:val="24"/>
          <w:lang w:val="en-US"/>
        </w:rPr>
        <w:t>In</w:t>
      </w:r>
      <w:r w:rsidR="008D55C6" w:rsidRPr="001F14E6">
        <w:rPr>
          <w:rFonts w:ascii="Times New Roman" w:hAnsi="Times New Roman" w:cs="Times New Roman"/>
          <w:i/>
          <w:sz w:val="24"/>
          <w:szCs w:val="24"/>
          <w:lang w:val="en-US"/>
        </w:rPr>
        <w:t xml:space="preserve"> casu</w:t>
      </w:r>
      <w:r w:rsidR="008D55C6" w:rsidRPr="001F14E6">
        <w:rPr>
          <w:rFonts w:ascii="Times New Roman" w:hAnsi="Times New Roman" w:cs="Times New Roman"/>
          <w:sz w:val="24"/>
          <w:szCs w:val="24"/>
          <w:lang w:val="en-US"/>
        </w:rPr>
        <w:t>, the appellant’s employees do not continue with their duties while having the meal.  They exit the factory to the canteen and are relieved of their duties and re-enter it to resume their duties after they have had their meal.  The respondent relies on the decision of this court in ITC 1394 (1984) SATC 119 (Z).  In this case the cou</w:t>
      </w:r>
      <w:r w:rsidR="00A50285" w:rsidRPr="001F14E6">
        <w:rPr>
          <w:rFonts w:ascii="Times New Roman" w:hAnsi="Times New Roman" w:cs="Times New Roman"/>
          <w:sz w:val="24"/>
          <w:szCs w:val="24"/>
          <w:lang w:val="en-US"/>
        </w:rPr>
        <w:t>r</w:t>
      </w:r>
      <w:r w:rsidR="008D55C6" w:rsidRPr="001F14E6">
        <w:rPr>
          <w:rFonts w:ascii="Times New Roman" w:hAnsi="Times New Roman" w:cs="Times New Roman"/>
          <w:sz w:val="24"/>
          <w:szCs w:val="24"/>
          <w:lang w:val="en-US"/>
        </w:rPr>
        <w:t xml:space="preserve">t ruled that the provision of meals to employees constitutes entertainment where the employees are not required to continue with their duties during the meal.  It only constitutes an allowable deduction in the production of the income </w:t>
      </w:r>
      <w:r w:rsidR="00A50285" w:rsidRPr="001F14E6">
        <w:rPr>
          <w:rFonts w:ascii="Times New Roman" w:hAnsi="Times New Roman" w:cs="Times New Roman"/>
          <w:sz w:val="24"/>
          <w:szCs w:val="24"/>
          <w:lang w:val="en-US"/>
        </w:rPr>
        <w:t>o</w:t>
      </w:r>
      <w:r w:rsidR="008D55C6" w:rsidRPr="001F14E6">
        <w:rPr>
          <w:rFonts w:ascii="Times New Roman" w:hAnsi="Times New Roman" w:cs="Times New Roman"/>
          <w:sz w:val="24"/>
          <w:szCs w:val="24"/>
          <w:lang w:val="en-US"/>
        </w:rPr>
        <w:t xml:space="preserve">f the tax payer – if the employees are required to continue with their duties.  </w:t>
      </w:r>
      <w:r w:rsidR="008D55C6" w:rsidRPr="001F14E6">
        <w:rPr>
          <w:rFonts w:ascii="Times New Roman" w:hAnsi="Times New Roman" w:cs="Times New Roman"/>
          <w:i/>
          <w:sz w:val="24"/>
          <w:szCs w:val="24"/>
          <w:lang w:val="en-US"/>
        </w:rPr>
        <w:t>In casu</w:t>
      </w:r>
      <w:r w:rsidR="008D55C6" w:rsidRPr="001F14E6">
        <w:rPr>
          <w:rFonts w:ascii="Times New Roman" w:hAnsi="Times New Roman" w:cs="Times New Roman"/>
          <w:sz w:val="24"/>
          <w:szCs w:val="24"/>
          <w:lang w:val="en-US"/>
        </w:rPr>
        <w:t xml:space="preserve">, the factory workers do not continue with their duties while having the meal.  The respondent on the one hand contends that there is a taxable benefit on the canteen meals provided by the appellant.  The respondent relies on s8 (1) (f) of the Act.  The appellant, on the other hand, submits that the employees are not deriving any benefits from the canteen meals as this provision is purely designed to meet the employment conditions.  In terms of s8 (1) (f) of the Act, the taxable benefit only arises in cases where the employees derives some benefit therefrom.  The legislature, under s8 (1) (f), </w:t>
      </w:r>
      <w:r w:rsidR="008D55C6" w:rsidRPr="001F14E6">
        <w:rPr>
          <w:rFonts w:ascii="Times New Roman" w:hAnsi="Times New Roman" w:cs="Times New Roman"/>
          <w:i/>
          <w:sz w:val="24"/>
          <w:szCs w:val="24"/>
          <w:lang w:val="en-US"/>
        </w:rPr>
        <w:t>supra,</w:t>
      </w:r>
      <w:r w:rsidR="008D55C6" w:rsidRPr="001F14E6">
        <w:rPr>
          <w:rFonts w:ascii="Times New Roman" w:hAnsi="Times New Roman" w:cs="Times New Roman"/>
          <w:sz w:val="24"/>
          <w:szCs w:val="24"/>
          <w:lang w:val="en-US"/>
        </w:rPr>
        <w:t xml:space="preserve"> </w:t>
      </w:r>
      <w:r w:rsidR="00A50285" w:rsidRPr="001F14E6">
        <w:rPr>
          <w:rFonts w:ascii="Times New Roman" w:hAnsi="Times New Roman" w:cs="Times New Roman"/>
          <w:sz w:val="24"/>
          <w:szCs w:val="24"/>
          <w:lang w:val="en-US"/>
        </w:rPr>
        <w:t>excludes from taxation any adva</w:t>
      </w:r>
      <w:r w:rsidR="008D55C6" w:rsidRPr="001F14E6">
        <w:rPr>
          <w:rFonts w:ascii="Times New Roman" w:hAnsi="Times New Roman" w:cs="Times New Roman"/>
          <w:sz w:val="24"/>
          <w:szCs w:val="24"/>
          <w:lang w:val="en-US"/>
        </w:rPr>
        <w:t xml:space="preserve">ntage or benefit in so far as </w:t>
      </w:r>
      <w:r w:rsidR="004B5D34" w:rsidRPr="001F14E6">
        <w:rPr>
          <w:rFonts w:ascii="Times New Roman" w:hAnsi="Times New Roman" w:cs="Times New Roman"/>
          <w:sz w:val="24"/>
          <w:szCs w:val="24"/>
          <w:lang w:val="en-US"/>
        </w:rPr>
        <w:t>i</w:t>
      </w:r>
      <w:r w:rsidR="008D55C6" w:rsidRPr="001F14E6">
        <w:rPr>
          <w:rFonts w:ascii="Times New Roman" w:hAnsi="Times New Roman" w:cs="Times New Roman"/>
          <w:sz w:val="24"/>
          <w:szCs w:val="24"/>
          <w:lang w:val="en-US"/>
        </w:rPr>
        <w:t>t is used, consumed or enjoyed for the purposes of the business transactions of the employer.  The “employee’s business purpose,” test should be applied to the meals in order to determine wh</w:t>
      </w:r>
      <w:r w:rsidR="00A50285" w:rsidRPr="001F14E6">
        <w:rPr>
          <w:rFonts w:ascii="Times New Roman" w:hAnsi="Times New Roman" w:cs="Times New Roman"/>
          <w:sz w:val="24"/>
          <w:szCs w:val="24"/>
          <w:lang w:val="en-US"/>
        </w:rPr>
        <w:t>e</w:t>
      </w:r>
      <w:r w:rsidR="008D55C6" w:rsidRPr="001F14E6">
        <w:rPr>
          <w:rFonts w:ascii="Times New Roman" w:hAnsi="Times New Roman" w:cs="Times New Roman"/>
          <w:sz w:val="24"/>
          <w:szCs w:val="24"/>
          <w:lang w:val="en-US"/>
        </w:rPr>
        <w:t>ther they are taxable or not.</w:t>
      </w:r>
    </w:p>
    <w:p w:rsidR="004E5CEC" w:rsidRPr="001F14E6" w:rsidRDefault="004E5CEC"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r>
      <w:r w:rsidR="006F53DB" w:rsidRPr="001F14E6">
        <w:rPr>
          <w:rFonts w:ascii="Times New Roman" w:hAnsi="Times New Roman" w:cs="Times New Roman"/>
          <w:sz w:val="24"/>
          <w:szCs w:val="24"/>
          <w:lang w:val="en-US"/>
        </w:rPr>
        <w:t>My understanding is that as general rule the provision of a meal to an employee may well constitute “entertainment” as envisaged in s16 (1) (m) of the Act.  The scenario in ITC 1394 (1984) 47 SATC, supra is an exception to the said general i.e lunch for bank tellers that were required to work through lunch to continue with their duties during the meal …”  This is, however, not the only exception.  The facts of this case present another exception.  The meals here are provided more beneficial to the employer as they are designed primarily to meet the business objectives of the employers rather than to create an advantage or benefit in the hands of the employee i.e. they are non-compensatory.  The</w:t>
      </w:r>
      <w:r w:rsidR="003F4E3E" w:rsidRPr="001F14E6">
        <w:rPr>
          <w:rFonts w:ascii="Times New Roman" w:hAnsi="Times New Roman" w:cs="Times New Roman"/>
          <w:sz w:val="24"/>
          <w:szCs w:val="24"/>
          <w:lang w:val="en-US"/>
        </w:rPr>
        <w:t>r</w:t>
      </w:r>
      <w:r w:rsidR="006F53DB" w:rsidRPr="001F14E6">
        <w:rPr>
          <w:rFonts w:ascii="Times New Roman" w:hAnsi="Times New Roman" w:cs="Times New Roman"/>
          <w:sz w:val="24"/>
          <w:szCs w:val="24"/>
          <w:lang w:val="en-US"/>
        </w:rPr>
        <w:t xml:space="preserve">e is a clear link to the business objectives than to a supposed benefit in the hands of the employees.  This is akin to the “employer business purpose test in the United States jurisprudence – </w:t>
      </w:r>
      <w:r w:rsidR="006F53DB" w:rsidRPr="001F14E6">
        <w:rPr>
          <w:rFonts w:ascii="Times New Roman" w:hAnsi="Times New Roman" w:cs="Times New Roman"/>
          <w:i/>
          <w:sz w:val="24"/>
          <w:szCs w:val="24"/>
          <w:lang w:val="en-US"/>
        </w:rPr>
        <w:t>Commissioner</w:t>
      </w:r>
      <w:r w:rsidR="006F53DB" w:rsidRPr="001F14E6">
        <w:rPr>
          <w:rFonts w:ascii="Times New Roman" w:hAnsi="Times New Roman" w:cs="Times New Roman"/>
          <w:sz w:val="24"/>
          <w:szCs w:val="24"/>
          <w:lang w:val="en-US"/>
        </w:rPr>
        <w:t xml:space="preserve"> v </w:t>
      </w:r>
      <w:r w:rsidR="006F53DB" w:rsidRPr="001F14E6">
        <w:rPr>
          <w:rFonts w:ascii="Times New Roman" w:hAnsi="Times New Roman" w:cs="Times New Roman"/>
          <w:i/>
          <w:sz w:val="24"/>
          <w:szCs w:val="24"/>
          <w:lang w:val="en-US"/>
        </w:rPr>
        <w:t xml:space="preserve">Kawalsk </w:t>
      </w:r>
      <w:r w:rsidR="006F53DB" w:rsidRPr="001F14E6">
        <w:rPr>
          <w:rFonts w:ascii="Times New Roman" w:hAnsi="Times New Roman" w:cs="Times New Roman"/>
          <w:sz w:val="24"/>
          <w:szCs w:val="24"/>
          <w:lang w:val="en-US"/>
        </w:rPr>
        <w:t xml:space="preserve">434 </w:t>
      </w:r>
      <w:r w:rsidR="00595A35">
        <w:rPr>
          <w:rFonts w:ascii="Times New Roman" w:hAnsi="Times New Roman" w:cs="Times New Roman"/>
          <w:sz w:val="24"/>
          <w:szCs w:val="24"/>
          <w:lang w:val="en-US"/>
        </w:rPr>
        <w:t>U</w:t>
      </w:r>
      <w:r w:rsidR="006F53DB" w:rsidRPr="001F14E6">
        <w:rPr>
          <w:rFonts w:ascii="Times New Roman" w:hAnsi="Times New Roman" w:cs="Times New Roman"/>
          <w:sz w:val="24"/>
          <w:szCs w:val="24"/>
          <w:lang w:val="en-US"/>
        </w:rPr>
        <w:t xml:space="preserve">.S. 77 (1977); </w:t>
      </w:r>
      <w:r w:rsidR="006F53DB" w:rsidRPr="001F14E6">
        <w:rPr>
          <w:rFonts w:ascii="Times New Roman" w:hAnsi="Times New Roman" w:cs="Times New Roman"/>
          <w:i/>
          <w:sz w:val="24"/>
          <w:szCs w:val="24"/>
          <w:lang w:val="en-US"/>
        </w:rPr>
        <w:t>Caratan</w:t>
      </w:r>
      <w:r w:rsidR="006F53DB" w:rsidRPr="001F14E6">
        <w:rPr>
          <w:rFonts w:ascii="Times New Roman" w:hAnsi="Times New Roman" w:cs="Times New Roman"/>
          <w:sz w:val="24"/>
          <w:szCs w:val="24"/>
          <w:lang w:val="en-US"/>
        </w:rPr>
        <w:t xml:space="preserve"> v </w:t>
      </w:r>
      <w:r w:rsidR="006F53DB" w:rsidRPr="001F14E6">
        <w:rPr>
          <w:rFonts w:ascii="Times New Roman" w:hAnsi="Times New Roman" w:cs="Times New Roman"/>
          <w:i/>
          <w:sz w:val="24"/>
          <w:szCs w:val="24"/>
          <w:lang w:val="en-US"/>
        </w:rPr>
        <w:t>Commissioner</w:t>
      </w:r>
      <w:r w:rsidR="006F53DB" w:rsidRPr="001F14E6">
        <w:rPr>
          <w:rFonts w:ascii="Times New Roman" w:hAnsi="Times New Roman" w:cs="Times New Roman"/>
          <w:sz w:val="24"/>
          <w:szCs w:val="24"/>
          <w:lang w:val="en-US"/>
        </w:rPr>
        <w:t xml:space="preserve"> 44</w:t>
      </w:r>
      <w:r w:rsidR="00C71A31" w:rsidRPr="001F14E6">
        <w:rPr>
          <w:rFonts w:ascii="Times New Roman" w:hAnsi="Times New Roman" w:cs="Times New Roman"/>
          <w:sz w:val="24"/>
          <w:szCs w:val="24"/>
          <w:lang w:val="en-US"/>
        </w:rPr>
        <w:t xml:space="preserve">2 F 2d 606 (1971) and </w:t>
      </w:r>
      <w:r w:rsidR="00C71A31" w:rsidRPr="001F14E6">
        <w:rPr>
          <w:rFonts w:ascii="Times New Roman" w:hAnsi="Times New Roman" w:cs="Times New Roman"/>
          <w:i/>
          <w:sz w:val="24"/>
          <w:szCs w:val="24"/>
          <w:lang w:val="en-US"/>
        </w:rPr>
        <w:t>Boyd Gaming Corp</w:t>
      </w:r>
      <w:r w:rsidR="00C71A31" w:rsidRPr="001F14E6">
        <w:rPr>
          <w:rFonts w:ascii="Times New Roman" w:hAnsi="Times New Roman" w:cs="Times New Roman"/>
          <w:sz w:val="24"/>
          <w:szCs w:val="24"/>
          <w:lang w:val="en-US"/>
        </w:rPr>
        <w:t xml:space="preserve">. v </w:t>
      </w:r>
      <w:r w:rsidR="00C71A31" w:rsidRPr="001F14E6">
        <w:rPr>
          <w:rFonts w:ascii="Times New Roman" w:hAnsi="Times New Roman" w:cs="Times New Roman"/>
          <w:i/>
          <w:sz w:val="24"/>
          <w:szCs w:val="24"/>
          <w:lang w:val="en-US"/>
        </w:rPr>
        <w:t>Commissioner</w:t>
      </w:r>
      <w:r w:rsidR="00C71A31" w:rsidRPr="001F14E6">
        <w:rPr>
          <w:rFonts w:ascii="Times New Roman" w:hAnsi="Times New Roman" w:cs="Times New Roman"/>
          <w:sz w:val="24"/>
          <w:szCs w:val="24"/>
          <w:lang w:val="en-US"/>
        </w:rPr>
        <w:t xml:space="preserve"> 177F.3d 1096 (9</w:t>
      </w:r>
      <w:r w:rsidR="00C71A31" w:rsidRPr="001F14E6">
        <w:rPr>
          <w:rFonts w:ascii="Times New Roman" w:hAnsi="Times New Roman" w:cs="Times New Roman"/>
          <w:sz w:val="24"/>
          <w:szCs w:val="24"/>
          <w:vertAlign w:val="superscript"/>
          <w:lang w:val="en-US"/>
        </w:rPr>
        <w:t>th</w:t>
      </w:r>
      <w:r w:rsidR="00C71A31" w:rsidRPr="001F14E6">
        <w:rPr>
          <w:rFonts w:ascii="Times New Roman" w:hAnsi="Times New Roman" w:cs="Times New Roman"/>
          <w:sz w:val="24"/>
          <w:szCs w:val="24"/>
          <w:lang w:val="en-US"/>
        </w:rPr>
        <w:t xml:space="preserve"> Cit 1999).  In this case sh</w:t>
      </w:r>
      <w:r w:rsidR="00AE2DE4" w:rsidRPr="001F14E6">
        <w:rPr>
          <w:rFonts w:ascii="Times New Roman" w:hAnsi="Times New Roman" w:cs="Times New Roman"/>
          <w:sz w:val="24"/>
          <w:szCs w:val="24"/>
          <w:lang w:val="en-US"/>
        </w:rPr>
        <w:t>o</w:t>
      </w:r>
      <w:r w:rsidR="00C71A31" w:rsidRPr="001F14E6">
        <w:rPr>
          <w:rFonts w:ascii="Times New Roman" w:hAnsi="Times New Roman" w:cs="Times New Roman"/>
          <w:sz w:val="24"/>
          <w:szCs w:val="24"/>
          <w:lang w:val="en-US"/>
        </w:rPr>
        <w:t>uld the employer not have provid</w:t>
      </w:r>
      <w:r w:rsidR="00AE2DE4" w:rsidRPr="001F14E6">
        <w:rPr>
          <w:rFonts w:ascii="Times New Roman" w:hAnsi="Times New Roman" w:cs="Times New Roman"/>
          <w:sz w:val="24"/>
          <w:szCs w:val="24"/>
          <w:lang w:val="en-US"/>
        </w:rPr>
        <w:t>ed the employees with meals thi</w:t>
      </w:r>
      <w:r w:rsidR="00C71A31" w:rsidRPr="001F14E6">
        <w:rPr>
          <w:rFonts w:ascii="Times New Roman" w:hAnsi="Times New Roman" w:cs="Times New Roman"/>
          <w:sz w:val="24"/>
          <w:szCs w:val="24"/>
          <w:lang w:val="en-US"/>
        </w:rPr>
        <w:t xml:space="preserve">s would introduce additional business risk in </w:t>
      </w:r>
      <w:r w:rsidR="00AE2DE4" w:rsidRPr="001F14E6">
        <w:rPr>
          <w:rFonts w:ascii="Times New Roman" w:hAnsi="Times New Roman" w:cs="Times New Roman"/>
          <w:sz w:val="24"/>
          <w:szCs w:val="24"/>
          <w:lang w:val="en-US"/>
        </w:rPr>
        <w:t>t</w:t>
      </w:r>
      <w:r w:rsidR="00C71A31" w:rsidRPr="001F14E6">
        <w:rPr>
          <w:rFonts w:ascii="Times New Roman" w:hAnsi="Times New Roman" w:cs="Times New Roman"/>
          <w:sz w:val="24"/>
          <w:szCs w:val="24"/>
          <w:lang w:val="en-US"/>
        </w:rPr>
        <w:t xml:space="preserve">he form of increased monitoring of employee movements in and out of their work location, additional disruptions to business </w:t>
      </w:r>
      <w:r w:rsidR="00C71A31" w:rsidRPr="001F14E6">
        <w:rPr>
          <w:rFonts w:ascii="Times New Roman" w:hAnsi="Times New Roman" w:cs="Times New Roman"/>
          <w:sz w:val="24"/>
          <w:szCs w:val="24"/>
          <w:lang w:val="en-US"/>
        </w:rPr>
        <w:lastRenderedPageBreak/>
        <w:t>continuity including the potential of increased tardiness as well as health and safety risks should employees not in fact eat meals.</w:t>
      </w:r>
    </w:p>
    <w:p w:rsidR="00C71A31" w:rsidRPr="001F14E6" w:rsidRDefault="00C71A31"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Accordingly, the meals are provided to employees in the intere</w:t>
      </w:r>
      <w:r w:rsidR="00AE2DE4"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t of the app</w:t>
      </w:r>
      <w:r w:rsidR="00AE2DE4"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llant’s business.  The canteen meals provided to employees cannot be classified as entertainment.  The primary purpose of the meals is not to be hospitable.  The hospitality aspect is absent in this scenario as the primary p</w:t>
      </w:r>
      <w:r w:rsidR="00AE2DE4" w:rsidRPr="001F14E6">
        <w:rPr>
          <w:rFonts w:ascii="Times New Roman" w:hAnsi="Times New Roman" w:cs="Times New Roman"/>
          <w:sz w:val="24"/>
          <w:szCs w:val="24"/>
          <w:lang w:val="en-US"/>
        </w:rPr>
        <w:t>ur</w:t>
      </w:r>
      <w:r w:rsidRPr="001F14E6">
        <w:rPr>
          <w:rFonts w:ascii="Times New Roman" w:hAnsi="Times New Roman" w:cs="Times New Roman"/>
          <w:sz w:val="24"/>
          <w:szCs w:val="24"/>
          <w:lang w:val="en-US"/>
        </w:rPr>
        <w:t>pose of providing the meals is to en</w:t>
      </w:r>
      <w:r w:rsidR="00AE2DE4"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ure minimal business disruption and continuity given the appellant operates continuously 24 hours a day and every day of the year.  The expenditure is closely connected with th</w:t>
      </w:r>
      <w:r w:rsidR="00D672C0"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 xml:space="preserve"> production of income and would be allowable under s15 (2) (a) of the Act – </w:t>
      </w:r>
      <w:r w:rsidRPr="001F14E6">
        <w:rPr>
          <w:rFonts w:ascii="Times New Roman" w:hAnsi="Times New Roman" w:cs="Times New Roman"/>
          <w:i/>
          <w:sz w:val="24"/>
          <w:szCs w:val="24"/>
          <w:lang w:val="en-US"/>
        </w:rPr>
        <w:t>Port Elizabeth</w:t>
      </w:r>
      <w:r w:rsidRPr="001F14E6">
        <w:rPr>
          <w:rFonts w:ascii="Times New Roman" w:hAnsi="Times New Roman" w:cs="Times New Roman"/>
          <w:sz w:val="24"/>
          <w:szCs w:val="24"/>
          <w:lang w:val="en-US"/>
        </w:rPr>
        <w:t xml:space="preserve"> </w:t>
      </w:r>
      <w:r w:rsidRPr="001F14E6">
        <w:rPr>
          <w:rFonts w:ascii="Times New Roman" w:hAnsi="Times New Roman" w:cs="Times New Roman"/>
          <w:i/>
          <w:sz w:val="24"/>
          <w:szCs w:val="24"/>
          <w:lang w:val="en-US"/>
        </w:rPr>
        <w:t>E</w:t>
      </w:r>
      <w:r w:rsidR="00D672C0" w:rsidRPr="001F14E6">
        <w:rPr>
          <w:rFonts w:ascii="Times New Roman" w:hAnsi="Times New Roman" w:cs="Times New Roman"/>
          <w:i/>
          <w:sz w:val="24"/>
          <w:szCs w:val="24"/>
          <w:lang w:val="en-US"/>
        </w:rPr>
        <w:t>l</w:t>
      </w:r>
      <w:r w:rsidRPr="001F14E6">
        <w:rPr>
          <w:rFonts w:ascii="Times New Roman" w:hAnsi="Times New Roman" w:cs="Times New Roman"/>
          <w:i/>
          <w:sz w:val="24"/>
          <w:szCs w:val="24"/>
          <w:lang w:val="en-US"/>
        </w:rPr>
        <w:t>ectric Trainway Co. Ltd</w:t>
      </w:r>
      <w:r w:rsidRPr="001F14E6">
        <w:rPr>
          <w:rFonts w:ascii="Times New Roman" w:hAnsi="Times New Roman" w:cs="Times New Roman"/>
          <w:sz w:val="24"/>
          <w:szCs w:val="24"/>
          <w:lang w:val="en-US"/>
        </w:rPr>
        <w:t xml:space="preserve"> v </w:t>
      </w:r>
      <w:r w:rsidRPr="001F14E6">
        <w:rPr>
          <w:rFonts w:ascii="Times New Roman" w:hAnsi="Times New Roman" w:cs="Times New Roman"/>
          <w:i/>
          <w:sz w:val="24"/>
          <w:szCs w:val="24"/>
          <w:lang w:val="en-US"/>
        </w:rPr>
        <w:t>CIR, supra</w:t>
      </w:r>
      <w:r w:rsidRPr="001F14E6">
        <w:rPr>
          <w:rFonts w:ascii="Times New Roman" w:hAnsi="Times New Roman" w:cs="Times New Roman"/>
          <w:sz w:val="24"/>
          <w:szCs w:val="24"/>
          <w:lang w:val="en-US"/>
        </w:rPr>
        <w:t>, and ITC 81820 SATC 507.  S16 of the Act which enlists the prohibited deductions is not an absol</w:t>
      </w:r>
      <w:r w:rsidR="003F4E3E" w:rsidRPr="001F14E6">
        <w:rPr>
          <w:rFonts w:ascii="Times New Roman" w:hAnsi="Times New Roman" w:cs="Times New Roman"/>
          <w:sz w:val="24"/>
          <w:szCs w:val="24"/>
          <w:lang w:val="en-US"/>
        </w:rPr>
        <w:t>ut</w:t>
      </w:r>
      <w:r w:rsidRPr="001F14E6">
        <w:rPr>
          <w:rFonts w:ascii="Times New Roman" w:hAnsi="Times New Roman" w:cs="Times New Roman"/>
          <w:sz w:val="24"/>
          <w:szCs w:val="24"/>
          <w:lang w:val="en-US"/>
        </w:rPr>
        <w:t>e prohibition, but is subject to the Act.  The preamble to s16 (1) states that “save as is otherwise expressly provided in this Act, no deductions shall be made in respect of the following matters.”  Thus, if the</w:t>
      </w:r>
      <w:r w:rsidR="003F4E3E" w:rsidRPr="001F14E6">
        <w:rPr>
          <w:rFonts w:ascii="Times New Roman" w:hAnsi="Times New Roman" w:cs="Times New Roman"/>
          <w:sz w:val="24"/>
          <w:szCs w:val="24"/>
          <w:lang w:val="en-US"/>
        </w:rPr>
        <w:t>r</w:t>
      </w:r>
      <w:r w:rsidRPr="001F14E6">
        <w:rPr>
          <w:rFonts w:ascii="Times New Roman" w:hAnsi="Times New Roman" w:cs="Times New Roman"/>
          <w:sz w:val="24"/>
          <w:szCs w:val="24"/>
          <w:lang w:val="en-US"/>
        </w:rPr>
        <w:t xml:space="preserve">e </w:t>
      </w:r>
      <w:r w:rsidR="003F4E3E" w:rsidRPr="001F14E6">
        <w:rPr>
          <w:rFonts w:ascii="Times New Roman" w:hAnsi="Times New Roman" w:cs="Times New Roman"/>
          <w:sz w:val="24"/>
          <w:szCs w:val="24"/>
          <w:lang w:val="en-US"/>
        </w:rPr>
        <w:t>i</w:t>
      </w:r>
      <w:r w:rsidRPr="001F14E6">
        <w:rPr>
          <w:rFonts w:ascii="Times New Roman" w:hAnsi="Times New Roman" w:cs="Times New Roman"/>
          <w:sz w:val="24"/>
          <w:szCs w:val="24"/>
          <w:lang w:val="en-US"/>
        </w:rPr>
        <w:t>s any provision in this Act, which provides otherwise,</w:t>
      </w:r>
      <w:r w:rsidR="00D672C0" w:rsidRPr="001F14E6">
        <w:rPr>
          <w:rFonts w:ascii="Times New Roman" w:hAnsi="Times New Roman" w:cs="Times New Roman"/>
          <w:sz w:val="24"/>
          <w:szCs w:val="24"/>
          <w:lang w:val="en-US"/>
        </w:rPr>
        <w:t xml:space="preserve"> </w:t>
      </w:r>
      <w:r w:rsidRPr="001F14E6">
        <w:rPr>
          <w:rFonts w:ascii="Times New Roman" w:hAnsi="Times New Roman" w:cs="Times New Roman"/>
          <w:sz w:val="24"/>
          <w:szCs w:val="24"/>
          <w:lang w:val="en-US"/>
        </w:rPr>
        <w:t xml:space="preserve">in respect </w:t>
      </w:r>
      <w:r w:rsidR="00D672C0" w:rsidRPr="001F14E6">
        <w:rPr>
          <w:rFonts w:ascii="Times New Roman" w:hAnsi="Times New Roman" w:cs="Times New Roman"/>
          <w:sz w:val="24"/>
          <w:szCs w:val="24"/>
          <w:lang w:val="en-US"/>
        </w:rPr>
        <w:t>o</w:t>
      </w:r>
      <w:r w:rsidRPr="001F14E6">
        <w:rPr>
          <w:rFonts w:ascii="Times New Roman" w:hAnsi="Times New Roman" w:cs="Times New Roman"/>
          <w:sz w:val="24"/>
          <w:szCs w:val="24"/>
          <w:lang w:val="en-US"/>
        </w:rPr>
        <w:t>f any of the prohibited deductions that provision will prevail over</w:t>
      </w:r>
      <w:r w:rsidR="00D672C0" w:rsidRPr="001F14E6">
        <w:rPr>
          <w:rFonts w:ascii="Times New Roman" w:hAnsi="Times New Roman" w:cs="Times New Roman"/>
          <w:sz w:val="24"/>
          <w:szCs w:val="24"/>
          <w:lang w:val="en-US"/>
        </w:rPr>
        <w:t xml:space="preserve"> s16.  In the words, s16 of the Act is subservient to the other provisions of the Act which provide otherwise.  S15 (2) (a) sets out the general deduction formula, such that any business expense that meets the prescribed formula is deductible.  While a canteen meal expense may fit under the ordinary grammatical meaning of entertainment that should not be the end of the enquiry for deductibility of such an expense.  The next enquiry is whether, it qualifies for deduction under s15 or any other provision of the Act which provides for deductions.  The legislature never intended all entertainment expenses to be prohibited from deduction, because if that was the intention they could have adopted a provision which absolutely prohibits the expenses.  However, the legislature was alive that while some expense may fall under the ordinary meaning of entertainment; they will still be deductible if they were incurred under the criteria set for deduction in terms of s15 or any other provision of the Act.</w:t>
      </w:r>
    </w:p>
    <w:p w:rsidR="00D672C0" w:rsidRPr="001F14E6" w:rsidRDefault="00D672C0"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Before I conclude on the issue I wish to highlight the contention by the appellant on why the employees have to have meals at a canteen just on periphery of their work site.  The alternative is to allow them to bring their home prepared food</w:t>
      </w:r>
      <w:r w:rsidR="003F4E3E" w:rsidRPr="001F14E6">
        <w:rPr>
          <w:rFonts w:ascii="Times New Roman" w:hAnsi="Times New Roman" w:cs="Times New Roman"/>
          <w:sz w:val="24"/>
          <w:szCs w:val="24"/>
          <w:lang w:val="en-US"/>
        </w:rPr>
        <w:t>,</w:t>
      </w:r>
      <w:r w:rsidRPr="001F14E6">
        <w:rPr>
          <w:rFonts w:ascii="Times New Roman" w:hAnsi="Times New Roman" w:cs="Times New Roman"/>
          <w:sz w:val="24"/>
          <w:szCs w:val="24"/>
          <w:lang w:val="en-US"/>
        </w:rPr>
        <w:t xml:space="preserve"> the risk of cont</w:t>
      </w:r>
      <w:r w:rsidR="00DC3144" w:rsidRPr="001F14E6">
        <w:rPr>
          <w:rFonts w:ascii="Times New Roman" w:hAnsi="Times New Roman" w:cs="Times New Roman"/>
          <w:sz w:val="24"/>
          <w:szCs w:val="24"/>
          <w:lang w:val="en-US"/>
        </w:rPr>
        <w:t>aminating the bread being manufactured is very high.  In any event the Council Health Regulation</w:t>
      </w:r>
      <w:r w:rsidR="003F4E3E" w:rsidRPr="001F14E6">
        <w:rPr>
          <w:rFonts w:ascii="Times New Roman" w:hAnsi="Times New Roman" w:cs="Times New Roman"/>
          <w:sz w:val="24"/>
          <w:szCs w:val="24"/>
          <w:lang w:val="en-US"/>
        </w:rPr>
        <w:t>s</w:t>
      </w:r>
      <w:r w:rsidR="00DC3144" w:rsidRPr="001F14E6">
        <w:rPr>
          <w:rFonts w:ascii="Times New Roman" w:hAnsi="Times New Roman" w:cs="Times New Roman"/>
          <w:sz w:val="24"/>
          <w:szCs w:val="24"/>
          <w:lang w:val="en-US"/>
        </w:rPr>
        <w:t xml:space="preserve"> would </w:t>
      </w:r>
      <w:r w:rsidR="003F4E3E" w:rsidRPr="001F14E6">
        <w:rPr>
          <w:rFonts w:ascii="Times New Roman" w:hAnsi="Times New Roman" w:cs="Times New Roman"/>
          <w:sz w:val="24"/>
          <w:szCs w:val="24"/>
          <w:lang w:val="en-US"/>
        </w:rPr>
        <w:t xml:space="preserve">not </w:t>
      </w:r>
      <w:r w:rsidR="00DC3144" w:rsidRPr="001F14E6">
        <w:rPr>
          <w:rFonts w:ascii="Times New Roman" w:hAnsi="Times New Roman" w:cs="Times New Roman"/>
          <w:sz w:val="24"/>
          <w:szCs w:val="24"/>
          <w:lang w:val="en-US"/>
        </w:rPr>
        <w:t>allow such co</w:t>
      </w:r>
      <w:r w:rsidR="00595A35">
        <w:rPr>
          <w:rFonts w:ascii="Times New Roman" w:hAnsi="Times New Roman" w:cs="Times New Roman"/>
          <w:sz w:val="24"/>
          <w:szCs w:val="24"/>
          <w:lang w:val="en-US"/>
        </w:rPr>
        <w:t>nsumption</w:t>
      </w:r>
      <w:r w:rsidR="00DC3144" w:rsidRPr="001F14E6">
        <w:rPr>
          <w:rFonts w:ascii="Times New Roman" w:hAnsi="Times New Roman" w:cs="Times New Roman"/>
          <w:sz w:val="24"/>
          <w:szCs w:val="24"/>
          <w:lang w:val="en-US"/>
        </w:rPr>
        <w:t xml:space="preserve"> of food </w:t>
      </w:r>
      <w:r w:rsidR="00834BBF" w:rsidRPr="001F14E6">
        <w:rPr>
          <w:rFonts w:ascii="Times New Roman" w:hAnsi="Times New Roman" w:cs="Times New Roman"/>
          <w:sz w:val="24"/>
          <w:szCs w:val="24"/>
          <w:lang w:val="en-US"/>
        </w:rPr>
        <w:t xml:space="preserve">brought </w:t>
      </w:r>
      <w:r w:rsidR="00DC3144" w:rsidRPr="001F14E6">
        <w:rPr>
          <w:rFonts w:ascii="Times New Roman" w:hAnsi="Times New Roman" w:cs="Times New Roman"/>
          <w:sz w:val="24"/>
          <w:szCs w:val="24"/>
          <w:lang w:val="en-US"/>
        </w:rPr>
        <w:t>from outside in the factory baking site.  On the issue of canteen meals for factory workers the appeal should be allowed.</w:t>
      </w:r>
    </w:p>
    <w:p w:rsidR="00DC3144" w:rsidRPr="001F14E6" w:rsidRDefault="00DC3144" w:rsidP="00641CD7">
      <w:pPr>
        <w:spacing w:after="0"/>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Penalty</w:t>
      </w:r>
    </w:p>
    <w:p w:rsidR="00DC3144" w:rsidRPr="001F14E6" w:rsidRDefault="00DC3144" w:rsidP="003D7A2B">
      <w:pPr>
        <w:spacing w:after="0" w:line="360" w:lineRule="auto"/>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lastRenderedPageBreak/>
        <w:t>The penalty is now only applicable to the issue of the management fees.  On this issue the appeal is unsuccessful in its entir</w:t>
      </w:r>
      <w:r w:rsidR="006B1D9F" w:rsidRPr="001F14E6">
        <w:rPr>
          <w:rFonts w:ascii="Times New Roman" w:hAnsi="Times New Roman" w:cs="Times New Roman"/>
          <w:sz w:val="24"/>
          <w:szCs w:val="24"/>
          <w:lang w:val="en-US"/>
        </w:rPr>
        <w:t>ety</w:t>
      </w:r>
      <w:r w:rsidRPr="001F14E6">
        <w:rPr>
          <w:rFonts w:ascii="Times New Roman" w:hAnsi="Times New Roman" w:cs="Times New Roman"/>
          <w:sz w:val="24"/>
          <w:szCs w:val="24"/>
          <w:lang w:val="en-US"/>
        </w:rPr>
        <w:t>.  In the case of Income tax case No. 1725, 64 SATC 223, the court held that the penalizing section enjoins the Commissioner or the court to conduct an inquiry on the intention of the tax payer.  The respondent is enjoined to inquire whether in defaulting the</w:t>
      </w:r>
      <w:r w:rsidR="0041437F" w:rsidRPr="001F14E6">
        <w:rPr>
          <w:rFonts w:ascii="Times New Roman" w:hAnsi="Times New Roman" w:cs="Times New Roman"/>
          <w:sz w:val="24"/>
          <w:szCs w:val="24"/>
          <w:lang w:val="en-US"/>
        </w:rPr>
        <w:t xml:space="preserve"> tax payer had the intention of evading tax.  Where no such intention exists there is n</w:t>
      </w:r>
      <w:r w:rsidR="006B1D9F" w:rsidRPr="001F14E6">
        <w:rPr>
          <w:rFonts w:ascii="Times New Roman" w:hAnsi="Times New Roman" w:cs="Times New Roman"/>
          <w:sz w:val="24"/>
          <w:szCs w:val="24"/>
          <w:lang w:val="en-US"/>
        </w:rPr>
        <w:t>o</w:t>
      </w:r>
      <w:r w:rsidR="0041437F" w:rsidRPr="001F14E6">
        <w:rPr>
          <w:rFonts w:ascii="Times New Roman" w:hAnsi="Times New Roman" w:cs="Times New Roman"/>
          <w:sz w:val="24"/>
          <w:szCs w:val="24"/>
          <w:lang w:val="en-US"/>
        </w:rPr>
        <w:t xml:space="preserve"> justification for a penalty – Income Tax case No. 1725, 64, </w:t>
      </w:r>
      <w:r w:rsidR="0041437F" w:rsidRPr="001F14E6">
        <w:rPr>
          <w:rFonts w:ascii="Times New Roman" w:hAnsi="Times New Roman" w:cs="Times New Roman"/>
          <w:i/>
          <w:sz w:val="24"/>
          <w:szCs w:val="24"/>
          <w:lang w:val="en-US"/>
        </w:rPr>
        <w:t>supra</w:t>
      </w:r>
      <w:r w:rsidR="0041437F" w:rsidRPr="001F14E6">
        <w:rPr>
          <w:rFonts w:ascii="Times New Roman" w:hAnsi="Times New Roman" w:cs="Times New Roman"/>
          <w:sz w:val="24"/>
          <w:szCs w:val="24"/>
          <w:lang w:val="en-US"/>
        </w:rPr>
        <w:t>.  In this case the appellant believed in its interpretation of the law.  But with the expertise at its disposal, the appellant should have us</w:t>
      </w:r>
      <w:r w:rsidR="006B1D9F" w:rsidRPr="001F14E6">
        <w:rPr>
          <w:rFonts w:ascii="Times New Roman" w:hAnsi="Times New Roman" w:cs="Times New Roman"/>
          <w:sz w:val="24"/>
          <w:szCs w:val="24"/>
          <w:lang w:val="en-US"/>
        </w:rPr>
        <w:t>e</w:t>
      </w:r>
      <w:r w:rsidR="0041437F" w:rsidRPr="001F14E6">
        <w:rPr>
          <w:rFonts w:ascii="Times New Roman" w:hAnsi="Times New Roman" w:cs="Times New Roman"/>
          <w:sz w:val="24"/>
          <w:szCs w:val="24"/>
          <w:lang w:val="en-US"/>
        </w:rPr>
        <w:t>d proper invoices which meet the minimum requirements of the law.  While a case has been made for the reduction of the penalty, I am not persuaded that I should r</w:t>
      </w:r>
      <w:r w:rsidR="006B1D9F" w:rsidRPr="001F14E6">
        <w:rPr>
          <w:rFonts w:ascii="Times New Roman" w:hAnsi="Times New Roman" w:cs="Times New Roman"/>
          <w:sz w:val="24"/>
          <w:szCs w:val="24"/>
          <w:lang w:val="en-US"/>
        </w:rPr>
        <w:t>e</w:t>
      </w:r>
      <w:r w:rsidR="00834BBF" w:rsidRPr="001F14E6">
        <w:rPr>
          <w:rFonts w:ascii="Times New Roman" w:hAnsi="Times New Roman" w:cs="Times New Roman"/>
          <w:sz w:val="24"/>
          <w:szCs w:val="24"/>
          <w:lang w:val="en-US"/>
        </w:rPr>
        <w:t>duc</w:t>
      </w:r>
      <w:r w:rsidR="0041437F" w:rsidRPr="001F14E6">
        <w:rPr>
          <w:rFonts w:ascii="Times New Roman" w:hAnsi="Times New Roman" w:cs="Times New Roman"/>
          <w:sz w:val="24"/>
          <w:szCs w:val="24"/>
          <w:lang w:val="en-US"/>
        </w:rPr>
        <w:t>e it in its entirety.  I will accordingly reduce it to 20%.</w:t>
      </w:r>
    </w:p>
    <w:p w:rsidR="0041437F" w:rsidRPr="001F14E6" w:rsidRDefault="0041437F" w:rsidP="00641CD7">
      <w:pPr>
        <w:pStyle w:val="NoSpacing"/>
        <w:ind w:left="360"/>
        <w:jc w:val="both"/>
        <w:rPr>
          <w:rFonts w:ascii="Times New Roman" w:hAnsi="Times New Roman" w:cs="Times New Roman"/>
          <w:sz w:val="24"/>
          <w:szCs w:val="24"/>
          <w:lang w:val="en-US"/>
        </w:rPr>
      </w:pPr>
    </w:p>
    <w:p w:rsidR="00AE2DE4" w:rsidRPr="001F14E6" w:rsidRDefault="00AE2DE4" w:rsidP="00641CD7">
      <w:pPr>
        <w:pStyle w:val="NoSpacing"/>
        <w:ind w:left="360"/>
        <w:jc w:val="both"/>
        <w:rPr>
          <w:rFonts w:ascii="Times New Roman" w:hAnsi="Times New Roman" w:cs="Times New Roman"/>
          <w:sz w:val="24"/>
          <w:szCs w:val="24"/>
          <w:lang w:val="en-US"/>
        </w:rPr>
      </w:pPr>
    </w:p>
    <w:p w:rsidR="0041437F" w:rsidRPr="001F14E6" w:rsidRDefault="0041437F" w:rsidP="00641CD7">
      <w:pPr>
        <w:pStyle w:val="NoSpacing"/>
        <w:jc w:val="both"/>
        <w:rPr>
          <w:rFonts w:ascii="Times New Roman" w:hAnsi="Times New Roman" w:cs="Times New Roman"/>
          <w:b/>
          <w:sz w:val="24"/>
          <w:szCs w:val="24"/>
          <w:lang w:val="en-US"/>
        </w:rPr>
      </w:pPr>
      <w:r w:rsidRPr="001F14E6">
        <w:rPr>
          <w:rFonts w:ascii="Times New Roman" w:hAnsi="Times New Roman" w:cs="Times New Roman"/>
          <w:b/>
          <w:sz w:val="24"/>
          <w:szCs w:val="24"/>
          <w:lang w:val="en-US"/>
        </w:rPr>
        <w:t>Disposition</w:t>
      </w:r>
    </w:p>
    <w:p w:rsidR="0041437F" w:rsidRPr="001F14E6" w:rsidRDefault="0041437F" w:rsidP="00641CD7">
      <w:pPr>
        <w:pStyle w:val="NoSpacing"/>
        <w:ind w:left="36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r>
    </w:p>
    <w:p w:rsidR="0041437F" w:rsidRPr="001F14E6" w:rsidRDefault="0041437F" w:rsidP="00641CD7">
      <w:pPr>
        <w:pStyle w:val="NoSpacing"/>
        <w:ind w:left="360"/>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ab/>
        <w:t>In light of the foregoing I accordingly ord</w:t>
      </w:r>
      <w:r w:rsidR="006B1D9F" w:rsidRPr="001F14E6">
        <w:rPr>
          <w:rFonts w:ascii="Times New Roman" w:hAnsi="Times New Roman" w:cs="Times New Roman"/>
          <w:sz w:val="24"/>
          <w:szCs w:val="24"/>
          <w:lang w:val="en-US"/>
        </w:rPr>
        <w:t>e</w:t>
      </w:r>
      <w:r w:rsidRPr="001F14E6">
        <w:rPr>
          <w:rFonts w:ascii="Times New Roman" w:hAnsi="Times New Roman" w:cs="Times New Roman"/>
          <w:sz w:val="24"/>
          <w:szCs w:val="24"/>
          <w:lang w:val="en-US"/>
        </w:rPr>
        <w:t>r that:</w:t>
      </w:r>
    </w:p>
    <w:p w:rsidR="0041437F" w:rsidRPr="001F14E6" w:rsidRDefault="0041437F" w:rsidP="00641CD7">
      <w:pPr>
        <w:pStyle w:val="NoSpacing"/>
        <w:ind w:left="360"/>
        <w:jc w:val="both"/>
        <w:rPr>
          <w:rFonts w:ascii="Times New Roman" w:hAnsi="Times New Roman" w:cs="Times New Roman"/>
          <w:sz w:val="24"/>
          <w:szCs w:val="24"/>
          <w:lang w:val="en-US"/>
        </w:rPr>
      </w:pPr>
    </w:p>
    <w:p w:rsidR="0041437F" w:rsidRPr="001F14E6" w:rsidRDefault="0041437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appeal is allowed in part</w:t>
      </w:r>
    </w:p>
    <w:p w:rsidR="0041437F" w:rsidRPr="001F14E6" w:rsidRDefault="006B1D9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On the issue of management fees, the appeal is dismissed and assessment</w:t>
      </w:r>
      <w:r w:rsidR="00834BBF" w:rsidRPr="001F14E6">
        <w:rPr>
          <w:rFonts w:ascii="Times New Roman" w:hAnsi="Times New Roman" w:cs="Times New Roman"/>
          <w:sz w:val="24"/>
          <w:szCs w:val="24"/>
          <w:lang w:val="en-US"/>
        </w:rPr>
        <w:t>s</w:t>
      </w:r>
      <w:r w:rsidRPr="001F14E6">
        <w:rPr>
          <w:rFonts w:ascii="Times New Roman" w:hAnsi="Times New Roman" w:cs="Times New Roman"/>
          <w:sz w:val="24"/>
          <w:szCs w:val="24"/>
          <w:lang w:val="en-US"/>
        </w:rPr>
        <w:t xml:space="preserve"> issued on 17 July 2017 are hereby confirmed.</w:t>
      </w:r>
    </w:p>
    <w:p w:rsidR="006B1D9F" w:rsidRPr="001F14E6" w:rsidRDefault="006B1D9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On the issue of canteen meals for factory workers the appeal is allowed and the resultant assessment issued by the respondent is set aside.</w:t>
      </w:r>
    </w:p>
    <w:p w:rsidR="006B1D9F" w:rsidRPr="001F14E6" w:rsidRDefault="006B1D9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matter is remitted to the respondent for the issuance of a revised assessment in keeping with the terms of this judgment stated in paragraph 3, above.</w:t>
      </w:r>
    </w:p>
    <w:p w:rsidR="006B1D9F" w:rsidRPr="001F14E6" w:rsidRDefault="006B1D9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The penalty is reduced to 20% in respect of the contents of paragraph 2 above.</w:t>
      </w:r>
    </w:p>
    <w:p w:rsidR="006B1D9F" w:rsidRPr="001F14E6" w:rsidRDefault="006B1D9F" w:rsidP="00641CD7">
      <w:pPr>
        <w:pStyle w:val="NoSpacing"/>
        <w:numPr>
          <w:ilvl w:val="0"/>
          <w:numId w:val="12"/>
        </w:numPr>
        <w:ind w:left="1134" w:hanging="425"/>
        <w:jc w:val="both"/>
        <w:rPr>
          <w:rFonts w:ascii="Times New Roman" w:hAnsi="Times New Roman" w:cs="Times New Roman"/>
          <w:sz w:val="24"/>
          <w:szCs w:val="24"/>
          <w:lang w:val="en-US"/>
        </w:rPr>
      </w:pPr>
      <w:r w:rsidRPr="001F14E6">
        <w:rPr>
          <w:rFonts w:ascii="Times New Roman" w:hAnsi="Times New Roman" w:cs="Times New Roman"/>
          <w:sz w:val="24"/>
          <w:szCs w:val="24"/>
          <w:lang w:val="en-US"/>
        </w:rPr>
        <w:t>Each party shall bear its own costs.</w:t>
      </w:r>
    </w:p>
    <w:p w:rsidR="006B1D9F" w:rsidRPr="001F14E6" w:rsidRDefault="006B1D9F" w:rsidP="00641CD7">
      <w:pPr>
        <w:pStyle w:val="NoSpacing"/>
        <w:jc w:val="both"/>
        <w:rPr>
          <w:rFonts w:ascii="Times New Roman" w:hAnsi="Times New Roman" w:cs="Times New Roman"/>
          <w:sz w:val="24"/>
          <w:szCs w:val="24"/>
          <w:lang w:val="en-US"/>
        </w:rPr>
      </w:pPr>
    </w:p>
    <w:p w:rsidR="006B1D9F" w:rsidRPr="001F14E6" w:rsidRDefault="006B1D9F" w:rsidP="00641CD7">
      <w:pPr>
        <w:pStyle w:val="NoSpacing"/>
        <w:jc w:val="both"/>
        <w:rPr>
          <w:rFonts w:ascii="Times New Roman" w:hAnsi="Times New Roman" w:cs="Times New Roman"/>
          <w:sz w:val="24"/>
          <w:szCs w:val="24"/>
          <w:lang w:val="en-US"/>
        </w:rPr>
      </w:pPr>
    </w:p>
    <w:p w:rsidR="006B1D9F" w:rsidRPr="001F14E6" w:rsidRDefault="006B1D9F" w:rsidP="00641CD7">
      <w:pPr>
        <w:pStyle w:val="NoSpacing"/>
        <w:jc w:val="both"/>
        <w:rPr>
          <w:rFonts w:ascii="Times New Roman" w:hAnsi="Times New Roman" w:cs="Times New Roman"/>
          <w:sz w:val="24"/>
          <w:szCs w:val="24"/>
          <w:lang w:val="en-US"/>
        </w:rPr>
      </w:pPr>
    </w:p>
    <w:p w:rsidR="006B1D9F" w:rsidRDefault="006B1D9F" w:rsidP="00641CD7">
      <w:pPr>
        <w:pStyle w:val="NoSpacing"/>
        <w:jc w:val="both"/>
        <w:rPr>
          <w:rFonts w:ascii="Times New Roman" w:hAnsi="Times New Roman" w:cs="Times New Roman"/>
          <w:sz w:val="24"/>
          <w:szCs w:val="24"/>
          <w:lang w:val="en-US"/>
        </w:rPr>
      </w:pPr>
    </w:p>
    <w:p w:rsidR="003D7A2B" w:rsidRDefault="003D7A2B" w:rsidP="00641CD7">
      <w:pPr>
        <w:pStyle w:val="NoSpacing"/>
        <w:jc w:val="both"/>
        <w:rPr>
          <w:rFonts w:ascii="Times New Roman" w:hAnsi="Times New Roman" w:cs="Times New Roman"/>
          <w:sz w:val="24"/>
          <w:szCs w:val="24"/>
          <w:lang w:val="en-US"/>
        </w:rPr>
      </w:pPr>
    </w:p>
    <w:p w:rsidR="003D7A2B" w:rsidRDefault="003D7A2B" w:rsidP="00641CD7">
      <w:pPr>
        <w:pStyle w:val="NoSpacing"/>
        <w:jc w:val="both"/>
        <w:rPr>
          <w:rFonts w:ascii="Times New Roman" w:hAnsi="Times New Roman" w:cs="Times New Roman"/>
          <w:sz w:val="24"/>
          <w:szCs w:val="24"/>
          <w:lang w:val="en-US"/>
        </w:rPr>
      </w:pPr>
    </w:p>
    <w:p w:rsidR="003D7A2B" w:rsidRPr="001F14E6" w:rsidRDefault="003D7A2B" w:rsidP="00641CD7">
      <w:pPr>
        <w:pStyle w:val="NoSpacing"/>
        <w:jc w:val="both"/>
        <w:rPr>
          <w:rFonts w:ascii="Times New Roman" w:hAnsi="Times New Roman" w:cs="Times New Roman"/>
          <w:sz w:val="24"/>
          <w:szCs w:val="24"/>
          <w:lang w:val="en-US"/>
        </w:rPr>
      </w:pPr>
    </w:p>
    <w:p w:rsidR="006B1D9F" w:rsidRPr="001F14E6" w:rsidRDefault="006B1D9F" w:rsidP="00641CD7">
      <w:pPr>
        <w:pStyle w:val="NoSpacing"/>
        <w:jc w:val="both"/>
        <w:rPr>
          <w:rFonts w:ascii="Times New Roman" w:hAnsi="Times New Roman" w:cs="Times New Roman"/>
          <w:sz w:val="24"/>
          <w:szCs w:val="24"/>
          <w:lang w:val="en-US"/>
        </w:rPr>
      </w:pPr>
      <w:r w:rsidRPr="001F14E6">
        <w:rPr>
          <w:rFonts w:ascii="Times New Roman" w:hAnsi="Times New Roman" w:cs="Times New Roman"/>
          <w:i/>
          <w:sz w:val="24"/>
          <w:szCs w:val="24"/>
          <w:lang w:val="en-US"/>
        </w:rPr>
        <w:t>Dube, Manakai &amp; Hwacha</w:t>
      </w:r>
      <w:r w:rsidRPr="001F14E6">
        <w:rPr>
          <w:rFonts w:ascii="Times New Roman" w:hAnsi="Times New Roman" w:cs="Times New Roman"/>
          <w:sz w:val="24"/>
          <w:szCs w:val="24"/>
          <w:lang w:val="en-US"/>
        </w:rPr>
        <w:t>, appellant’s legal practitioners</w:t>
      </w:r>
      <w:r w:rsidR="003D7A2B">
        <w:rPr>
          <w:rFonts w:ascii="Times New Roman" w:hAnsi="Times New Roman" w:cs="Times New Roman"/>
          <w:sz w:val="24"/>
          <w:szCs w:val="24"/>
          <w:lang w:val="en-US"/>
        </w:rPr>
        <w:t>.</w:t>
      </w:r>
    </w:p>
    <w:p w:rsidR="006B1D9F" w:rsidRPr="001F14E6" w:rsidRDefault="006B1D9F" w:rsidP="00641CD7">
      <w:pPr>
        <w:pStyle w:val="NoSpacing"/>
        <w:jc w:val="both"/>
        <w:rPr>
          <w:rFonts w:ascii="Times New Roman" w:hAnsi="Times New Roman" w:cs="Times New Roman"/>
          <w:sz w:val="24"/>
          <w:szCs w:val="24"/>
          <w:lang w:val="en-US"/>
        </w:rPr>
      </w:pPr>
      <w:r w:rsidRPr="001F14E6">
        <w:rPr>
          <w:rFonts w:ascii="Times New Roman" w:hAnsi="Times New Roman" w:cs="Times New Roman"/>
          <w:i/>
          <w:sz w:val="24"/>
          <w:szCs w:val="24"/>
          <w:lang w:val="en-US"/>
        </w:rPr>
        <w:t>ZIMRA, Legal &amp; Corporate Services</w:t>
      </w:r>
      <w:r w:rsidRPr="001F14E6">
        <w:rPr>
          <w:rFonts w:ascii="Times New Roman" w:hAnsi="Times New Roman" w:cs="Times New Roman"/>
          <w:sz w:val="24"/>
          <w:szCs w:val="24"/>
          <w:lang w:val="en-US"/>
        </w:rPr>
        <w:t>, respondent’s legal practitioners</w:t>
      </w:r>
      <w:r w:rsidR="003D7A2B">
        <w:rPr>
          <w:rFonts w:ascii="Times New Roman" w:hAnsi="Times New Roman" w:cs="Times New Roman"/>
          <w:sz w:val="24"/>
          <w:szCs w:val="24"/>
          <w:lang w:val="en-US"/>
        </w:rPr>
        <w:t>.</w:t>
      </w:r>
    </w:p>
    <w:sectPr w:rsidR="006B1D9F" w:rsidRPr="001F14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65" w:rsidRDefault="00B67365" w:rsidP="00D353EF">
      <w:pPr>
        <w:spacing w:after="0" w:line="240" w:lineRule="auto"/>
      </w:pPr>
      <w:r>
        <w:separator/>
      </w:r>
    </w:p>
  </w:endnote>
  <w:endnote w:type="continuationSeparator" w:id="0">
    <w:p w:rsidR="00B67365" w:rsidRDefault="00B67365" w:rsidP="00D3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65" w:rsidRDefault="00B67365" w:rsidP="00D353EF">
      <w:pPr>
        <w:spacing w:after="0" w:line="240" w:lineRule="auto"/>
      </w:pPr>
      <w:r>
        <w:separator/>
      </w:r>
    </w:p>
  </w:footnote>
  <w:footnote w:type="continuationSeparator" w:id="0">
    <w:p w:rsidR="00B67365" w:rsidRDefault="00B67365" w:rsidP="00D3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439979"/>
      <w:docPartObj>
        <w:docPartGallery w:val="Page Numbers (Top of Page)"/>
        <w:docPartUnique/>
      </w:docPartObj>
    </w:sdtPr>
    <w:sdtEndPr>
      <w:rPr>
        <w:noProof/>
      </w:rPr>
    </w:sdtEndPr>
    <w:sdtContent>
      <w:p w:rsidR="00D353EF" w:rsidRDefault="00D353EF">
        <w:pPr>
          <w:pStyle w:val="Header"/>
          <w:jc w:val="right"/>
          <w:rPr>
            <w:noProof/>
          </w:rPr>
        </w:pPr>
        <w:r>
          <w:fldChar w:fldCharType="begin"/>
        </w:r>
        <w:r>
          <w:instrText xml:space="preserve"> PAGE   \* MERGEFORMAT </w:instrText>
        </w:r>
        <w:r>
          <w:fldChar w:fldCharType="separate"/>
        </w:r>
        <w:r w:rsidR="00F10450">
          <w:rPr>
            <w:noProof/>
          </w:rPr>
          <w:t>1</w:t>
        </w:r>
        <w:r>
          <w:rPr>
            <w:noProof/>
          </w:rPr>
          <w:fldChar w:fldCharType="end"/>
        </w:r>
      </w:p>
      <w:p w:rsidR="00D353EF" w:rsidRDefault="00933B00">
        <w:pPr>
          <w:pStyle w:val="Header"/>
          <w:jc w:val="right"/>
          <w:rPr>
            <w:noProof/>
          </w:rPr>
        </w:pPr>
        <w:r>
          <w:rPr>
            <w:noProof/>
          </w:rPr>
          <w:t>HH 32-22</w:t>
        </w:r>
      </w:p>
      <w:p w:rsidR="00D353EF" w:rsidRDefault="00D353EF">
        <w:pPr>
          <w:pStyle w:val="Header"/>
          <w:jc w:val="right"/>
        </w:pPr>
        <w:r>
          <w:rPr>
            <w:noProof/>
          </w:rPr>
          <w:t>ITC 17/17</w:t>
        </w:r>
      </w:p>
    </w:sdtContent>
  </w:sdt>
  <w:p w:rsidR="00D353EF" w:rsidRDefault="00D353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8B5"/>
    <w:multiLevelType w:val="hybridMultilevel"/>
    <w:tmpl w:val="77462270"/>
    <w:lvl w:ilvl="0" w:tplc="31B424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F927940"/>
    <w:multiLevelType w:val="hybridMultilevel"/>
    <w:tmpl w:val="F9D2A810"/>
    <w:lvl w:ilvl="0" w:tplc="1D1AC3F0">
      <w:start w:val="1"/>
      <w:numFmt w:val="decimal"/>
      <w:lvlText w:val="%1."/>
      <w:lvlJc w:val="left"/>
      <w:pPr>
        <w:ind w:left="1800" w:hanging="36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11DF4C47"/>
    <w:multiLevelType w:val="hybridMultilevel"/>
    <w:tmpl w:val="91724196"/>
    <w:lvl w:ilvl="0" w:tplc="E1CC0A6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28F56E12"/>
    <w:multiLevelType w:val="hybridMultilevel"/>
    <w:tmpl w:val="E0E2C368"/>
    <w:lvl w:ilvl="0" w:tplc="3DC2A106">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C5A3D8C"/>
    <w:multiLevelType w:val="hybridMultilevel"/>
    <w:tmpl w:val="8BF6C9D0"/>
    <w:lvl w:ilvl="0" w:tplc="B05EBC90">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C3152C6"/>
    <w:multiLevelType w:val="hybridMultilevel"/>
    <w:tmpl w:val="0BA66506"/>
    <w:lvl w:ilvl="0" w:tplc="8DB020C2">
      <w:start w:val="9"/>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3D2B6533"/>
    <w:multiLevelType w:val="hybridMultilevel"/>
    <w:tmpl w:val="99F24966"/>
    <w:lvl w:ilvl="0" w:tplc="B7606F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41372436"/>
    <w:multiLevelType w:val="hybridMultilevel"/>
    <w:tmpl w:val="E5C412C8"/>
    <w:lvl w:ilvl="0" w:tplc="6030795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5F16C29"/>
    <w:multiLevelType w:val="hybridMultilevel"/>
    <w:tmpl w:val="86084024"/>
    <w:lvl w:ilvl="0" w:tplc="8BD04C40">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99A52D3"/>
    <w:multiLevelType w:val="hybridMultilevel"/>
    <w:tmpl w:val="5F2ED450"/>
    <w:lvl w:ilvl="0" w:tplc="60A61CAC">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AC420432">
      <w:start w:val="1"/>
      <w:numFmt w:val="lowerRoman"/>
      <w:lvlText w:val="(%3)"/>
      <w:lvlJc w:val="left"/>
      <w:pPr>
        <w:ind w:left="3060" w:hanging="720"/>
      </w:pPr>
      <w:rPr>
        <w:rFonts w:hint="default"/>
      </w:r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F480A8D"/>
    <w:multiLevelType w:val="hybridMultilevel"/>
    <w:tmpl w:val="45727A4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51211DA"/>
    <w:multiLevelType w:val="hybridMultilevel"/>
    <w:tmpl w:val="2FFC6166"/>
    <w:lvl w:ilvl="0" w:tplc="5252A9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2"/>
  </w:num>
  <w:num w:numId="3">
    <w:abstractNumId w:val="5"/>
  </w:num>
  <w:num w:numId="4">
    <w:abstractNumId w:val="7"/>
  </w:num>
  <w:num w:numId="5">
    <w:abstractNumId w:val="0"/>
  </w:num>
  <w:num w:numId="6">
    <w:abstractNumId w:val="10"/>
  </w:num>
  <w:num w:numId="7">
    <w:abstractNumId w:val="9"/>
  </w:num>
  <w:num w:numId="8">
    <w:abstractNumId w:val="3"/>
  </w:num>
  <w:num w:numId="9">
    <w:abstractNumId w:val="6"/>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D0"/>
    <w:rsid w:val="00016DF6"/>
    <w:rsid w:val="000240F6"/>
    <w:rsid w:val="00052706"/>
    <w:rsid w:val="00067EC5"/>
    <w:rsid w:val="00077E25"/>
    <w:rsid w:val="000934AC"/>
    <w:rsid w:val="000A5840"/>
    <w:rsid w:val="000C2E6B"/>
    <w:rsid w:val="000E1D87"/>
    <w:rsid w:val="000F09A2"/>
    <w:rsid w:val="001252E4"/>
    <w:rsid w:val="00192E1C"/>
    <w:rsid w:val="001A2012"/>
    <w:rsid w:val="001B2D74"/>
    <w:rsid w:val="001F14E6"/>
    <w:rsid w:val="00222BDC"/>
    <w:rsid w:val="00262BCF"/>
    <w:rsid w:val="002842D9"/>
    <w:rsid w:val="00286B1D"/>
    <w:rsid w:val="002A42B3"/>
    <w:rsid w:val="002C29E5"/>
    <w:rsid w:val="002E39B1"/>
    <w:rsid w:val="002E3D81"/>
    <w:rsid w:val="00336946"/>
    <w:rsid w:val="00347F79"/>
    <w:rsid w:val="00380AFA"/>
    <w:rsid w:val="00385B4F"/>
    <w:rsid w:val="003A379F"/>
    <w:rsid w:val="003B44A9"/>
    <w:rsid w:val="003D7A2B"/>
    <w:rsid w:val="003F4E3E"/>
    <w:rsid w:val="004070CE"/>
    <w:rsid w:val="0041437F"/>
    <w:rsid w:val="0045436F"/>
    <w:rsid w:val="00487BFE"/>
    <w:rsid w:val="0049123E"/>
    <w:rsid w:val="00495FAA"/>
    <w:rsid w:val="004B5D34"/>
    <w:rsid w:val="004D53BE"/>
    <w:rsid w:val="004E5CEC"/>
    <w:rsid w:val="004F1FCA"/>
    <w:rsid w:val="00506A60"/>
    <w:rsid w:val="00524C32"/>
    <w:rsid w:val="00537FE7"/>
    <w:rsid w:val="00567583"/>
    <w:rsid w:val="00594B55"/>
    <w:rsid w:val="00595A35"/>
    <w:rsid w:val="005A3DCF"/>
    <w:rsid w:val="005E29F3"/>
    <w:rsid w:val="005F1A85"/>
    <w:rsid w:val="00612296"/>
    <w:rsid w:val="00630434"/>
    <w:rsid w:val="00641CD7"/>
    <w:rsid w:val="00687E58"/>
    <w:rsid w:val="006B1D9F"/>
    <w:rsid w:val="006B7FCA"/>
    <w:rsid w:val="006F464A"/>
    <w:rsid w:val="006F53DB"/>
    <w:rsid w:val="00716E15"/>
    <w:rsid w:val="00763350"/>
    <w:rsid w:val="007A695D"/>
    <w:rsid w:val="00812377"/>
    <w:rsid w:val="008255B7"/>
    <w:rsid w:val="00834BBF"/>
    <w:rsid w:val="00854008"/>
    <w:rsid w:val="008800F6"/>
    <w:rsid w:val="008D55C6"/>
    <w:rsid w:val="008F4D4B"/>
    <w:rsid w:val="00904727"/>
    <w:rsid w:val="009056C6"/>
    <w:rsid w:val="00905E89"/>
    <w:rsid w:val="00933B00"/>
    <w:rsid w:val="00945CC9"/>
    <w:rsid w:val="0099428C"/>
    <w:rsid w:val="009D1065"/>
    <w:rsid w:val="009E7A40"/>
    <w:rsid w:val="009F3B5E"/>
    <w:rsid w:val="009F6F44"/>
    <w:rsid w:val="00A00B52"/>
    <w:rsid w:val="00A21C2D"/>
    <w:rsid w:val="00A35313"/>
    <w:rsid w:val="00A50285"/>
    <w:rsid w:val="00A65877"/>
    <w:rsid w:val="00A915E1"/>
    <w:rsid w:val="00A92BCF"/>
    <w:rsid w:val="00AC50D8"/>
    <w:rsid w:val="00AE2DE4"/>
    <w:rsid w:val="00AE6E3D"/>
    <w:rsid w:val="00AF5EC0"/>
    <w:rsid w:val="00B368DE"/>
    <w:rsid w:val="00B4690C"/>
    <w:rsid w:val="00B5394B"/>
    <w:rsid w:val="00B55554"/>
    <w:rsid w:val="00B67365"/>
    <w:rsid w:val="00B80E7E"/>
    <w:rsid w:val="00BC796C"/>
    <w:rsid w:val="00BF03DD"/>
    <w:rsid w:val="00BF6944"/>
    <w:rsid w:val="00C250C4"/>
    <w:rsid w:val="00C25898"/>
    <w:rsid w:val="00C416C6"/>
    <w:rsid w:val="00C41DAB"/>
    <w:rsid w:val="00C437C4"/>
    <w:rsid w:val="00C47E7C"/>
    <w:rsid w:val="00C57DFF"/>
    <w:rsid w:val="00C71A31"/>
    <w:rsid w:val="00C7608B"/>
    <w:rsid w:val="00C817D1"/>
    <w:rsid w:val="00CD44A4"/>
    <w:rsid w:val="00CE0908"/>
    <w:rsid w:val="00CE4C55"/>
    <w:rsid w:val="00D041AD"/>
    <w:rsid w:val="00D07B1B"/>
    <w:rsid w:val="00D353EF"/>
    <w:rsid w:val="00D672C0"/>
    <w:rsid w:val="00D70ED0"/>
    <w:rsid w:val="00D8408F"/>
    <w:rsid w:val="00DA60BD"/>
    <w:rsid w:val="00DC3144"/>
    <w:rsid w:val="00DE5EB0"/>
    <w:rsid w:val="00E106B1"/>
    <w:rsid w:val="00E15D3F"/>
    <w:rsid w:val="00E16ED3"/>
    <w:rsid w:val="00E527A9"/>
    <w:rsid w:val="00E7278B"/>
    <w:rsid w:val="00EB616F"/>
    <w:rsid w:val="00ED0D50"/>
    <w:rsid w:val="00ED1D51"/>
    <w:rsid w:val="00F03104"/>
    <w:rsid w:val="00F10450"/>
    <w:rsid w:val="00F3010B"/>
    <w:rsid w:val="00F73638"/>
    <w:rsid w:val="00F81E5C"/>
    <w:rsid w:val="00FA0EA1"/>
    <w:rsid w:val="00FC4E20"/>
    <w:rsid w:val="00FF66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3AE0C-EFC5-4A80-8272-95F35331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ED0"/>
    <w:pPr>
      <w:spacing w:after="0" w:line="240" w:lineRule="auto"/>
    </w:pPr>
  </w:style>
  <w:style w:type="paragraph" w:styleId="ListParagraph">
    <w:name w:val="List Paragraph"/>
    <w:basedOn w:val="Normal"/>
    <w:uiPriority w:val="34"/>
    <w:qFormat/>
    <w:rsid w:val="009D1065"/>
    <w:pPr>
      <w:ind w:left="720"/>
      <w:contextualSpacing/>
    </w:pPr>
  </w:style>
  <w:style w:type="paragraph" w:styleId="Header">
    <w:name w:val="header"/>
    <w:basedOn w:val="Normal"/>
    <w:link w:val="HeaderChar"/>
    <w:uiPriority w:val="99"/>
    <w:unhideWhenUsed/>
    <w:rsid w:val="00D35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EF"/>
  </w:style>
  <w:style w:type="paragraph" w:styleId="Footer">
    <w:name w:val="footer"/>
    <w:basedOn w:val="Normal"/>
    <w:link w:val="FooterChar"/>
    <w:uiPriority w:val="99"/>
    <w:unhideWhenUsed/>
    <w:rsid w:val="00D35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EF"/>
  </w:style>
  <w:style w:type="paragraph" w:styleId="BalloonText">
    <w:name w:val="Balloon Text"/>
    <w:basedOn w:val="Normal"/>
    <w:link w:val="BalloonTextChar"/>
    <w:uiPriority w:val="99"/>
    <w:semiHidden/>
    <w:unhideWhenUsed/>
    <w:rsid w:val="00933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8111</Words>
  <Characters>46236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2022-01-18T06:26:00Z</cp:lastPrinted>
  <dcterms:created xsi:type="dcterms:W3CDTF">2022-01-21T08:28:00Z</dcterms:created>
  <dcterms:modified xsi:type="dcterms:W3CDTF">2022-01-21T08:28:00Z</dcterms:modified>
</cp:coreProperties>
</file>