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4D18C4" w:rsidP="004D18C4">
      <w:pPr>
        <w:pStyle w:val="NoSpacing"/>
        <w:rPr>
          <w:b/>
        </w:rPr>
      </w:pPr>
      <w:r>
        <w:rPr>
          <w:b/>
        </w:rPr>
        <w:t>HWANGE COLLIERY COMPANY (PVT) LTD</w:t>
      </w:r>
    </w:p>
    <w:p w:rsidR="004D18C4" w:rsidRDefault="004D18C4" w:rsidP="004D18C4">
      <w:pPr>
        <w:pStyle w:val="NoSpacing"/>
        <w:rPr>
          <w:b/>
        </w:rPr>
      </w:pPr>
      <w:r>
        <w:rPr>
          <w:b/>
        </w:rPr>
        <w:t>And</w:t>
      </w:r>
    </w:p>
    <w:p w:rsidR="004D18C4" w:rsidRDefault="004D18C4" w:rsidP="004D18C4">
      <w:pPr>
        <w:pStyle w:val="NoSpacing"/>
        <w:rPr>
          <w:b/>
        </w:rPr>
      </w:pPr>
      <w:r>
        <w:rPr>
          <w:b/>
        </w:rPr>
        <w:t>ROSTEN BASI MOYO</w:t>
      </w:r>
    </w:p>
    <w:p w:rsidR="004D18C4" w:rsidRDefault="004D18C4" w:rsidP="004D18C4">
      <w:pPr>
        <w:pStyle w:val="NoSpacing"/>
        <w:rPr>
          <w:b/>
        </w:rPr>
      </w:pPr>
      <w:r>
        <w:rPr>
          <w:b/>
        </w:rPr>
        <w:t>And</w:t>
      </w:r>
    </w:p>
    <w:p w:rsidR="004D18C4" w:rsidRDefault="004D18C4" w:rsidP="004D18C4">
      <w:pPr>
        <w:pStyle w:val="NoSpacing"/>
        <w:rPr>
          <w:b/>
        </w:rPr>
      </w:pPr>
      <w:r>
        <w:rPr>
          <w:b/>
        </w:rPr>
        <w:t>MPILWENHLE HADEBE</w:t>
      </w:r>
    </w:p>
    <w:p w:rsidR="004D18C4" w:rsidRDefault="004D18C4" w:rsidP="004D18C4">
      <w:pPr>
        <w:pStyle w:val="NoSpacing"/>
        <w:rPr>
          <w:b/>
        </w:rPr>
      </w:pPr>
      <w:r>
        <w:rPr>
          <w:b/>
        </w:rPr>
        <w:t>And</w:t>
      </w:r>
    </w:p>
    <w:p w:rsidR="004D18C4" w:rsidRDefault="004D18C4" w:rsidP="004D18C4">
      <w:pPr>
        <w:pStyle w:val="NoSpacing"/>
        <w:rPr>
          <w:b/>
        </w:rPr>
      </w:pPr>
      <w:r>
        <w:rPr>
          <w:b/>
        </w:rPr>
        <w:t>TRISH NKOMO</w:t>
      </w:r>
    </w:p>
    <w:p w:rsidR="004D18C4" w:rsidRDefault="004D18C4" w:rsidP="004D18C4">
      <w:pPr>
        <w:pStyle w:val="NoSpacing"/>
        <w:rPr>
          <w:b/>
        </w:rPr>
      </w:pPr>
      <w:r>
        <w:rPr>
          <w:b/>
        </w:rPr>
        <w:t>And</w:t>
      </w:r>
    </w:p>
    <w:p w:rsidR="004D18C4" w:rsidRDefault="004D18C4" w:rsidP="004D18C4">
      <w:pPr>
        <w:pStyle w:val="NoSpacing"/>
        <w:rPr>
          <w:b/>
        </w:rPr>
      </w:pPr>
      <w:r>
        <w:rPr>
          <w:b/>
        </w:rPr>
        <w:t>GEORGE NYAKABAWO</w:t>
      </w:r>
    </w:p>
    <w:p w:rsidR="004D18C4" w:rsidRDefault="004D18C4" w:rsidP="004D18C4">
      <w:pPr>
        <w:pStyle w:val="NoSpacing"/>
        <w:rPr>
          <w:b/>
        </w:rPr>
      </w:pPr>
      <w:r>
        <w:rPr>
          <w:b/>
        </w:rPr>
        <w:t>And</w:t>
      </w:r>
    </w:p>
    <w:p w:rsidR="004D18C4" w:rsidRDefault="004D18C4" w:rsidP="004D18C4">
      <w:pPr>
        <w:pStyle w:val="NoSpacing"/>
        <w:rPr>
          <w:b/>
        </w:rPr>
      </w:pPr>
      <w:r>
        <w:rPr>
          <w:b/>
        </w:rPr>
        <w:t>FELIX SIBANDA</w:t>
      </w:r>
    </w:p>
    <w:p w:rsidR="004D18C4" w:rsidRDefault="004D18C4" w:rsidP="004D18C4">
      <w:pPr>
        <w:pStyle w:val="NoSpacing"/>
        <w:rPr>
          <w:b/>
        </w:rPr>
      </w:pPr>
      <w:r>
        <w:rPr>
          <w:b/>
        </w:rPr>
        <w:t>And</w:t>
      </w:r>
    </w:p>
    <w:p w:rsidR="004D18C4" w:rsidRDefault="004D18C4" w:rsidP="004D18C4">
      <w:pPr>
        <w:pStyle w:val="NoSpacing"/>
        <w:rPr>
          <w:b/>
        </w:rPr>
      </w:pPr>
      <w:r>
        <w:rPr>
          <w:b/>
        </w:rPr>
        <w:t>SHANTANI SHOKO</w:t>
      </w:r>
    </w:p>
    <w:p w:rsidR="004D18C4" w:rsidRDefault="004D18C4" w:rsidP="004D18C4">
      <w:pPr>
        <w:pStyle w:val="NoSpacing"/>
        <w:rPr>
          <w:b/>
        </w:rPr>
      </w:pPr>
      <w:r>
        <w:rPr>
          <w:b/>
        </w:rPr>
        <w:t>And</w:t>
      </w:r>
    </w:p>
    <w:p w:rsidR="004D18C4" w:rsidRDefault="004D18C4" w:rsidP="004D18C4">
      <w:pPr>
        <w:pStyle w:val="NoSpacing"/>
        <w:rPr>
          <w:b/>
        </w:rPr>
      </w:pPr>
      <w:r>
        <w:rPr>
          <w:b/>
        </w:rPr>
        <w:t>BRUCE PHIRI</w:t>
      </w:r>
    </w:p>
    <w:p w:rsidR="004D18C4" w:rsidRDefault="004D18C4" w:rsidP="004D18C4">
      <w:pPr>
        <w:pStyle w:val="NoSpacing"/>
        <w:rPr>
          <w:b/>
        </w:rPr>
      </w:pPr>
      <w:r>
        <w:rPr>
          <w:b/>
        </w:rPr>
        <w:t>And</w:t>
      </w:r>
    </w:p>
    <w:p w:rsidR="004D18C4" w:rsidRDefault="004D18C4" w:rsidP="004D18C4">
      <w:pPr>
        <w:pStyle w:val="NoSpacing"/>
        <w:rPr>
          <w:b/>
        </w:rPr>
      </w:pPr>
      <w:r>
        <w:rPr>
          <w:b/>
        </w:rPr>
        <w:t>SLYVESTER MADZOKERE</w:t>
      </w:r>
    </w:p>
    <w:p w:rsidR="004D18C4" w:rsidRDefault="004D18C4" w:rsidP="004D18C4">
      <w:pPr>
        <w:pStyle w:val="NoSpacing"/>
        <w:rPr>
          <w:b/>
        </w:rPr>
      </w:pPr>
      <w:r>
        <w:rPr>
          <w:b/>
        </w:rPr>
        <w:t>And</w:t>
      </w:r>
    </w:p>
    <w:p w:rsidR="004D18C4" w:rsidRDefault="004D18C4" w:rsidP="004D18C4">
      <w:pPr>
        <w:pStyle w:val="NoSpacing"/>
        <w:rPr>
          <w:b/>
        </w:rPr>
      </w:pPr>
      <w:r>
        <w:rPr>
          <w:b/>
        </w:rPr>
        <w:t>ANGEL DUBE</w:t>
      </w:r>
    </w:p>
    <w:p w:rsidR="004D18C4" w:rsidRDefault="004D18C4" w:rsidP="004D18C4">
      <w:pPr>
        <w:pStyle w:val="NoSpacing"/>
        <w:rPr>
          <w:b/>
        </w:rPr>
      </w:pPr>
    </w:p>
    <w:p w:rsidR="004D18C4" w:rsidRDefault="004D18C4" w:rsidP="004D18C4">
      <w:pPr>
        <w:pStyle w:val="NoSpacing"/>
        <w:rPr>
          <w:b/>
        </w:rPr>
      </w:pPr>
      <w:r>
        <w:rPr>
          <w:b/>
        </w:rPr>
        <w:t>Versus</w:t>
      </w:r>
    </w:p>
    <w:p w:rsidR="004D18C4" w:rsidRDefault="004D18C4" w:rsidP="004D18C4">
      <w:pPr>
        <w:pStyle w:val="NoSpacing"/>
        <w:rPr>
          <w:b/>
        </w:rPr>
      </w:pPr>
    </w:p>
    <w:p w:rsidR="004D18C4" w:rsidRDefault="004D18C4" w:rsidP="004D18C4">
      <w:pPr>
        <w:pStyle w:val="NoSpacing"/>
        <w:rPr>
          <w:b/>
        </w:rPr>
      </w:pPr>
      <w:r>
        <w:rPr>
          <w:b/>
        </w:rPr>
        <w:t>EXTRA CITY LUXURY (PVT) LTD</w:t>
      </w:r>
    </w:p>
    <w:p w:rsidR="004D18C4" w:rsidRDefault="004D18C4" w:rsidP="004D18C4">
      <w:pPr>
        <w:pStyle w:val="NoSpacing"/>
        <w:rPr>
          <w:b/>
        </w:rPr>
      </w:pPr>
    </w:p>
    <w:p w:rsidR="004D18C4" w:rsidRDefault="004D18C4" w:rsidP="004D18C4">
      <w:pPr>
        <w:pStyle w:val="NoSpacing"/>
        <w:rPr>
          <w:b/>
        </w:rPr>
      </w:pPr>
      <w:r>
        <w:rPr>
          <w:b/>
        </w:rPr>
        <w:t>And</w:t>
      </w:r>
    </w:p>
    <w:p w:rsidR="004D18C4" w:rsidRDefault="004D18C4" w:rsidP="004D18C4">
      <w:pPr>
        <w:pStyle w:val="NoSpacing"/>
        <w:rPr>
          <w:b/>
        </w:rPr>
      </w:pPr>
    </w:p>
    <w:p w:rsidR="004D18C4" w:rsidRDefault="004D18C4" w:rsidP="004D18C4">
      <w:pPr>
        <w:pStyle w:val="NoSpacing"/>
        <w:rPr>
          <w:b/>
        </w:rPr>
      </w:pPr>
      <w:r>
        <w:rPr>
          <w:b/>
        </w:rPr>
        <w:t>OWEN ZEMBE</w:t>
      </w:r>
    </w:p>
    <w:p w:rsidR="004D18C4" w:rsidRDefault="004D18C4" w:rsidP="004D18C4">
      <w:pPr>
        <w:pStyle w:val="NoSpacing"/>
        <w:rPr>
          <w:b/>
        </w:rPr>
      </w:pPr>
    </w:p>
    <w:p w:rsidR="004D18C4" w:rsidRDefault="004D18C4" w:rsidP="004D18C4">
      <w:pPr>
        <w:pStyle w:val="NoSpacing"/>
      </w:pPr>
      <w:r>
        <w:t>IN THE HIGH COURT OF ZIMBABWE</w:t>
      </w:r>
    </w:p>
    <w:p w:rsidR="004D18C4" w:rsidRDefault="004D18C4" w:rsidP="004D18C4">
      <w:pPr>
        <w:pStyle w:val="NoSpacing"/>
      </w:pPr>
      <w:r>
        <w:t>BERE J</w:t>
      </w:r>
    </w:p>
    <w:p w:rsidR="004D18C4" w:rsidRPr="004D18C4" w:rsidRDefault="004D18C4" w:rsidP="004D18C4">
      <w:pPr>
        <w:pStyle w:val="NoSpacing"/>
      </w:pPr>
      <w:r>
        <w:t xml:space="preserve">BULAWAYO 8 &amp; 9 MARCH; 7 APRIL; 30 MAY &amp; 12 JUNE 2018 AND </w:t>
      </w:r>
      <w:r w:rsidR="009C7368">
        <w:t>6 JANUARY 2020</w:t>
      </w:r>
    </w:p>
    <w:p w:rsidR="004D18C4" w:rsidRDefault="004D18C4" w:rsidP="004D18C4">
      <w:pPr>
        <w:pStyle w:val="NoSpacing"/>
        <w:rPr>
          <w:b/>
        </w:rPr>
      </w:pPr>
    </w:p>
    <w:p w:rsidR="004D18C4" w:rsidRDefault="004D18C4" w:rsidP="004D18C4">
      <w:pPr>
        <w:pStyle w:val="NoSpacing"/>
        <w:rPr>
          <w:b/>
        </w:rPr>
      </w:pPr>
      <w:r>
        <w:rPr>
          <w:b/>
        </w:rPr>
        <w:t>Civil Trial</w:t>
      </w:r>
    </w:p>
    <w:p w:rsidR="004D18C4" w:rsidRDefault="004D18C4" w:rsidP="004D18C4">
      <w:pPr>
        <w:pStyle w:val="NoSpacing"/>
        <w:rPr>
          <w:b/>
        </w:rPr>
      </w:pPr>
    </w:p>
    <w:p w:rsidR="00A873A6" w:rsidRDefault="00A873A6" w:rsidP="004D18C4">
      <w:pPr>
        <w:pStyle w:val="NoSpacing"/>
      </w:pPr>
      <w:r w:rsidRPr="00B3316E">
        <w:rPr>
          <w:i/>
        </w:rPr>
        <w:t>V. Majoko</w:t>
      </w:r>
      <w:r>
        <w:t xml:space="preserve"> for the plaintiffs</w:t>
      </w:r>
    </w:p>
    <w:p w:rsidR="00A873A6" w:rsidRDefault="00A873A6" w:rsidP="004D18C4">
      <w:pPr>
        <w:pStyle w:val="NoSpacing"/>
      </w:pPr>
      <w:r w:rsidRPr="00B3316E">
        <w:rPr>
          <w:i/>
        </w:rPr>
        <w:t>R. Kwenda</w:t>
      </w:r>
      <w:r>
        <w:t xml:space="preserve"> for the 1</w:t>
      </w:r>
      <w:r w:rsidRPr="00A873A6">
        <w:rPr>
          <w:vertAlign w:val="superscript"/>
        </w:rPr>
        <w:t>st</w:t>
      </w:r>
      <w:r>
        <w:t xml:space="preserve"> defendant</w:t>
      </w:r>
    </w:p>
    <w:p w:rsidR="00A873A6" w:rsidRDefault="00A873A6" w:rsidP="004D18C4">
      <w:pPr>
        <w:pStyle w:val="NoSpacing"/>
      </w:pPr>
      <w:r>
        <w:t>No appearance for 2</w:t>
      </w:r>
      <w:r w:rsidRPr="00A873A6">
        <w:rPr>
          <w:vertAlign w:val="superscript"/>
        </w:rPr>
        <w:t>nd</w:t>
      </w:r>
      <w:r>
        <w:t xml:space="preserve"> defendant</w:t>
      </w:r>
    </w:p>
    <w:p w:rsidR="00A873A6" w:rsidRPr="001D3781" w:rsidRDefault="00A873A6" w:rsidP="001D3781">
      <w:pPr>
        <w:jc w:val="both"/>
        <w:rPr>
          <w:szCs w:val="24"/>
        </w:rPr>
      </w:pPr>
      <w:r>
        <w:tab/>
      </w:r>
      <w:r w:rsidRPr="001D3781">
        <w:rPr>
          <w:b/>
          <w:szCs w:val="24"/>
        </w:rPr>
        <w:t>BERE J:</w:t>
      </w:r>
      <w:r w:rsidRPr="001D3781">
        <w:rPr>
          <w:szCs w:val="24"/>
        </w:rPr>
        <w:tab/>
        <w:t xml:space="preserve">At the close of the plaintiff’s case </w:t>
      </w:r>
      <w:r w:rsidRPr="001D3781">
        <w:rPr>
          <w:i/>
          <w:szCs w:val="24"/>
        </w:rPr>
        <w:t>Mr Kwenda</w:t>
      </w:r>
      <w:r w:rsidRPr="001D3781">
        <w:rPr>
          <w:szCs w:val="24"/>
        </w:rPr>
        <w:t>, who appeared for the 1</w:t>
      </w:r>
      <w:r w:rsidRPr="001D3781">
        <w:rPr>
          <w:szCs w:val="24"/>
          <w:vertAlign w:val="superscript"/>
        </w:rPr>
        <w:t>st</w:t>
      </w:r>
      <w:r w:rsidRPr="001D3781">
        <w:rPr>
          <w:szCs w:val="24"/>
        </w:rPr>
        <w:t xml:space="preserve"> defendant moved the court to grant absolution from the instance which application was strenuously opposed by </w:t>
      </w:r>
      <w:r w:rsidRPr="001D3781">
        <w:rPr>
          <w:i/>
          <w:szCs w:val="24"/>
        </w:rPr>
        <w:t>Mr Majoko</w:t>
      </w:r>
      <w:r w:rsidRPr="001D3781">
        <w:rPr>
          <w:szCs w:val="24"/>
        </w:rPr>
        <w:t xml:space="preserve"> for the plaintiff</w:t>
      </w:r>
      <w:r w:rsidR="00CC0666">
        <w:rPr>
          <w:szCs w:val="24"/>
        </w:rPr>
        <w:t>s</w:t>
      </w:r>
      <w:r w:rsidRPr="001D3781">
        <w:rPr>
          <w:szCs w:val="24"/>
        </w:rPr>
        <w:t>.</w:t>
      </w:r>
    </w:p>
    <w:p w:rsidR="00A873A6" w:rsidRPr="001D3781" w:rsidRDefault="00A873A6" w:rsidP="001D3781">
      <w:pPr>
        <w:jc w:val="both"/>
        <w:rPr>
          <w:szCs w:val="24"/>
        </w:rPr>
      </w:pPr>
      <w:r w:rsidRPr="001D3781">
        <w:rPr>
          <w:szCs w:val="24"/>
        </w:rPr>
        <w:lastRenderedPageBreak/>
        <w:tab/>
      </w:r>
      <w:r w:rsidRPr="001D3781">
        <w:rPr>
          <w:i/>
          <w:szCs w:val="24"/>
        </w:rPr>
        <w:t>Mr Kwenda’s</w:t>
      </w:r>
      <w:r w:rsidRPr="001D3781">
        <w:rPr>
          <w:szCs w:val="24"/>
        </w:rPr>
        <w:t xml:space="preserve"> application was anchored on a number of  f</w:t>
      </w:r>
      <w:r w:rsidR="00B3316E" w:rsidRPr="001D3781">
        <w:rPr>
          <w:szCs w:val="24"/>
        </w:rPr>
        <w:t>a</w:t>
      </w:r>
      <w:r w:rsidRPr="001D3781">
        <w:rPr>
          <w:szCs w:val="24"/>
        </w:rPr>
        <w:t>ctor</w:t>
      </w:r>
      <w:r w:rsidR="00B103C2">
        <w:rPr>
          <w:szCs w:val="24"/>
        </w:rPr>
        <w:t>s</w:t>
      </w:r>
      <w:r w:rsidRPr="001D3781">
        <w:rPr>
          <w:szCs w:val="24"/>
        </w:rPr>
        <w:t xml:space="preserve"> which I must confess completely took the court by surprise especially given the nature of the joint pre-trial conference minu</w:t>
      </w:r>
      <w:r w:rsidR="00B3316E" w:rsidRPr="001D3781">
        <w:rPr>
          <w:szCs w:val="24"/>
        </w:rPr>
        <w:t>t</w:t>
      </w:r>
      <w:r w:rsidRPr="001D3781">
        <w:rPr>
          <w:szCs w:val="24"/>
        </w:rPr>
        <w:t>e filed by the parties in this court on 31 May 2017.</w:t>
      </w:r>
    </w:p>
    <w:p w:rsidR="00A873A6" w:rsidRPr="001D3781" w:rsidRDefault="00A873A6" w:rsidP="001D3781">
      <w:pPr>
        <w:jc w:val="both"/>
        <w:rPr>
          <w:szCs w:val="24"/>
        </w:rPr>
      </w:pPr>
      <w:r w:rsidRPr="001D3781">
        <w:rPr>
          <w:szCs w:val="24"/>
        </w:rPr>
        <w:tab/>
        <w:t>The 1</w:t>
      </w:r>
      <w:r w:rsidRPr="001D3781">
        <w:rPr>
          <w:szCs w:val="24"/>
          <w:vertAlign w:val="superscript"/>
        </w:rPr>
        <w:t>st</w:t>
      </w:r>
      <w:r w:rsidRPr="001D3781">
        <w:rPr>
          <w:szCs w:val="24"/>
        </w:rPr>
        <w:t xml:space="preserve"> defendant’s counsel attac</w:t>
      </w:r>
      <w:r w:rsidR="00B103C2">
        <w:rPr>
          <w:szCs w:val="24"/>
        </w:rPr>
        <w:t>k</w:t>
      </w:r>
      <w:r w:rsidRPr="001D3781">
        <w:rPr>
          <w:szCs w:val="24"/>
        </w:rPr>
        <w:t>ed what he p</w:t>
      </w:r>
      <w:r w:rsidR="00B103C2">
        <w:rPr>
          <w:szCs w:val="24"/>
        </w:rPr>
        <w:t>erceiv</w:t>
      </w:r>
      <w:r w:rsidRPr="001D3781">
        <w:rPr>
          <w:szCs w:val="24"/>
        </w:rPr>
        <w:t xml:space="preserve">ed to be the shortcomings in the pleadings filed by the plaintiffs, the alleged lack of locus standi on the </w:t>
      </w:r>
      <w:r w:rsidR="00B3316E" w:rsidRPr="001D3781">
        <w:rPr>
          <w:szCs w:val="24"/>
        </w:rPr>
        <w:t>p</w:t>
      </w:r>
      <w:r w:rsidRPr="001D3781">
        <w:rPr>
          <w:szCs w:val="24"/>
        </w:rPr>
        <w:t>art of the first plaintiff as well as the only witness called by the first plaintiff Mrs Sizane Chigumira wh</w:t>
      </w:r>
      <w:r w:rsidR="00B103C2">
        <w:rPr>
          <w:szCs w:val="24"/>
        </w:rPr>
        <w:t>om</w:t>
      </w:r>
      <w:r w:rsidRPr="001D3781">
        <w:rPr>
          <w:szCs w:val="24"/>
        </w:rPr>
        <w:t xml:space="preserve"> counsel believed ought to have been armed with the first plaintiff’s company resolution in order for her to appear in court.  First</w:t>
      </w:r>
      <w:r w:rsidR="00B103C2">
        <w:rPr>
          <w:szCs w:val="24"/>
        </w:rPr>
        <w:t xml:space="preserve"> defendant’s counsel also attack</w:t>
      </w:r>
      <w:r w:rsidRPr="001D3781">
        <w:rPr>
          <w:szCs w:val="24"/>
        </w:rPr>
        <w:t>ed what he labeled lack of sufficien</w:t>
      </w:r>
      <w:r w:rsidR="00B3316E" w:rsidRPr="001D3781">
        <w:rPr>
          <w:szCs w:val="24"/>
        </w:rPr>
        <w:t>c</w:t>
      </w:r>
      <w:r w:rsidRPr="001D3781">
        <w:rPr>
          <w:szCs w:val="24"/>
        </w:rPr>
        <w:t>y of evidence</w:t>
      </w:r>
      <w:r w:rsidR="00B103C2">
        <w:rPr>
          <w:szCs w:val="24"/>
        </w:rPr>
        <w:t xml:space="preserve"> from the rest of the plaintiff</w:t>
      </w:r>
      <w:r w:rsidRPr="001D3781">
        <w:rPr>
          <w:szCs w:val="24"/>
        </w:rPr>
        <w:t>s as one of the reasons which prompted him</w:t>
      </w:r>
      <w:r w:rsidR="00B3316E" w:rsidRPr="001D3781">
        <w:rPr>
          <w:szCs w:val="24"/>
        </w:rPr>
        <w:t xml:space="preserve"> </w:t>
      </w:r>
      <w:r w:rsidRPr="001D3781">
        <w:rPr>
          <w:szCs w:val="24"/>
        </w:rPr>
        <w:t>to apply for absolution.</w:t>
      </w:r>
    </w:p>
    <w:p w:rsidR="00A873A6" w:rsidRPr="001D3781" w:rsidRDefault="00A873A6" w:rsidP="001D3781">
      <w:pPr>
        <w:jc w:val="both"/>
        <w:rPr>
          <w:szCs w:val="24"/>
        </w:rPr>
      </w:pPr>
      <w:r w:rsidRPr="001D3781">
        <w:rPr>
          <w:szCs w:val="24"/>
        </w:rPr>
        <w:tab/>
        <w:t>Both counse</w:t>
      </w:r>
      <w:r w:rsidR="00B103C2">
        <w:rPr>
          <w:szCs w:val="24"/>
        </w:rPr>
        <w:t>l</w:t>
      </w:r>
      <w:r w:rsidRPr="001D3781">
        <w:rPr>
          <w:szCs w:val="24"/>
        </w:rPr>
        <w:t xml:space="preserve"> have properly identified the principles of law that guides the court in</w:t>
      </w:r>
      <w:r w:rsidR="00824319" w:rsidRPr="001D3781">
        <w:rPr>
          <w:szCs w:val="24"/>
        </w:rPr>
        <w:t xml:space="preserve"> sustaining the granting of absolution from the instance.  As correctly observed by counsel, the legal position is well settled in this jurisdiction.  In the much celebrated case of </w:t>
      </w:r>
      <w:r w:rsidR="00824319" w:rsidRPr="001D3781">
        <w:rPr>
          <w:i/>
          <w:szCs w:val="24"/>
        </w:rPr>
        <w:t>Supreme Service Station (1969) (Pvt) Ltd</w:t>
      </w:r>
      <w:r w:rsidR="00824319" w:rsidRPr="001D3781">
        <w:rPr>
          <w:szCs w:val="24"/>
        </w:rPr>
        <w:t xml:space="preserve"> v </w:t>
      </w:r>
      <w:r w:rsidR="00824319" w:rsidRPr="001D3781">
        <w:rPr>
          <w:i/>
          <w:szCs w:val="24"/>
        </w:rPr>
        <w:t>Fox and Goodridge (Pvt) Ltd</w:t>
      </w:r>
      <w:r w:rsidR="00824319" w:rsidRPr="001D3781">
        <w:rPr>
          <w:szCs w:val="24"/>
        </w:rPr>
        <w:t xml:space="preserve"> </w:t>
      </w:r>
      <w:r w:rsidR="00824319" w:rsidRPr="001D3781">
        <w:rPr>
          <w:rStyle w:val="FootnoteReference"/>
          <w:szCs w:val="24"/>
        </w:rPr>
        <w:footnoteReference w:id="2"/>
      </w:r>
      <w:r w:rsidR="00824319" w:rsidRPr="001D3781">
        <w:rPr>
          <w:szCs w:val="24"/>
        </w:rPr>
        <w:t>the court formulated the legal position in the following:</w:t>
      </w:r>
    </w:p>
    <w:p w:rsidR="00824319" w:rsidRPr="001D3781" w:rsidRDefault="00824319" w:rsidP="001D3781">
      <w:pPr>
        <w:pStyle w:val="NoSpacing"/>
        <w:ind w:left="720"/>
        <w:jc w:val="both"/>
        <w:rPr>
          <w:szCs w:val="24"/>
        </w:rPr>
      </w:pPr>
      <w:r w:rsidRPr="001D3781">
        <w:rPr>
          <w:szCs w:val="24"/>
        </w:rPr>
        <w:t>“The</w:t>
      </w:r>
      <w:r w:rsidR="00B103C2">
        <w:rPr>
          <w:szCs w:val="24"/>
        </w:rPr>
        <w:t xml:space="preserve"> test therefore boils down to this</w:t>
      </w:r>
      <w:r w:rsidRPr="001D3781">
        <w:rPr>
          <w:szCs w:val="24"/>
        </w:rPr>
        <w:t>:  Is there sufficient evidence on which a court might make a reasonable mistake and give judgment for the plaintiff?  What is reasonable mistake in any case must always be a question of fact, and cannot be defined with any greater exactitude than by saying that it is the sort of mistake a reasonable court might make – a definition which helps not at all.”</w:t>
      </w:r>
    </w:p>
    <w:p w:rsidR="00824319" w:rsidRPr="001D3781" w:rsidRDefault="00824319" w:rsidP="001D3781">
      <w:pPr>
        <w:jc w:val="both"/>
        <w:rPr>
          <w:szCs w:val="24"/>
        </w:rPr>
      </w:pPr>
      <w:r w:rsidRPr="001D3781">
        <w:rPr>
          <w:szCs w:val="24"/>
        </w:rPr>
        <w:tab/>
        <w:t xml:space="preserve">In the case of </w:t>
      </w:r>
      <w:r w:rsidRPr="001D3781">
        <w:rPr>
          <w:i/>
          <w:szCs w:val="24"/>
        </w:rPr>
        <w:t>United Air Charter</w:t>
      </w:r>
      <w:r w:rsidRPr="001D3781">
        <w:rPr>
          <w:szCs w:val="24"/>
        </w:rPr>
        <w:t xml:space="preserve"> v </w:t>
      </w:r>
      <w:r w:rsidRPr="001D3781">
        <w:rPr>
          <w:i/>
          <w:szCs w:val="24"/>
        </w:rPr>
        <w:t>Jarman</w:t>
      </w:r>
      <w:r w:rsidRPr="001D3781">
        <w:rPr>
          <w:rStyle w:val="FootnoteReference"/>
          <w:szCs w:val="24"/>
        </w:rPr>
        <w:footnoteReference w:id="3"/>
      </w:r>
      <w:r w:rsidRPr="001D3781">
        <w:rPr>
          <w:szCs w:val="24"/>
        </w:rPr>
        <w:t>, G</w:t>
      </w:r>
      <w:r w:rsidRPr="00A272B8">
        <w:rPr>
          <w:sz w:val="20"/>
          <w:szCs w:val="20"/>
        </w:rPr>
        <w:t>UBBAY</w:t>
      </w:r>
      <w:r w:rsidRPr="001D3781">
        <w:rPr>
          <w:szCs w:val="24"/>
        </w:rPr>
        <w:t xml:space="preserve"> CJ leaning on the </w:t>
      </w:r>
      <w:r w:rsidR="00B103C2">
        <w:rPr>
          <w:szCs w:val="24"/>
        </w:rPr>
        <w:t>ratio</w:t>
      </w:r>
      <w:r w:rsidRPr="001D3781">
        <w:rPr>
          <w:szCs w:val="24"/>
        </w:rPr>
        <w:t xml:space="preserve"> in </w:t>
      </w:r>
      <w:r w:rsidRPr="001D3781">
        <w:rPr>
          <w:i/>
          <w:szCs w:val="24"/>
        </w:rPr>
        <w:t xml:space="preserve">Supreme Service Station </w:t>
      </w:r>
      <w:r w:rsidRPr="001D3781">
        <w:rPr>
          <w:szCs w:val="24"/>
        </w:rPr>
        <w:t>case</w:t>
      </w:r>
      <w:r w:rsidRPr="001D3781">
        <w:rPr>
          <w:i/>
          <w:szCs w:val="24"/>
        </w:rPr>
        <w:t xml:space="preserve"> (supra)</w:t>
      </w:r>
      <w:r w:rsidRPr="001D3781">
        <w:rPr>
          <w:szCs w:val="24"/>
        </w:rPr>
        <w:t xml:space="preserve"> elaborated on the test in the following words.</w:t>
      </w:r>
    </w:p>
    <w:p w:rsidR="00824319" w:rsidRPr="001D3781" w:rsidRDefault="00824319" w:rsidP="001D3781">
      <w:pPr>
        <w:pStyle w:val="NoSpacing"/>
        <w:ind w:left="720"/>
        <w:jc w:val="both"/>
        <w:rPr>
          <w:szCs w:val="24"/>
        </w:rPr>
      </w:pPr>
      <w:r w:rsidRPr="001D3781">
        <w:rPr>
          <w:szCs w:val="24"/>
        </w:rPr>
        <w:lastRenderedPageBreak/>
        <w:t>“</w:t>
      </w:r>
      <w:r w:rsidR="001D3781" w:rsidRPr="001D3781">
        <w:rPr>
          <w:szCs w:val="24"/>
        </w:rPr>
        <w:t xml:space="preserve">The </w:t>
      </w:r>
      <w:r w:rsidRPr="001D3781">
        <w:rPr>
          <w:szCs w:val="24"/>
        </w:rPr>
        <w:t>test in deciding an application for absolution from the instance is well settled in the jurisdiction.  A plaintiff will successfully</w:t>
      </w:r>
      <w:r w:rsidR="00574F72" w:rsidRPr="001D3781">
        <w:rPr>
          <w:szCs w:val="24"/>
        </w:rPr>
        <w:t xml:space="preserve"> withstand such application if, at the close of his case, there is evidence upon which a court directing its mind reasonably to such evidence could or might (not should or ought to) find for him.</w:t>
      </w:r>
    </w:p>
    <w:p w:rsidR="001D3781" w:rsidRPr="001D3781" w:rsidRDefault="00574F72" w:rsidP="001D3781">
      <w:pPr>
        <w:pStyle w:val="NoSpacing"/>
        <w:jc w:val="both"/>
        <w:rPr>
          <w:szCs w:val="24"/>
        </w:rPr>
      </w:pPr>
      <w:r w:rsidRPr="001D3781">
        <w:rPr>
          <w:szCs w:val="24"/>
        </w:rPr>
        <w:tab/>
      </w:r>
    </w:p>
    <w:p w:rsidR="00574F72" w:rsidRPr="001D3781" w:rsidRDefault="00574F72" w:rsidP="001D3781">
      <w:pPr>
        <w:pStyle w:val="NoSpacing"/>
        <w:ind w:left="720"/>
        <w:jc w:val="both"/>
        <w:rPr>
          <w:szCs w:val="24"/>
        </w:rPr>
      </w:pPr>
      <w:r w:rsidRPr="001D3781">
        <w:rPr>
          <w:szCs w:val="24"/>
        </w:rPr>
        <w:t>Th</w:t>
      </w:r>
      <w:r w:rsidR="00B103C2">
        <w:rPr>
          <w:szCs w:val="24"/>
        </w:rPr>
        <w:t>is</w:t>
      </w:r>
      <w:r w:rsidRPr="001D3781">
        <w:rPr>
          <w:szCs w:val="24"/>
        </w:rPr>
        <w:t xml:space="preserve"> court takes the view that the application for absolution from the instance lacked sincerity especially in the light of the joint pre-trial conference minute filed by the parties as a prelude to this </w:t>
      </w:r>
      <w:r w:rsidR="00CC0666">
        <w:rPr>
          <w:szCs w:val="24"/>
        </w:rPr>
        <w:t>trial.  The minute recorded the</w:t>
      </w:r>
      <w:r w:rsidRPr="001D3781">
        <w:rPr>
          <w:szCs w:val="24"/>
        </w:rPr>
        <w:t xml:space="preserve"> admission</w:t>
      </w:r>
      <w:r w:rsidR="00B103C2">
        <w:rPr>
          <w:szCs w:val="24"/>
        </w:rPr>
        <w:t>s</w:t>
      </w:r>
      <w:r w:rsidRPr="001D3781">
        <w:rPr>
          <w:szCs w:val="24"/>
        </w:rPr>
        <w:t xml:space="preserve"> made by both parties and singled out only one issue for referral of the matter for trial</w:t>
      </w:r>
      <w:r w:rsidR="00B103C2">
        <w:rPr>
          <w:szCs w:val="24"/>
        </w:rPr>
        <w:t>,</w:t>
      </w:r>
      <w:r w:rsidRPr="001D3781">
        <w:rPr>
          <w:szCs w:val="24"/>
        </w:rPr>
        <w:t xml:space="preserve"> </w:t>
      </w:r>
      <w:r w:rsidR="00B103C2">
        <w:rPr>
          <w:szCs w:val="24"/>
        </w:rPr>
        <w:t>a</w:t>
      </w:r>
      <w:r w:rsidRPr="001D3781">
        <w:rPr>
          <w:szCs w:val="24"/>
        </w:rPr>
        <w:t>fter the parties had a</w:t>
      </w:r>
      <w:r w:rsidR="00B103C2">
        <w:rPr>
          <w:szCs w:val="24"/>
        </w:rPr>
        <w:t>gree</w:t>
      </w:r>
      <w:r w:rsidRPr="001D3781">
        <w:rPr>
          <w:szCs w:val="24"/>
        </w:rPr>
        <w:t>d under item 5 thereof that “the 1</w:t>
      </w:r>
      <w:r w:rsidRPr="001D3781">
        <w:rPr>
          <w:szCs w:val="24"/>
          <w:vertAlign w:val="superscript"/>
        </w:rPr>
        <w:t>st</w:t>
      </w:r>
      <w:r w:rsidRPr="001D3781">
        <w:rPr>
          <w:szCs w:val="24"/>
        </w:rPr>
        <w:t xml:space="preserve"> defendant is liable for the medical bills the 1</w:t>
      </w:r>
      <w:r w:rsidRPr="001D3781">
        <w:rPr>
          <w:szCs w:val="24"/>
          <w:vertAlign w:val="superscript"/>
        </w:rPr>
        <w:t>st</w:t>
      </w:r>
      <w:r w:rsidRPr="001D3781">
        <w:rPr>
          <w:szCs w:val="24"/>
        </w:rPr>
        <w:t xml:space="preserve"> plaintiff raised in treating the 2</w:t>
      </w:r>
      <w:r w:rsidRPr="001D3781">
        <w:rPr>
          <w:szCs w:val="24"/>
          <w:vertAlign w:val="superscript"/>
        </w:rPr>
        <w:t>nd</w:t>
      </w:r>
      <w:r w:rsidRPr="001D3781">
        <w:rPr>
          <w:szCs w:val="24"/>
        </w:rPr>
        <w:t xml:space="preserve"> to 9</w:t>
      </w:r>
      <w:r w:rsidRPr="001D3781">
        <w:rPr>
          <w:szCs w:val="24"/>
          <w:vertAlign w:val="superscript"/>
        </w:rPr>
        <w:t>th</w:t>
      </w:r>
      <w:r w:rsidR="001D3781" w:rsidRPr="001D3781">
        <w:rPr>
          <w:szCs w:val="24"/>
        </w:rPr>
        <w:t xml:space="preserve"> p</w:t>
      </w:r>
      <w:r w:rsidRPr="001D3781">
        <w:rPr>
          <w:szCs w:val="24"/>
        </w:rPr>
        <w:t>laintiffs’”</w:t>
      </w:r>
    </w:p>
    <w:p w:rsidR="00574F72" w:rsidRPr="001D3781" w:rsidRDefault="00574F72" w:rsidP="001D3781">
      <w:pPr>
        <w:jc w:val="both"/>
        <w:rPr>
          <w:szCs w:val="24"/>
        </w:rPr>
      </w:pPr>
      <w:r w:rsidRPr="001D3781">
        <w:rPr>
          <w:szCs w:val="24"/>
        </w:rPr>
        <w:tab/>
        <w:t>The only issue which was referred for trial according to the minute was framed by the parties as follows:</w:t>
      </w:r>
    </w:p>
    <w:p w:rsidR="00574F72" w:rsidRPr="001D3781" w:rsidRDefault="00574F72" w:rsidP="001D3781">
      <w:pPr>
        <w:pStyle w:val="NoSpacing"/>
        <w:ind w:left="1440" w:hanging="720"/>
        <w:jc w:val="both"/>
        <w:rPr>
          <w:szCs w:val="24"/>
        </w:rPr>
      </w:pPr>
      <w:r w:rsidRPr="001D3781">
        <w:rPr>
          <w:szCs w:val="24"/>
        </w:rPr>
        <w:t>“(a)</w:t>
      </w:r>
      <w:r w:rsidRPr="001D3781">
        <w:rPr>
          <w:szCs w:val="24"/>
        </w:rPr>
        <w:tab/>
        <w:t>The quantum of special and general damages suffered by each plaintiff in respect of 2</w:t>
      </w:r>
      <w:r w:rsidRPr="001D3781">
        <w:rPr>
          <w:szCs w:val="24"/>
          <w:vertAlign w:val="superscript"/>
        </w:rPr>
        <w:t>nd</w:t>
      </w:r>
      <w:r w:rsidRPr="001D3781">
        <w:rPr>
          <w:szCs w:val="24"/>
        </w:rPr>
        <w:t xml:space="preserve"> – 9</w:t>
      </w:r>
      <w:r w:rsidRPr="001D3781">
        <w:rPr>
          <w:szCs w:val="24"/>
          <w:vertAlign w:val="superscript"/>
        </w:rPr>
        <w:t>th</w:t>
      </w:r>
      <w:r w:rsidRPr="001D3781">
        <w:rPr>
          <w:szCs w:val="24"/>
        </w:rPr>
        <w:t xml:space="preserve"> plaintiffs.”</w:t>
      </w:r>
    </w:p>
    <w:p w:rsidR="00574F72" w:rsidRPr="001D3781" w:rsidRDefault="00574F72" w:rsidP="001D3781">
      <w:pPr>
        <w:jc w:val="both"/>
        <w:rPr>
          <w:szCs w:val="24"/>
        </w:rPr>
      </w:pPr>
      <w:r w:rsidRPr="001D3781">
        <w:rPr>
          <w:szCs w:val="24"/>
        </w:rPr>
        <w:tab/>
        <w:t xml:space="preserve">The parties, having so agreed, </w:t>
      </w:r>
      <w:r w:rsidR="00B103C2">
        <w:rPr>
          <w:szCs w:val="24"/>
        </w:rPr>
        <w:t>it</w:t>
      </w:r>
      <w:r w:rsidRPr="001D3781">
        <w:rPr>
          <w:szCs w:val="24"/>
        </w:rPr>
        <w:t xml:space="preserve"> bec</w:t>
      </w:r>
      <w:r w:rsidR="00B103C2">
        <w:rPr>
          <w:szCs w:val="24"/>
        </w:rPr>
        <w:t>a</w:t>
      </w:r>
      <w:r w:rsidRPr="001D3781">
        <w:rPr>
          <w:szCs w:val="24"/>
        </w:rPr>
        <w:t xml:space="preserve">me illusionary for the first defendant to dwell so much on issues of locus standi of the first plaintiff.  The reason why parties spend so much time in framing the pre-trial conference minute before trial is to try and curtail proceedings by </w:t>
      </w:r>
      <w:r w:rsidR="00430B96">
        <w:rPr>
          <w:szCs w:val="24"/>
        </w:rPr>
        <w:t>reducing areas of disagreement</w:t>
      </w:r>
      <w:r w:rsidRPr="001D3781">
        <w:rPr>
          <w:szCs w:val="24"/>
        </w:rPr>
        <w:t>.  I believe, with the benefit of hindsight, the first defendant’s</w:t>
      </w:r>
      <w:r w:rsidR="00430B96">
        <w:rPr>
          <w:szCs w:val="24"/>
        </w:rPr>
        <w:t xml:space="preserve"> counsel should be able to realise</w:t>
      </w:r>
      <w:r w:rsidRPr="001D3781">
        <w:rPr>
          <w:szCs w:val="24"/>
        </w:rPr>
        <w:t xml:space="preserve"> the erro</w:t>
      </w:r>
      <w:r w:rsidR="001D3781" w:rsidRPr="001D3781">
        <w:rPr>
          <w:szCs w:val="24"/>
        </w:rPr>
        <w:t>r</w:t>
      </w:r>
      <w:r w:rsidRPr="001D3781">
        <w:rPr>
          <w:szCs w:val="24"/>
        </w:rPr>
        <w:t xml:space="preserve"> he made by lodging this application.</w:t>
      </w:r>
    </w:p>
    <w:p w:rsidR="00574F72" w:rsidRPr="001D3781" w:rsidRDefault="00574F72" w:rsidP="001D3781">
      <w:pPr>
        <w:jc w:val="both"/>
        <w:rPr>
          <w:szCs w:val="24"/>
        </w:rPr>
      </w:pPr>
      <w:r w:rsidRPr="001D3781">
        <w:rPr>
          <w:szCs w:val="24"/>
        </w:rPr>
        <w:tab/>
        <w:t xml:space="preserve">In any event the status of Mrs Chigumira could not have been challenged in the manner suggested by the first defendant’s counsel if regard is had to the nature of her evidence and the  capacity in which she participated in this case immediately after the accident.  Her uncontroverted evidence was that at the relevant time she was a senior employee of the first plaintiff who deliberated on the issues with senior members of the first defendant’s employees guided by the </w:t>
      </w:r>
      <w:r w:rsidR="00CC0666">
        <w:rPr>
          <w:szCs w:val="24"/>
        </w:rPr>
        <w:t>need to protect the l</w:t>
      </w:r>
      <w:r w:rsidR="00A26677" w:rsidRPr="001D3781">
        <w:rPr>
          <w:szCs w:val="24"/>
        </w:rPr>
        <w:t>ives of the injured passengers who are now part of the 2</w:t>
      </w:r>
      <w:r w:rsidR="00A26677" w:rsidRPr="001D3781">
        <w:rPr>
          <w:szCs w:val="24"/>
          <w:vertAlign w:val="superscript"/>
        </w:rPr>
        <w:t>nd</w:t>
      </w:r>
      <w:r w:rsidR="00A26677" w:rsidRPr="001D3781">
        <w:rPr>
          <w:szCs w:val="24"/>
        </w:rPr>
        <w:t xml:space="preserve"> to </w:t>
      </w:r>
      <w:r w:rsidR="00430B96">
        <w:rPr>
          <w:szCs w:val="24"/>
        </w:rPr>
        <w:t>10</w:t>
      </w:r>
      <w:r w:rsidR="00A26677" w:rsidRPr="00430B96">
        <w:rPr>
          <w:szCs w:val="24"/>
          <w:vertAlign w:val="superscript"/>
        </w:rPr>
        <w:t>th</w:t>
      </w:r>
      <w:r w:rsidR="00A26677" w:rsidRPr="001D3781">
        <w:rPr>
          <w:szCs w:val="24"/>
        </w:rPr>
        <w:t xml:space="preserve"> plaintiffs.  It is not like Mrs Chigumira was a stranger to the first plaintiff or to the facts </w:t>
      </w:r>
      <w:r w:rsidR="00A26677" w:rsidRPr="001D3781">
        <w:rPr>
          <w:szCs w:val="24"/>
        </w:rPr>
        <w:lastRenderedPageBreak/>
        <w:t>surrounding this case.  As M</w:t>
      </w:r>
      <w:r w:rsidR="00A26677" w:rsidRPr="00A272B8">
        <w:rPr>
          <w:sz w:val="20"/>
          <w:szCs w:val="20"/>
        </w:rPr>
        <w:t>AKARAU</w:t>
      </w:r>
      <w:r w:rsidR="00A26677" w:rsidRPr="001D3781">
        <w:rPr>
          <w:szCs w:val="24"/>
        </w:rPr>
        <w:t xml:space="preserve"> JP (as she then was) noted in the case of </w:t>
      </w:r>
      <w:r w:rsidR="00A26677" w:rsidRPr="001D3781">
        <w:rPr>
          <w:i/>
          <w:szCs w:val="24"/>
        </w:rPr>
        <w:t>Antonio</w:t>
      </w:r>
      <w:r w:rsidR="00A26677" w:rsidRPr="001D3781">
        <w:rPr>
          <w:szCs w:val="24"/>
        </w:rPr>
        <w:t xml:space="preserve"> v </w:t>
      </w:r>
      <w:r w:rsidR="00A26677" w:rsidRPr="001D3781">
        <w:rPr>
          <w:i/>
          <w:szCs w:val="24"/>
        </w:rPr>
        <w:t>Ashanti Goldfields Zimbabwe Ltd and Anor</w:t>
      </w:r>
      <w:r w:rsidR="00A26677" w:rsidRPr="001D3781">
        <w:rPr>
          <w:rStyle w:val="FootnoteReference"/>
          <w:szCs w:val="24"/>
        </w:rPr>
        <w:footnoteReference w:id="4"/>
      </w:r>
      <w:r w:rsidR="00A26677" w:rsidRPr="001D3781">
        <w:rPr>
          <w:szCs w:val="24"/>
        </w:rPr>
        <w:t>;</w:t>
      </w:r>
    </w:p>
    <w:p w:rsidR="00A26677" w:rsidRPr="001D3781" w:rsidRDefault="00A26677" w:rsidP="001D3781">
      <w:pPr>
        <w:pStyle w:val="NoSpacing"/>
        <w:ind w:left="720"/>
        <w:jc w:val="both"/>
        <w:rPr>
          <w:szCs w:val="24"/>
        </w:rPr>
      </w:pPr>
      <w:r w:rsidRPr="001D3781">
        <w:rPr>
          <w:szCs w:val="24"/>
        </w:rPr>
        <w:t>“The employee who gives evidence on behalf of a corporate litigant must be suitably placed … to have knowledge of the facts that he testifies about.  This knowledge can be derived from the employee’s personal contact with the transa</w:t>
      </w:r>
      <w:r w:rsidR="001D3781" w:rsidRPr="001D3781">
        <w:rPr>
          <w:szCs w:val="24"/>
        </w:rPr>
        <w:t>c</w:t>
      </w:r>
      <w:r w:rsidRPr="001D3781">
        <w:rPr>
          <w:szCs w:val="24"/>
        </w:rPr>
        <w:t>tion in issue …”</w:t>
      </w:r>
    </w:p>
    <w:p w:rsidR="00A26677" w:rsidRPr="001D3781" w:rsidRDefault="00A26677" w:rsidP="001D3781">
      <w:pPr>
        <w:ind w:firstLine="720"/>
        <w:jc w:val="both"/>
        <w:rPr>
          <w:szCs w:val="24"/>
        </w:rPr>
      </w:pPr>
      <w:r w:rsidRPr="001D3781">
        <w:rPr>
          <w:szCs w:val="24"/>
        </w:rPr>
        <w:t xml:space="preserve">As correctly observed by </w:t>
      </w:r>
      <w:r w:rsidRPr="001D3781">
        <w:rPr>
          <w:i/>
          <w:szCs w:val="24"/>
        </w:rPr>
        <w:t>Mr Majoko</w:t>
      </w:r>
      <w:r w:rsidRPr="001D3781">
        <w:rPr>
          <w:szCs w:val="24"/>
        </w:rPr>
        <w:t xml:space="preserve"> for the plaintiffs, Mrs Chigumira’s testimony was based on her knowledge and personal contact with the transaction in issue as she was one of the f</w:t>
      </w:r>
      <w:r w:rsidR="001D3781" w:rsidRPr="001D3781">
        <w:rPr>
          <w:szCs w:val="24"/>
        </w:rPr>
        <w:t>i</w:t>
      </w:r>
      <w:r w:rsidRPr="001D3781">
        <w:rPr>
          <w:szCs w:val="24"/>
        </w:rPr>
        <w:t>rst persons who received the patients (now plaintiffs) and liaised with first defendant on the issue of payments for services rendered.  In the court’s view, it is a misplaced app</w:t>
      </w:r>
      <w:r w:rsidR="00430B96">
        <w:rPr>
          <w:szCs w:val="24"/>
        </w:rPr>
        <w:t>recia</w:t>
      </w:r>
      <w:r w:rsidRPr="001D3781">
        <w:rPr>
          <w:szCs w:val="24"/>
        </w:rPr>
        <w:t xml:space="preserve">tion of the facts of this case for Mrs Chigumira’s </w:t>
      </w:r>
      <w:r w:rsidRPr="001D3781">
        <w:rPr>
          <w:i/>
          <w:szCs w:val="24"/>
        </w:rPr>
        <w:t>locus standi</w:t>
      </w:r>
      <w:r w:rsidRPr="001D3781">
        <w:rPr>
          <w:szCs w:val="24"/>
        </w:rPr>
        <w:t xml:space="preserve"> to be questioned.</w:t>
      </w:r>
    </w:p>
    <w:p w:rsidR="00A26677" w:rsidRPr="001D3781" w:rsidRDefault="00A26677" w:rsidP="001D3781">
      <w:pPr>
        <w:jc w:val="both"/>
        <w:rPr>
          <w:szCs w:val="24"/>
        </w:rPr>
      </w:pPr>
      <w:r w:rsidRPr="001D3781">
        <w:rPr>
          <w:szCs w:val="24"/>
        </w:rPr>
        <w:tab/>
        <w:t>It will be noted that the first defendant in paragraph three of its plea makes an attempt to deny that it was at fault and that the action should have been directed to its insurer</w:t>
      </w:r>
      <w:r w:rsidR="00430B96">
        <w:rPr>
          <w:szCs w:val="24"/>
        </w:rPr>
        <w:t>,</w:t>
      </w:r>
      <w:r w:rsidRPr="001D3781">
        <w:rPr>
          <w:szCs w:val="24"/>
        </w:rPr>
        <w:t xml:space="preserve"> an averment which its coun</w:t>
      </w:r>
      <w:r w:rsidR="001D3781" w:rsidRPr="001D3781">
        <w:rPr>
          <w:szCs w:val="24"/>
        </w:rPr>
        <w:t>s</w:t>
      </w:r>
      <w:r w:rsidRPr="001D3781">
        <w:rPr>
          <w:szCs w:val="24"/>
        </w:rPr>
        <w:t>el repeated in this application for absolution from the instance.</w:t>
      </w:r>
    </w:p>
    <w:p w:rsidR="00A26677" w:rsidRPr="001D3781" w:rsidRDefault="00A26677" w:rsidP="001D3781">
      <w:pPr>
        <w:jc w:val="both"/>
        <w:rPr>
          <w:szCs w:val="24"/>
        </w:rPr>
      </w:pPr>
      <w:r w:rsidRPr="001D3781">
        <w:rPr>
          <w:szCs w:val="24"/>
        </w:rPr>
        <w:tab/>
        <w:t>As already highlighted, this argument runs contrary to what the parties agreed on at the pre-trial conference.  In any event, on the issue of the proximate cause of the accident, the second defendant, who would be the only star witness for the first defendant unequivocally accepted liability in his own plea (see para 7 of his plea)</w:t>
      </w:r>
      <w:r w:rsidR="00F253AE" w:rsidRPr="001D3781">
        <w:rPr>
          <w:rStyle w:val="FootnoteReference"/>
          <w:szCs w:val="24"/>
        </w:rPr>
        <w:footnoteReference w:id="5"/>
      </w:r>
      <w:r w:rsidR="00F253AE" w:rsidRPr="001D3781">
        <w:rPr>
          <w:szCs w:val="24"/>
        </w:rPr>
        <w:t>.</w:t>
      </w:r>
    </w:p>
    <w:p w:rsidR="00F253AE" w:rsidRPr="001D3781" w:rsidRDefault="00F253AE" w:rsidP="001D3781">
      <w:pPr>
        <w:jc w:val="both"/>
        <w:rPr>
          <w:szCs w:val="24"/>
        </w:rPr>
      </w:pPr>
      <w:r w:rsidRPr="001D3781">
        <w:rPr>
          <w:szCs w:val="24"/>
        </w:rPr>
        <w:tab/>
        <w:t>The argument that the plaintiffs should have directed their claim to the first defendant’s insurer did not sound attractive at all.  I di</w:t>
      </w:r>
      <w:r w:rsidR="001D3781" w:rsidRPr="001D3781">
        <w:rPr>
          <w:szCs w:val="24"/>
        </w:rPr>
        <w:t>d</w:t>
      </w:r>
      <w:r w:rsidRPr="001D3781">
        <w:rPr>
          <w:szCs w:val="24"/>
        </w:rPr>
        <w:t xml:space="preserve"> not understand first defendant’s counsel to be arguing that the Road Traffic Act as currently framed takes away from an injured party its right to </w:t>
      </w:r>
      <w:r w:rsidR="0074639C" w:rsidRPr="001D3781">
        <w:rPr>
          <w:szCs w:val="24"/>
        </w:rPr>
        <w:t>initiate legal proceedings directly against the offending party.</w:t>
      </w:r>
    </w:p>
    <w:p w:rsidR="0074639C" w:rsidRPr="001D3781" w:rsidRDefault="0074639C" w:rsidP="00A272B8">
      <w:pPr>
        <w:ind w:firstLine="720"/>
      </w:pPr>
      <w:r w:rsidRPr="001D3781">
        <w:t>Imprecise pleadings are not a sound ground for seeking absolution from the instance, more so where evidence has been led beca</w:t>
      </w:r>
      <w:r w:rsidR="00430B96">
        <w:t>use any</w:t>
      </w:r>
      <w:r w:rsidRPr="001D3781">
        <w:t xml:space="preserve"> shortco</w:t>
      </w:r>
      <w:r w:rsidR="001D3781" w:rsidRPr="001D3781">
        <w:t>mings</w:t>
      </w:r>
      <w:r w:rsidR="00A272B8">
        <w:t xml:space="preserve"> in pleadings </w:t>
      </w:r>
      <w:r w:rsidR="001D3781" w:rsidRPr="001D3781">
        <w:t xml:space="preserve">are usually cured </w:t>
      </w:r>
      <w:r w:rsidR="001D3781" w:rsidRPr="001D3781">
        <w:lastRenderedPageBreak/>
        <w:t xml:space="preserve">by the </w:t>
      </w:r>
      <w:r w:rsidRPr="001D3781">
        <w:t>evidence led.  This was the precise point made by B</w:t>
      </w:r>
      <w:r w:rsidRPr="00A272B8">
        <w:rPr>
          <w:sz w:val="20"/>
          <w:szCs w:val="20"/>
        </w:rPr>
        <w:t>ARTLETT</w:t>
      </w:r>
      <w:r w:rsidRPr="001D3781">
        <w:t xml:space="preserve"> J in </w:t>
      </w:r>
      <w:r w:rsidRPr="001D3781">
        <w:rPr>
          <w:i/>
        </w:rPr>
        <w:t>Marais and Another</w:t>
      </w:r>
      <w:r w:rsidRPr="001D3781">
        <w:t xml:space="preserve"> v </w:t>
      </w:r>
      <w:r w:rsidRPr="001D3781">
        <w:rPr>
          <w:i/>
        </w:rPr>
        <w:t>Kennedy &amp; Anor</w:t>
      </w:r>
      <w:r w:rsidRPr="001D3781">
        <w:rPr>
          <w:rStyle w:val="FootnoteReference"/>
          <w:szCs w:val="24"/>
        </w:rPr>
        <w:footnoteReference w:id="6"/>
      </w:r>
      <w:r w:rsidRPr="001D3781">
        <w:t xml:space="preserve"> when he stated;</w:t>
      </w:r>
    </w:p>
    <w:p w:rsidR="0074639C" w:rsidRPr="001D3781" w:rsidRDefault="0074639C" w:rsidP="001D3781">
      <w:pPr>
        <w:pStyle w:val="NoSpacing"/>
        <w:ind w:left="1440"/>
        <w:jc w:val="both"/>
        <w:rPr>
          <w:szCs w:val="24"/>
        </w:rPr>
      </w:pPr>
      <w:r w:rsidRPr="001D3781">
        <w:rPr>
          <w:szCs w:val="24"/>
        </w:rPr>
        <w:t xml:space="preserve">“… where the </w:t>
      </w:r>
      <w:r w:rsidR="00430B96">
        <w:rPr>
          <w:szCs w:val="24"/>
        </w:rPr>
        <w:t xml:space="preserve">court </w:t>
      </w:r>
      <w:r w:rsidRPr="001D3781">
        <w:rPr>
          <w:szCs w:val="24"/>
        </w:rPr>
        <w:t xml:space="preserve">had all relevant evidence before </w:t>
      </w:r>
      <w:r w:rsidR="00430B96">
        <w:rPr>
          <w:szCs w:val="24"/>
        </w:rPr>
        <w:t>it</w:t>
      </w:r>
      <w:r w:rsidRPr="001D3781">
        <w:rPr>
          <w:szCs w:val="24"/>
        </w:rPr>
        <w:t>, it should not place undue emphasise on pleadings but rather decide the case on the real issue</w:t>
      </w:r>
      <w:r w:rsidR="00430B96">
        <w:rPr>
          <w:szCs w:val="24"/>
        </w:rPr>
        <w:t>s</w:t>
      </w:r>
      <w:r w:rsidRPr="001D3781">
        <w:rPr>
          <w:szCs w:val="24"/>
        </w:rPr>
        <w:t xml:space="preserve"> canvassed during the course of the trial.”</w:t>
      </w:r>
    </w:p>
    <w:p w:rsidR="0074639C" w:rsidRPr="001D3781" w:rsidRDefault="0074639C" w:rsidP="001D3781">
      <w:pPr>
        <w:jc w:val="both"/>
        <w:rPr>
          <w:szCs w:val="24"/>
        </w:rPr>
      </w:pPr>
      <w:r w:rsidRPr="001D3781">
        <w:rPr>
          <w:szCs w:val="24"/>
        </w:rPr>
        <w:tab/>
        <w:t>At the end of it all, one gets the impression that the application for absolution from the instance was either meant to test water</w:t>
      </w:r>
      <w:r w:rsidR="00A272B8">
        <w:rPr>
          <w:szCs w:val="24"/>
        </w:rPr>
        <w:t>s</w:t>
      </w:r>
      <w:r w:rsidRPr="001D3781">
        <w:rPr>
          <w:szCs w:val="24"/>
        </w:rPr>
        <w:t xml:space="preserve"> or a desperate attempt to avoid placing the first defendant on its defence.  I am reminded of the position taken by P</w:t>
      </w:r>
      <w:r w:rsidRPr="00A272B8">
        <w:rPr>
          <w:sz w:val="20"/>
          <w:szCs w:val="20"/>
        </w:rPr>
        <w:t>ATEL</w:t>
      </w:r>
      <w:r w:rsidRPr="001D3781">
        <w:rPr>
          <w:szCs w:val="24"/>
        </w:rPr>
        <w:t xml:space="preserve"> J (as he then was) in the case of </w:t>
      </w:r>
      <w:r w:rsidRPr="001D3781">
        <w:rPr>
          <w:i/>
          <w:szCs w:val="24"/>
        </w:rPr>
        <w:t>Many</w:t>
      </w:r>
      <w:r w:rsidR="001D3781" w:rsidRPr="001D3781">
        <w:rPr>
          <w:i/>
          <w:szCs w:val="24"/>
        </w:rPr>
        <w:t>a</w:t>
      </w:r>
      <w:r w:rsidR="00B43C26" w:rsidRPr="001D3781">
        <w:rPr>
          <w:i/>
          <w:szCs w:val="24"/>
        </w:rPr>
        <w:t>nga</w:t>
      </w:r>
      <w:r w:rsidR="00B43C26" w:rsidRPr="001D3781">
        <w:rPr>
          <w:szCs w:val="24"/>
        </w:rPr>
        <w:t xml:space="preserve"> v </w:t>
      </w:r>
      <w:r w:rsidR="00B43C26" w:rsidRPr="001D3781">
        <w:rPr>
          <w:i/>
          <w:szCs w:val="24"/>
        </w:rPr>
        <w:t>Raja Dry Cleaners and Steam Laundry (Pvt) Ltd</w:t>
      </w:r>
      <w:r w:rsidR="00A272B8">
        <w:rPr>
          <w:rStyle w:val="FootnoteReference"/>
          <w:i/>
          <w:szCs w:val="24"/>
        </w:rPr>
        <w:footnoteReference w:id="7"/>
      </w:r>
      <w:r w:rsidR="00B43C26" w:rsidRPr="001D3781">
        <w:rPr>
          <w:szCs w:val="24"/>
        </w:rPr>
        <w:t xml:space="preserve">  a case referred to by </w:t>
      </w:r>
      <w:r w:rsidR="00B43C26" w:rsidRPr="001D3781">
        <w:rPr>
          <w:i/>
          <w:szCs w:val="24"/>
        </w:rPr>
        <w:t>Mr Majoko</w:t>
      </w:r>
      <w:r w:rsidR="00B43C26" w:rsidRPr="001D3781">
        <w:rPr>
          <w:szCs w:val="24"/>
        </w:rPr>
        <w:t xml:space="preserve"> where </w:t>
      </w:r>
      <w:r w:rsidR="00A272B8">
        <w:rPr>
          <w:szCs w:val="24"/>
        </w:rPr>
        <w:t>t</w:t>
      </w:r>
      <w:r w:rsidR="00B43C26" w:rsidRPr="001D3781">
        <w:rPr>
          <w:szCs w:val="24"/>
        </w:rPr>
        <w:t xml:space="preserve">he </w:t>
      </w:r>
      <w:r w:rsidR="00A272B8">
        <w:rPr>
          <w:szCs w:val="24"/>
        </w:rPr>
        <w:t xml:space="preserve">learned judge </w:t>
      </w:r>
      <w:r w:rsidR="00B43C26" w:rsidRPr="001D3781">
        <w:rPr>
          <w:szCs w:val="24"/>
        </w:rPr>
        <w:t>stated:</w:t>
      </w:r>
    </w:p>
    <w:p w:rsidR="00B43C26" w:rsidRPr="001D3781" w:rsidRDefault="001D3781" w:rsidP="001D3781">
      <w:pPr>
        <w:pStyle w:val="NoSpacing"/>
        <w:ind w:left="720"/>
        <w:jc w:val="both"/>
        <w:rPr>
          <w:szCs w:val="24"/>
        </w:rPr>
      </w:pPr>
      <w:r w:rsidRPr="001D3781">
        <w:rPr>
          <w:szCs w:val="24"/>
        </w:rPr>
        <w:t>“</w:t>
      </w:r>
      <w:r w:rsidR="00B43C26" w:rsidRPr="001D3781">
        <w:rPr>
          <w:szCs w:val="24"/>
        </w:rPr>
        <w:t>In principle a reticent defendant should not be allowed to shelter behind the procedure of absolution from the instance.  And in practice, courts are loath to decide upon questions of fact without hearing evidence from both sides, and have usually inclined towards allowing the case to proceed.</w:t>
      </w:r>
      <w:r w:rsidRPr="001D3781">
        <w:rPr>
          <w:szCs w:val="24"/>
        </w:rPr>
        <w:t>”</w:t>
      </w:r>
    </w:p>
    <w:p w:rsidR="00B43C26" w:rsidRPr="001D3781" w:rsidRDefault="00B43C26" w:rsidP="001D3781">
      <w:pPr>
        <w:jc w:val="both"/>
        <w:rPr>
          <w:szCs w:val="24"/>
        </w:rPr>
      </w:pPr>
      <w:r w:rsidRPr="001D3781">
        <w:rPr>
          <w:szCs w:val="24"/>
        </w:rPr>
        <w:tab/>
        <w:t>In conclusion, I am of the strong conviction that this application ought not to have been made at all.  It was unwarranted.</w:t>
      </w:r>
    </w:p>
    <w:p w:rsidR="00B43C26" w:rsidRPr="001D3781" w:rsidRDefault="00B43C26" w:rsidP="001D3781">
      <w:pPr>
        <w:jc w:val="both"/>
        <w:rPr>
          <w:szCs w:val="24"/>
        </w:rPr>
      </w:pPr>
      <w:r w:rsidRPr="001D3781">
        <w:rPr>
          <w:szCs w:val="24"/>
        </w:rPr>
        <w:tab/>
        <w:t>The application is dismissed with costs.</w:t>
      </w:r>
    </w:p>
    <w:p w:rsidR="00B43C26" w:rsidRDefault="00B43C26" w:rsidP="001D3781">
      <w:pPr>
        <w:jc w:val="both"/>
        <w:rPr>
          <w:szCs w:val="24"/>
        </w:rPr>
      </w:pPr>
    </w:p>
    <w:p w:rsidR="001D3781" w:rsidRPr="001D3781" w:rsidRDefault="001D3781" w:rsidP="001D3781">
      <w:pPr>
        <w:jc w:val="both"/>
        <w:rPr>
          <w:szCs w:val="24"/>
        </w:rPr>
      </w:pPr>
    </w:p>
    <w:p w:rsidR="00B43C26" w:rsidRPr="001D3781" w:rsidRDefault="00B43C26" w:rsidP="001D3781">
      <w:pPr>
        <w:pStyle w:val="NoSpacing"/>
        <w:jc w:val="both"/>
        <w:rPr>
          <w:szCs w:val="24"/>
        </w:rPr>
      </w:pPr>
      <w:r w:rsidRPr="001D3781">
        <w:rPr>
          <w:i/>
          <w:szCs w:val="24"/>
        </w:rPr>
        <w:t>Messrs Majoko &amp; Majoko</w:t>
      </w:r>
      <w:r w:rsidRPr="001D3781">
        <w:rPr>
          <w:szCs w:val="24"/>
        </w:rPr>
        <w:t>, plaintiffs’ legal practitioners</w:t>
      </w:r>
    </w:p>
    <w:p w:rsidR="00B43C26" w:rsidRPr="001D3781" w:rsidRDefault="00B43C26" w:rsidP="001D3781">
      <w:pPr>
        <w:pStyle w:val="NoSpacing"/>
        <w:jc w:val="both"/>
        <w:rPr>
          <w:szCs w:val="24"/>
        </w:rPr>
      </w:pPr>
      <w:r w:rsidRPr="001D3781">
        <w:rPr>
          <w:i/>
          <w:szCs w:val="24"/>
        </w:rPr>
        <w:t>Machiridza Law Chambers,</w:t>
      </w:r>
      <w:r w:rsidRPr="001D3781">
        <w:rPr>
          <w:szCs w:val="24"/>
        </w:rPr>
        <w:t xml:space="preserve"> 1</w:t>
      </w:r>
      <w:r w:rsidRPr="001D3781">
        <w:rPr>
          <w:szCs w:val="24"/>
          <w:vertAlign w:val="superscript"/>
        </w:rPr>
        <w:t>st</w:t>
      </w:r>
      <w:r w:rsidRPr="001D3781">
        <w:rPr>
          <w:szCs w:val="24"/>
        </w:rPr>
        <w:t xml:space="preserve"> defendant’s legal practitioners</w:t>
      </w:r>
    </w:p>
    <w:sectPr w:rsidR="00B43C26" w:rsidRPr="001D378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9CE" w:rsidRDefault="005E69CE" w:rsidP="00824319">
      <w:pPr>
        <w:spacing w:before="0" w:after="0" w:line="240" w:lineRule="auto"/>
      </w:pPr>
      <w:r>
        <w:separator/>
      </w:r>
    </w:p>
  </w:endnote>
  <w:endnote w:type="continuationSeparator" w:id="1">
    <w:p w:rsidR="005E69CE" w:rsidRDefault="005E69CE" w:rsidP="0082431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9CE" w:rsidRDefault="005E69CE" w:rsidP="00824319">
      <w:pPr>
        <w:spacing w:before="0" w:after="0" w:line="240" w:lineRule="auto"/>
      </w:pPr>
      <w:r>
        <w:separator/>
      </w:r>
    </w:p>
  </w:footnote>
  <w:footnote w:type="continuationSeparator" w:id="1">
    <w:p w:rsidR="005E69CE" w:rsidRDefault="005E69CE" w:rsidP="00824319">
      <w:pPr>
        <w:spacing w:before="0" w:after="0" w:line="240" w:lineRule="auto"/>
      </w:pPr>
      <w:r>
        <w:continuationSeparator/>
      </w:r>
    </w:p>
  </w:footnote>
  <w:footnote w:id="2">
    <w:p w:rsidR="00824319" w:rsidRDefault="00824319">
      <w:pPr>
        <w:pStyle w:val="FootnoteText"/>
      </w:pPr>
      <w:r>
        <w:rPr>
          <w:rStyle w:val="FootnoteReference"/>
        </w:rPr>
        <w:footnoteRef/>
      </w:r>
      <w:r>
        <w:t xml:space="preserve"> 1971 (1) RLR 1 (A) at p 5D</w:t>
      </w:r>
    </w:p>
  </w:footnote>
  <w:footnote w:id="3">
    <w:p w:rsidR="00824319" w:rsidRDefault="00824319">
      <w:pPr>
        <w:pStyle w:val="FootnoteText"/>
      </w:pPr>
      <w:r>
        <w:rPr>
          <w:rStyle w:val="FootnoteReference"/>
        </w:rPr>
        <w:footnoteRef/>
      </w:r>
      <w:r>
        <w:t xml:space="preserve"> 1994 (2) ZLR 341 (S) at p 343B-C</w:t>
      </w:r>
    </w:p>
  </w:footnote>
  <w:footnote w:id="4">
    <w:p w:rsidR="00A26677" w:rsidRDefault="00A26677">
      <w:pPr>
        <w:pStyle w:val="FootnoteText"/>
      </w:pPr>
      <w:r>
        <w:rPr>
          <w:rStyle w:val="FootnoteReference"/>
        </w:rPr>
        <w:footnoteRef/>
      </w:r>
      <w:r>
        <w:t xml:space="preserve"> </w:t>
      </w:r>
      <w:r w:rsidR="00430B96">
        <w:t>2009 (2) ZLR 372 at 384E</w:t>
      </w:r>
    </w:p>
  </w:footnote>
  <w:footnote w:id="5">
    <w:p w:rsidR="00F253AE" w:rsidRDefault="00F253AE">
      <w:pPr>
        <w:pStyle w:val="FootnoteText"/>
      </w:pPr>
      <w:r>
        <w:rPr>
          <w:rStyle w:val="FootnoteReference"/>
        </w:rPr>
        <w:footnoteRef/>
      </w:r>
      <w:r>
        <w:t xml:space="preserve"> Page 27 of annexure 1</w:t>
      </w:r>
    </w:p>
  </w:footnote>
  <w:footnote w:id="6">
    <w:p w:rsidR="0074639C" w:rsidRDefault="0074639C">
      <w:pPr>
        <w:pStyle w:val="FootnoteText"/>
      </w:pPr>
      <w:r>
        <w:rPr>
          <w:rStyle w:val="FootnoteReference"/>
        </w:rPr>
        <w:footnoteRef/>
      </w:r>
      <w:r>
        <w:t xml:space="preserve"> 1996 (2) ZLR 610 at 629B</w:t>
      </w:r>
    </w:p>
  </w:footnote>
  <w:footnote w:id="7">
    <w:p w:rsidR="00A272B8" w:rsidRDefault="00A272B8">
      <w:pPr>
        <w:pStyle w:val="FootnoteText"/>
      </w:pPr>
      <w:r>
        <w:rPr>
          <w:rStyle w:val="FootnoteReference"/>
        </w:rPr>
        <w:footnoteRef/>
      </w:r>
      <w:r>
        <w:t xml:space="preserve"> 1984 (2) ZLR 151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8716"/>
      <w:docPartObj>
        <w:docPartGallery w:val="Page Numbers (Top of Page)"/>
        <w:docPartUnique/>
      </w:docPartObj>
    </w:sdtPr>
    <w:sdtContent>
      <w:p w:rsidR="00B3316E" w:rsidRDefault="0028614A">
        <w:pPr>
          <w:pStyle w:val="Header"/>
          <w:jc w:val="right"/>
        </w:pPr>
        <w:fldSimple w:instr=" PAGE   \* MERGEFORMAT ">
          <w:r w:rsidR="00CC0666">
            <w:rPr>
              <w:noProof/>
            </w:rPr>
            <w:t>5</w:t>
          </w:r>
        </w:fldSimple>
      </w:p>
      <w:p w:rsidR="00B3316E" w:rsidRDefault="00B3316E" w:rsidP="00B3316E">
        <w:pPr>
          <w:pStyle w:val="NoSpacing"/>
          <w:ind w:left="7920"/>
        </w:pPr>
        <w:r>
          <w:t xml:space="preserve">     HB 208/19</w:t>
        </w:r>
      </w:p>
      <w:p w:rsidR="00B3316E" w:rsidRDefault="00B3316E" w:rsidP="00B3316E">
        <w:pPr>
          <w:pStyle w:val="NoSpacing"/>
          <w:ind w:left="7920"/>
        </w:pPr>
        <w:r>
          <w:t xml:space="preserve">    HC 981/16</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18C4"/>
    <w:rsid w:val="001D126B"/>
    <w:rsid w:val="001D3781"/>
    <w:rsid w:val="001F123F"/>
    <w:rsid w:val="0028614A"/>
    <w:rsid w:val="002C0063"/>
    <w:rsid w:val="002C7F8A"/>
    <w:rsid w:val="00345066"/>
    <w:rsid w:val="003A3365"/>
    <w:rsid w:val="003E5BAA"/>
    <w:rsid w:val="00430B96"/>
    <w:rsid w:val="00477B02"/>
    <w:rsid w:val="004D18C4"/>
    <w:rsid w:val="004F4BED"/>
    <w:rsid w:val="0054317D"/>
    <w:rsid w:val="00574F72"/>
    <w:rsid w:val="005E69CE"/>
    <w:rsid w:val="0068662E"/>
    <w:rsid w:val="006A03C9"/>
    <w:rsid w:val="00701C30"/>
    <w:rsid w:val="0074639C"/>
    <w:rsid w:val="007B49A6"/>
    <w:rsid w:val="007D0B26"/>
    <w:rsid w:val="007D2790"/>
    <w:rsid w:val="00824319"/>
    <w:rsid w:val="008A7672"/>
    <w:rsid w:val="008C3209"/>
    <w:rsid w:val="009C7368"/>
    <w:rsid w:val="009E5C1A"/>
    <w:rsid w:val="00A26677"/>
    <w:rsid w:val="00A272B8"/>
    <w:rsid w:val="00A50BC8"/>
    <w:rsid w:val="00A873A6"/>
    <w:rsid w:val="00B103C2"/>
    <w:rsid w:val="00B3316E"/>
    <w:rsid w:val="00B43C26"/>
    <w:rsid w:val="00B93B9D"/>
    <w:rsid w:val="00C1306F"/>
    <w:rsid w:val="00C46D70"/>
    <w:rsid w:val="00C61900"/>
    <w:rsid w:val="00CC0666"/>
    <w:rsid w:val="00CC6DC0"/>
    <w:rsid w:val="00D20B4C"/>
    <w:rsid w:val="00D7159B"/>
    <w:rsid w:val="00E10C27"/>
    <w:rsid w:val="00F25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FootnoteText">
    <w:name w:val="footnote text"/>
    <w:basedOn w:val="Normal"/>
    <w:link w:val="FootnoteTextChar"/>
    <w:uiPriority w:val="99"/>
    <w:semiHidden/>
    <w:unhideWhenUsed/>
    <w:rsid w:val="0082431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24319"/>
    <w:rPr>
      <w:rFonts w:ascii="Times New Roman" w:hAnsi="Times New Roman"/>
      <w:sz w:val="20"/>
      <w:szCs w:val="20"/>
    </w:rPr>
  </w:style>
  <w:style w:type="character" w:styleId="FootnoteReference">
    <w:name w:val="footnote reference"/>
    <w:basedOn w:val="DefaultParagraphFont"/>
    <w:uiPriority w:val="99"/>
    <w:semiHidden/>
    <w:unhideWhenUsed/>
    <w:rsid w:val="00824319"/>
    <w:rPr>
      <w:vertAlign w:val="superscript"/>
    </w:rPr>
  </w:style>
  <w:style w:type="paragraph" w:styleId="Header">
    <w:name w:val="header"/>
    <w:basedOn w:val="Normal"/>
    <w:link w:val="HeaderChar"/>
    <w:uiPriority w:val="99"/>
    <w:unhideWhenUsed/>
    <w:rsid w:val="00B3316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16E"/>
    <w:rPr>
      <w:rFonts w:ascii="Times New Roman" w:hAnsi="Times New Roman"/>
      <w:sz w:val="24"/>
    </w:rPr>
  </w:style>
  <w:style w:type="paragraph" w:styleId="Footer">
    <w:name w:val="footer"/>
    <w:basedOn w:val="Normal"/>
    <w:link w:val="FooterChar"/>
    <w:uiPriority w:val="99"/>
    <w:semiHidden/>
    <w:unhideWhenUsed/>
    <w:rsid w:val="00B3316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3316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42A5-F323-48F9-BCB1-7B343120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11</cp:revision>
  <cp:lastPrinted>2020-01-07T07:27:00Z</cp:lastPrinted>
  <dcterms:created xsi:type="dcterms:W3CDTF">2019-12-24T06:08:00Z</dcterms:created>
  <dcterms:modified xsi:type="dcterms:W3CDTF">2020-01-07T07:29:00Z</dcterms:modified>
</cp:coreProperties>
</file>