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C5431" w14:textId="48878F8A" w:rsidR="0024136A" w:rsidRPr="00F239A7" w:rsidRDefault="0024136A" w:rsidP="000611D7">
      <w:pPr>
        <w:spacing w:after="0" w:line="240" w:lineRule="auto"/>
        <w:rPr>
          <w:rFonts w:ascii="Times New Roman" w:hAnsi="Times New Roman" w:cs="Times New Roman"/>
          <w:sz w:val="24"/>
          <w:szCs w:val="24"/>
        </w:rPr>
      </w:pPr>
      <w:bookmarkStart w:id="0" w:name="_GoBack"/>
      <w:bookmarkEnd w:id="0"/>
      <w:r w:rsidRPr="00F239A7">
        <w:rPr>
          <w:rFonts w:ascii="Times New Roman" w:hAnsi="Times New Roman" w:cs="Times New Roman"/>
          <w:sz w:val="24"/>
          <w:szCs w:val="24"/>
        </w:rPr>
        <w:t>HUNGWE MINING SYNDICATE</w:t>
      </w:r>
      <w:r w:rsidR="00DF0848" w:rsidRPr="00F239A7">
        <w:rPr>
          <w:rFonts w:ascii="Times New Roman" w:hAnsi="Times New Roman" w:cs="Times New Roman"/>
          <w:sz w:val="24"/>
          <w:szCs w:val="24"/>
        </w:rPr>
        <w:t xml:space="preserve">                                   </w:t>
      </w:r>
      <w:r w:rsidR="000611D7">
        <w:rPr>
          <w:rFonts w:ascii="Times New Roman" w:hAnsi="Times New Roman" w:cs="Times New Roman"/>
          <w:sz w:val="24"/>
          <w:szCs w:val="24"/>
        </w:rPr>
        <w:t xml:space="preserve">                               </w:t>
      </w:r>
    </w:p>
    <w:p w14:paraId="4EE6C107" w14:textId="5DA85A60"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503E1E05" w14:textId="1A74E0CA"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WORKERS CONSORTIUM MINING SYNDICATE</w:t>
      </w:r>
    </w:p>
    <w:p w14:paraId="7A12869F" w14:textId="29AA48C3"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6C8647AF" w14:textId="5822EBC6"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MARTINMANG MINING SYNDICATE</w:t>
      </w:r>
    </w:p>
    <w:p w14:paraId="7678FC9B" w14:textId="650FCD69"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32E3E1DB" w14:textId="1F6A91B8"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MASHONALAND MINING SYNDICATE</w:t>
      </w:r>
    </w:p>
    <w:p w14:paraId="6B5C5909" w14:textId="7313F31D"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6E2D0772" w14:textId="005F8E05" w:rsidR="0024136A" w:rsidRPr="00F239A7" w:rsidRDefault="0024136A" w:rsidP="000611D7">
      <w:pPr>
        <w:tabs>
          <w:tab w:val="left" w:pos="6270"/>
        </w:tabs>
        <w:spacing w:after="0" w:line="240" w:lineRule="auto"/>
        <w:rPr>
          <w:rFonts w:ascii="Times New Roman" w:hAnsi="Times New Roman" w:cs="Times New Roman"/>
          <w:sz w:val="24"/>
          <w:szCs w:val="24"/>
        </w:rPr>
      </w:pPr>
      <w:r w:rsidRPr="00F239A7">
        <w:rPr>
          <w:rFonts w:ascii="Times New Roman" w:hAnsi="Times New Roman" w:cs="Times New Roman"/>
          <w:sz w:val="24"/>
          <w:szCs w:val="24"/>
        </w:rPr>
        <w:t>VISION 2030 MINING SYNDICATE</w:t>
      </w:r>
      <w:r w:rsidR="000611D7">
        <w:rPr>
          <w:rFonts w:ascii="Times New Roman" w:hAnsi="Times New Roman" w:cs="Times New Roman"/>
          <w:sz w:val="24"/>
          <w:szCs w:val="24"/>
        </w:rPr>
        <w:tab/>
      </w:r>
    </w:p>
    <w:p w14:paraId="50839BE5" w14:textId="23842930"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03503FD2" w14:textId="72E35F54"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KAT MINING SYNDICATE</w:t>
      </w:r>
    </w:p>
    <w:p w14:paraId="38AD11EA" w14:textId="4F3B385D"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09654F2E" w14:textId="03B39ED0"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BATMAN MINING SYNDICATE</w:t>
      </w:r>
    </w:p>
    <w:p w14:paraId="0E9B463F" w14:textId="186C4849"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0EEDB8C8" w14:textId="10B5A056"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SANDSPRING MINING SYNDICATE</w:t>
      </w:r>
    </w:p>
    <w:p w14:paraId="50D6863B" w14:textId="7151C077"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7CE0FA81" w14:textId="640317A5"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NUCLEOUS MINING SYNDICATE</w:t>
      </w:r>
    </w:p>
    <w:p w14:paraId="5DF725F1" w14:textId="59755689"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194891DD" w14:textId="040E9C93"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RUFARO MINING SYNDICATE</w:t>
      </w:r>
    </w:p>
    <w:p w14:paraId="1010940B" w14:textId="5DE63DBF"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58F883ED" w14:textId="111D6121" w:rsidR="0024136A"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COMMONWEALTH MINING SYNDICATE</w:t>
      </w:r>
    </w:p>
    <w:p w14:paraId="50EA06FE" w14:textId="46015A29" w:rsidR="0024136A"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24136A" w:rsidRPr="00F239A7">
        <w:rPr>
          <w:rFonts w:ascii="Times New Roman" w:hAnsi="Times New Roman" w:cs="Times New Roman"/>
          <w:sz w:val="24"/>
          <w:szCs w:val="24"/>
        </w:rPr>
        <w:t>nd</w:t>
      </w:r>
    </w:p>
    <w:p w14:paraId="07FA75AB" w14:textId="2A325BD8" w:rsidR="000405EF" w:rsidRPr="00F239A7" w:rsidRDefault="0024136A"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MMS MINING SYNDICATE</w:t>
      </w:r>
    </w:p>
    <w:p w14:paraId="1FE73D91" w14:textId="0FAB8FBF" w:rsidR="000405EF"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405EF" w:rsidRPr="00F239A7">
        <w:rPr>
          <w:rFonts w:ascii="Times New Roman" w:hAnsi="Times New Roman" w:cs="Times New Roman"/>
          <w:sz w:val="24"/>
          <w:szCs w:val="24"/>
        </w:rPr>
        <w:t>nd</w:t>
      </w:r>
    </w:p>
    <w:p w14:paraId="5C01B382" w14:textId="4831C8AC" w:rsidR="000405EF"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STONEMABLE MINING SYNDICATE</w:t>
      </w:r>
    </w:p>
    <w:p w14:paraId="485072D8" w14:textId="2A5DE29E" w:rsidR="000405EF"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405EF" w:rsidRPr="00F239A7">
        <w:rPr>
          <w:rFonts w:ascii="Times New Roman" w:hAnsi="Times New Roman" w:cs="Times New Roman"/>
          <w:sz w:val="24"/>
          <w:szCs w:val="24"/>
        </w:rPr>
        <w:t>nd</w:t>
      </w:r>
    </w:p>
    <w:p w14:paraId="6A3221FB" w14:textId="32405E17" w:rsidR="000405EF"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JCB MINING SYNDICATE</w:t>
      </w:r>
    </w:p>
    <w:p w14:paraId="315B204D" w14:textId="5C5E10DB" w:rsidR="000405EF"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405EF" w:rsidRPr="00F239A7">
        <w:rPr>
          <w:rFonts w:ascii="Times New Roman" w:hAnsi="Times New Roman" w:cs="Times New Roman"/>
          <w:sz w:val="24"/>
          <w:szCs w:val="24"/>
        </w:rPr>
        <w:t>nd</w:t>
      </w:r>
    </w:p>
    <w:p w14:paraId="790E5DEC" w14:textId="3D9A9B77" w:rsidR="000405EF"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MADSAY INVESTMENT PRIVATE LIMITED</w:t>
      </w:r>
    </w:p>
    <w:p w14:paraId="373621CE" w14:textId="62D2D0A0" w:rsidR="000405EF"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405EF" w:rsidRPr="00F239A7">
        <w:rPr>
          <w:rFonts w:ascii="Times New Roman" w:hAnsi="Times New Roman" w:cs="Times New Roman"/>
          <w:sz w:val="24"/>
          <w:szCs w:val="24"/>
        </w:rPr>
        <w:t>nd</w:t>
      </w:r>
    </w:p>
    <w:p w14:paraId="6555499B" w14:textId="6721E5EB" w:rsidR="000405EF"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LICANTA MINING PRIVATE LIMITED</w:t>
      </w:r>
    </w:p>
    <w:p w14:paraId="13F5A73D" w14:textId="3B3E5FB7" w:rsidR="000405EF"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405EF" w:rsidRPr="00F239A7">
        <w:rPr>
          <w:rFonts w:ascii="Times New Roman" w:hAnsi="Times New Roman" w:cs="Times New Roman"/>
          <w:sz w:val="24"/>
          <w:szCs w:val="24"/>
        </w:rPr>
        <w:t>nd</w:t>
      </w:r>
    </w:p>
    <w:p w14:paraId="07FBCF77" w14:textId="72AE5D10" w:rsidR="000405EF"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SOS WEST MINING SYNDI</w:t>
      </w:r>
    </w:p>
    <w:p w14:paraId="6519D170" w14:textId="63E36F79" w:rsidR="00CB77BD" w:rsidRPr="00F239A7" w:rsidRDefault="00C45B59"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CB77BD" w:rsidRPr="00F239A7">
        <w:rPr>
          <w:rFonts w:ascii="Times New Roman" w:hAnsi="Times New Roman" w:cs="Times New Roman"/>
          <w:sz w:val="24"/>
          <w:szCs w:val="24"/>
        </w:rPr>
        <w:t>nd</w:t>
      </w:r>
    </w:p>
    <w:p w14:paraId="0FDB7512" w14:textId="68810AF8" w:rsidR="000405EF"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GUDGAL MINING SYNDICATE</w:t>
      </w:r>
    </w:p>
    <w:p w14:paraId="7C84D59B" w14:textId="55F8593B" w:rsidR="000405EF" w:rsidRPr="00F239A7" w:rsidRDefault="006F7091"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405EF" w:rsidRPr="00F239A7">
        <w:rPr>
          <w:rFonts w:ascii="Times New Roman" w:hAnsi="Times New Roman" w:cs="Times New Roman"/>
          <w:sz w:val="24"/>
          <w:szCs w:val="24"/>
        </w:rPr>
        <w:t>nd</w:t>
      </w:r>
    </w:p>
    <w:p w14:paraId="189261B2" w14:textId="1B2AEB8A" w:rsidR="000A53D2" w:rsidRPr="00F239A7" w:rsidRDefault="000405EF"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GABRIELLA MINING</w:t>
      </w:r>
      <w:r w:rsidR="00CB77BD" w:rsidRPr="00F239A7">
        <w:rPr>
          <w:rFonts w:ascii="Times New Roman" w:hAnsi="Times New Roman" w:cs="Times New Roman"/>
          <w:sz w:val="24"/>
          <w:szCs w:val="24"/>
        </w:rPr>
        <w:t xml:space="preserve">  SYNDICATE</w:t>
      </w:r>
    </w:p>
    <w:p w14:paraId="511CCB3F" w14:textId="14033C97" w:rsidR="00CB77BD" w:rsidRPr="00F239A7" w:rsidRDefault="00CB77BD"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versus</w:t>
      </w:r>
    </w:p>
    <w:p w14:paraId="42BAA169" w14:textId="77777777" w:rsidR="000A53D2" w:rsidRPr="00F239A7" w:rsidRDefault="000A53D2"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THE MINISTRY OF MINES AND MINING</w:t>
      </w:r>
    </w:p>
    <w:p w14:paraId="0CCF1862" w14:textId="77777777" w:rsidR="000A53D2" w:rsidRPr="00F239A7" w:rsidRDefault="000A53D2"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DEVELOPMENT</w:t>
      </w:r>
    </w:p>
    <w:p w14:paraId="7FE715E7" w14:textId="42F03CF3" w:rsidR="000A53D2" w:rsidRPr="00F239A7" w:rsidRDefault="006F7091"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A53D2" w:rsidRPr="00F239A7">
        <w:rPr>
          <w:rFonts w:ascii="Times New Roman" w:hAnsi="Times New Roman" w:cs="Times New Roman"/>
          <w:sz w:val="24"/>
          <w:szCs w:val="24"/>
        </w:rPr>
        <w:t>nd</w:t>
      </w:r>
    </w:p>
    <w:p w14:paraId="5F4048DC" w14:textId="77777777" w:rsidR="000A53D2" w:rsidRPr="00F239A7" w:rsidRDefault="000A53D2"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THE CHIEF GOVERNMENT MINING ENGINEER</w:t>
      </w:r>
    </w:p>
    <w:p w14:paraId="40380932" w14:textId="79CF2E04" w:rsidR="000A53D2" w:rsidRPr="00F239A7" w:rsidRDefault="006F7091"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A53D2" w:rsidRPr="00F239A7">
        <w:rPr>
          <w:rFonts w:ascii="Times New Roman" w:hAnsi="Times New Roman" w:cs="Times New Roman"/>
          <w:sz w:val="24"/>
          <w:szCs w:val="24"/>
        </w:rPr>
        <w:t>nd</w:t>
      </w:r>
    </w:p>
    <w:p w14:paraId="40C5A4DF" w14:textId="77777777" w:rsidR="000A53D2" w:rsidRPr="00F239A7" w:rsidRDefault="000A53D2"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ASSISTANT COMMISSINER ENOCK MASIMBA</w:t>
      </w:r>
    </w:p>
    <w:p w14:paraId="7952D374" w14:textId="5F59672C" w:rsidR="000A53D2" w:rsidRPr="00F239A7" w:rsidRDefault="006F7091"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w:t>
      </w:r>
      <w:r w:rsidR="000A53D2" w:rsidRPr="00F239A7">
        <w:rPr>
          <w:rFonts w:ascii="Times New Roman" w:hAnsi="Times New Roman" w:cs="Times New Roman"/>
          <w:sz w:val="24"/>
          <w:szCs w:val="24"/>
        </w:rPr>
        <w:t>nd</w:t>
      </w:r>
    </w:p>
    <w:p w14:paraId="7986FE2D" w14:textId="77777777" w:rsidR="000A53D2" w:rsidRPr="00F239A7" w:rsidRDefault="000A53D2"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ASSISTANT COMMISSIONER BAZIBI DUBE</w:t>
      </w:r>
    </w:p>
    <w:p w14:paraId="4701FAA8" w14:textId="0D532467" w:rsidR="000A53D2" w:rsidRPr="00F239A7" w:rsidRDefault="006F7091"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and</w:t>
      </w:r>
    </w:p>
    <w:p w14:paraId="1C8035C6" w14:textId="2BC9FADB" w:rsidR="006F7091" w:rsidRPr="00F239A7" w:rsidRDefault="006F7091"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MAZOWE MINING COMPANY</w:t>
      </w:r>
    </w:p>
    <w:p w14:paraId="30C196DB" w14:textId="77777777" w:rsidR="00DF0848" w:rsidRPr="00F239A7" w:rsidRDefault="00DF0848" w:rsidP="000611D7">
      <w:pPr>
        <w:spacing w:after="0" w:line="240" w:lineRule="auto"/>
        <w:rPr>
          <w:rFonts w:ascii="Times New Roman" w:hAnsi="Times New Roman" w:cs="Times New Roman"/>
          <w:sz w:val="24"/>
          <w:szCs w:val="24"/>
        </w:rPr>
      </w:pPr>
    </w:p>
    <w:p w14:paraId="5C145F1F" w14:textId="77777777" w:rsidR="000611D7" w:rsidRDefault="000611D7" w:rsidP="000A53D2">
      <w:pPr>
        <w:rPr>
          <w:rFonts w:ascii="Times New Roman" w:hAnsi="Times New Roman" w:cs="Times New Roman"/>
          <w:sz w:val="24"/>
          <w:szCs w:val="24"/>
        </w:rPr>
      </w:pPr>
    </w:p>
    <w:p w14:paraId="5B70F22A" w14:textId="76FB4F49" w:rsidR="00DF0848" w:rsidRPr="00F239A7" w:rsidRDefault="00DF0848"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HIGH COURT OF ZIMBABWE</w:t>
      </w:r>
    </w:p>
    <w:p w14:paraId="661BE228" w14:textId="0B8636FE" w:rsidR="00DF0848" w:rsidRPr="000611D7" w:rsidRDefault="00DF0848" w:rsidP="000611D7">
      <w:pPr>
        <w:spacing w:after="0" w:line="240" w:lineRule="auto"/>
        <w:rPr>
          <w:rFonts w:ascii="Times New Roman" w:hAnsi="Times New Roman" w:cs="Times New Roman"/>
          <w:b/>
          <w:sz w:val="24"/>
          <w:szCs w:val="24"/>
        </w:rPr>
      </w:pPr>
      <w:r w:rsidRPr="000611D7">
        <w:rPr>
          <w:rFonts w:ascii="Times New Roman" w:hAnsi="Times New Roman" w:cs="Times New Roman"/>
          <w:b/>
          <w:sz w:val="24"/>
          <w:szCs w:val="24"/>
        </w:rPr>
        <w:t>MANYANGADZE J</w:t>
      </w:r>
    </w:p>
    <w:p w14:paraId="6F7D8EEE" w14:textId="27477D3F" w:rsidR="00DF0848" w:rsidRPr="00F239A7" w:rsidRDefault="00DF0848" w:rsidP="000611D7">
      <w:pPr>
        <w:spacing w:after="0" w:line="240" w:lineRule="auto"/>
        <w:rPr>
          <w:rFonts w:ascii="Times New Roman" w:hAnsi="Times New Roman" w:cs="Times New Roman"/>
          <w:sz w:val="24"/>
          <w:szCs w:val="24"/>
        </w:rPr>
      </w:pPr>
      <w:r w:rsidRPr="00F239A7">
        <w:rPr>
          <w:rFonts w:ascii="Times New Roman" w:hAnsi="Times New Roman" w:cs="Times New Roman"/>
          <w:sz w:val="24"/>
          <w:szCs w:val="24"/>
        </w:rPr>
        <w:t>HARARE, 7 July &amp; 2</w:t>
      </w:r>
      <w:r w:rsidR="00561CD8">
        <w:rPr>
          <w:rFonts w:ascii="Times New Roman" w:hAnsi="Times New Roman" w:cs="Times New Roman"/>
          <w:sz w:val="24"/>
          <w:szCs w:val="24"/>
        </w:rPr>
        <w:t>4</w:t>
      </w:r>
      <w:r w:rsidRPr="00F239A7">
        <w:rPr>
          <w:rFonts w:ascii="Times New Roman" w:hAnsi="Times New Roman" w:cs="Times New Roman"/>
          <w:sz w:val="24"/>
          <w:szCs w:val="24"/>
        </w:rPr>
        <w:t xml:space="preserve"> September 2025</w:t>
      </w:r>
    </w:p>
    <w:p w14:paraId="22158768" w14:textId="77777777" w:rsidR="00DF0848" w:rsidRPr="00F239A7" w:rsidRDefault="00DF0848" w:rsidP="000A53D2">
      <w:pPr>
        <w:rPr>
          <w:rFonts w:ascii="Times New Roman" w:hAnsi="Times New Roman" w:cs="Times New Roman"/>
          <w:sz w:val="24"/>
          <w:szCs w:val="24"/>
        </w:rPr>
      </w:pPr>
    </w:p>
    <w:p w14:paraId="08A84F6F" w14:textId="075B4767" w:rsidR="00DF0848" w:rsidRPr="00F239A7" w:rsidRDefault="00DF0848" w:rsidP="000A53D2">
      <w:pPr>
        <w:rPr>
          <w:rFonts w:ascii="Times New Roman" w:hAnsi="Times New Roman" w:cs="Times New Roman"/>
          <w:b/>
          <w:bCs/>
          <w:sz w:val="24"/>
          <w:szCs w:val="24"/>
        </w:rPr>
      </w:pPr>
      <w:r w:rsidRPr="00F239A7">
        <w:rPr>
          <w:rFonts w:ascii="Times New Roman" w:hAnsi="Times New Roman" w:cs="Times New Roman"/>
          <w:b/>
          <w:bCs/>
          <w:sz w:val="24"/>
          <w:szCs w:val="24"/>
        </w:rPr>
        <w:t>Urgent chamber application</w:t>
      </w:r>
    </w:p>
    <w:p w14:paraId="43418A9B" w14:textId="77777777" w:rsidR="00DF0848" w:rsidRPr="00F239A7" w:rsidRDefault="00DF0848" w:rsidP="000A53D2">
      <w:pPr>
        <w:rPr>
          <w:rFonts w:ascii="Times New Roman" w:hAnsi="Times New Roman" w:cs="Times New Roman"/>
          <w:sz w:val="24"/>
          <w:szCs w:val="24"/>
        </w:rPr>
      </w:pPr>
    </w:p>
    <w:p w14:paraId="1BFBD253" w14:textId="77777777" w:rsidR="000611D7" w:rsidRDefault="000611D7" w:rsidP="000611D7">
      <w:pPr>
        <w:spacing w:after="0"/>
        <w:rPr>
          <w:rFonts w:ascii="Times New Roman" w:hAnsi="Times New Roman" w:cs="Times New Roman"/>
          <w:sz w:val="24"/>
          <w:szCs w:val="24"/>
        </w:rPr>
      </w:pPr>
      <w:r>
        <w:rPr>
          <w:rFonts w:ascii="Times New Roman" w:hAnsi="Times New Roman" w:cs="Times New Roman"/>
          <w:i/>
          <w:iCs/>
          <w:sz w:val="24"/>
          <w:szCs w:val="24"/>
        </w:rPr>
        <w:t xml:space="preserve">RG </w:t>
      </w:r>
      <w:r w:rsidR="00DF0848" w:rsidRPr="00F239A7">
        <w:rPr>
          <w:rFonts w:ascii="Times New Roman" w:hAnsi="Times New Roman" w:cs="Times New Roman"/>
          <w:i/>
          <w:iCs/>
          <w:sz w:val="24"/>
          <w:szCs w:val="24"/>
        </w:rPr>
        <w:t>Gumbo</w:t>
      </w:r>
      <w:r w:rsidR="00DF0848" w:rsidRPr="00F239A7">
        <w:rPr>
          <w:rFonts w:ascii="Times New Roman" w:hAnsi="Times New Roman" w:cs="Times New Roman"/>
          <w:sz w:val="24"/>
          <w:szCs w:val="24"/>
        </w:rPr>
        <w:t xml:space="preserve">, for </w:t>
      </w:r>
      <w:r w:rsidR="00C33F50" w:rsidRPr="00F239A7">
        <w:rPr>
          <w:rFonts w:ascii="Times New Roman" w:hAnsi="Times New Roman" w:cs="Times New Roman"/>
          <w:sz w:val="24"/>
          <w:szCs w:val="24"/>
        </w:rPr>
        <w:t xml:space="preserve">the </w:t>
      </w:r>
      <w:r w:rsidR="00DF0848" w:rsidRPr="00F239A7">
        <w:rPr>
          <w:rFonts w:ascii="Times New Roman" w:hAnsi="Times New Roman" w:cs="Times New Roman"/>
          <w:sz w:val="24"/>
          <w:szCs w:val="24"/>
        </w:rPr>
        <w:t>applicants</w:t>
      </w:r>
    </w:p>
    <w:p w14:paraId="17E5221A" w14:textId="26C08874" w:rsidR="00DF0848" w:rsidRPr="00F239A7" w:rsidRDefault="000611D7" w:rsidP="000611D7">
      <w:pPr>
        <w:spacing w:after="0"/>
        <w:rPr>
          <w:rFonts w:ascii="Times New Roman" w:hAnsi="Times New Roman" w:cs="Times New Roman"/>
          <w:sz w:val="24"/>
          <w:szCs w:val="24"/>
        </w:rPr>
      </w:pPr>
      <w:r>
        <w:rPr>
          <w:rFonts w:ascii="Times New Roman" w:hAnsi="Times New Roman" w:cs="Times New Roman"/>
          <w:i/>
          <w:iCs/>
          <w:sz w:val="24"/>
          <w:szCs w:val="24"/>
        </w:rPr>
        <w:t>C</w:t>
      </w:r>
      <w:r w:rsidR="00DF0848" w:rsidRPr="00F239A7">
        <w:rPr>
          <w:rFonts w:ascii="Times New Roman" w:hAnsi="Times New Roman" w:cs="Times New Roman"/>
          <w:i/>
          <w:iCs/>
          <w:sz w:val="24"/>
          <w:szCs w:val="24"/>
        </w:rPr>
        <w:t xml:space="preserve"> Masoka</w:t>
      </w:r>
      <w:r w:rsidR="00DF0848" w:rsidRPr="00F239A7">
        <w:rPr>
          <w:rFonts w:ascii="Times New Roman" w:hAnsi="Times New Roman" w:cs="Times New Roman"/>
          <w:sz w:val="24"/>
          <w:szCs w:val="24"/>
        </w:rPr>
        <w:t xml:space="preserve">, for the </w:t>
      </w:r>
      <w:r w:rsidR="0021065C" w:rsidRPr="00F239A7">
        <w:rPr>
          <w:rFonts w:ascii="Times New Roman" w:hAnsi="Times New Roman" w:cs="Times New Roman"/>
          <w:sz w:val="24"/>
          <w:szCs w:val="24"/>
        </w:rPr>
        <w:t>1</w:t>
      </w:r>
      <w:r w:rsidR="0021065C" w:rsidRPr="00F239A7">
        <w:rPr>
          <w:rFonts w:ascii="Times New Roman" w:hAnsi="Times New Roman" w:cs="Times New Roman"/>
          <w:sz w:val="24"/>
          <w:szCs w:val="24"/>
          <w:vertAlign w:val="superscript"/>
        </w:rPr>
        <w:t>st</w:t>
      </w:r>
      <w:r w:rsidR="0021065C" w:rsidRPr="00F239A7">
        <w:rPr>
          <w:rFonts w:ascii="Times New Roman" w:hAnsi="Times New Roman" w:cs="Times New Roman"/>
          <w:sz w:val="24"/>
          <w:szCs w:val="24"/>
        </w:rPr>
        <w:t xml:space="preserve"> to 4</w:t>
      </w:r>
      <w:r w:rsidR="0021065C" w:rsidRPr="00F239A7">
        <w:rPr>
          <w:rFonts w:ascii="Times New Roman" w:hAnsi="Times New Roman" w:cs="Times New Roman"/>
          <w:sz w:val="24"/>
          <w:szCs w:val="24"/>
          <w:vertAlign w:val="superscript"/>
        </w:rPr>
        <w:t>th</w:t>
      </w:r>
      <w:r w:rsidR="0021065C" w:rsidRPr="00F239A7">
        <w:rPr>
          <w:rFonts w:ascii="Times New Roman" w:hAnsi="Times New Roman" w:cs="Times New Roman"/>
          <w:sz w:val="24"/>
          <w:szCs w:val="24"/>
        </w:rPr>
        <w:t xml:space="preserve"> respondents</w:t>
      </w:r>
    </w:p>
    <w:p w14:paraId="787D296A" w14:textId="4F43D75B" w:rsidR="0021065C" w:rsidRPr="00F239A7" w:rsidRDefault="000611D7" w:rsidP="000611D7">
      <w:pPr>
        <w:spacing w:after="0"/>
        <w:rPr>
          <w:rFonts w:ascii="Times New Roman" w:hAnsi="Times New Roman" w:cs="Times New Roman"/>
          <w:sz w:val="24"/>
          <w:szCs w:val="24"/>
        </w:rPr>
      </w:pPr>
      <w:r>
        <w:rPr>
          <w:rFonts w:ascii="Times New Roman" w:hAnsi="Times New Roman" w:cs="Times New Roman"/>
          <w:i/>
          <w:iCs/>
          <w:sz w:val="24"/>
          <w:szCs w:val="24"/>
        </w:rPr>
        <w:t>L</w:t>
      </w:r>
      <w:r w:rsidR="0021065C" w:rsidRPr="00F239A7">
        <w:rPr>
          <w:rFonts w:ascii="Times New Roman" w:hAnsi="Times New Roman" w:cs="Times New Roman"/>
          <w:i/>
          <w:iCs/>
          <w:sz w:val="24"/>
          <w:szCs w:val="24"/>
        </w:rPr>
        <w:t xml:space="preserve"> Uriri</w:t>
      </w:r>
      <w:r w:rsidR="0021065C" w:rsidRPr="00F239A7">
        <w:rPr>
          <w:rFonts w:ascii="Times New Roman" w:hAnsi="Times New Roman" w:cs="Times New Roman"/>
          <w:sz w:val="24"/>
          <w:szCs w:val="24"/>
        </w:rPr>
        <w:t>, for the 5</w:t>
      </w:r>
      <w:r w:rsidR="0021065C" w:rsidRPr="00F239A7">
        <w:rPr>
          <w:rFonts w:ascii="Times New Roman" w:hAnsi="Times New Roman" w:cs="Times New Roman"/>
          <w:sz w:val="24"/>
          <w:szCs w:val="24"/>
          <w:vertAlign w:val="superscript"/>
        </w:rPr>
        <w:t>th</w:t>
      </w:r>
      <w:r w:rsidR="0021065C" w:rsidRPr="00F239A7">
        <w:rPr>
          <w:rFonts w:ascii="Times New Roman" w:hAnsi="Times New Roman" w:cs="Times New Roman"/>
          <w:sz w:val="24"/>
          <w:szCs w:val="24"/>
        </w:rPr>
        <w:t xml:space="preserve"> respondent</w:t>
      </w:r>
    </w:p>
    <w:p w14:paraId="0641A448" w14:textId="77777777" w:rsidR="0021065C" w:rsidRPr="00F239A7" w:rsidRDefault="0021065C" w:rsidP="000611D7">
      <w:pPr>
        <w:spacing w:after="0"/>
        <w:rPr>
          <w:rFonts w:ascii="Times New Roman" w:hAnsi="Times New Roman" w:cs="Times New Roman"/>
          <w:sz w:val="24"/>
          <w:szCs w:val="24"/>
        </w:rPr>
      </w:pPr>
    </w:p>
    <w:p w14:paraId="7A719223" w14:textId="77777777" w:rsidR="000611D7" w:rsidRDefault="000611D7" w:rsidP="000A53D2">
      <w:pPr>
        <w:rPr>
          <w:rFonts w:ascii="Times New Roman" w:hAnsi="Times New Roman" w:cs="Times New Roman"/>
          <w:sz w:val="24"/>
          <w:szCs w:val="24"/>
        </w:rPr>
      </w:pPr>
    </w:p>
    <w:p w14:paraId="48D271A3" w14:textId="77777777" w:rsidR="00FA53C3" w:rsidRPr="00F239A7" w:rsidRDefault="0021065C" w:rsidP="000A53D2">
      <w:pPr>
        <w:rPr>
          <w:rFonts w:ascii="Times New Roman" w:hAnsi="Times New Roman" w:cs="Times New Roman"/>
          <w:sz w:val="24"/>
          <w:szCs w:val="24"/>
        </w:rPr>
      </w:pPr>
      <w:r w:rsidRPr="00F239A7">
        <w:rPr>
          <w:rFonts w:ascii="Times New Roman" w:hAnsi="Times New Roman" w:cs="Times New Roman"/>
          <w:sz w:val="24"/>
          <w:szCs w:val="24"/>
        </w:rPr>
        <w:t>MANYANGADZE J:</w:t>
      </w:r>
    </w:p>
    <w:p w14:paraId="433F9CDD" w14:textId="77777777" w:rsidR="000611D7" w:rsidRDefault="000611D7" w:rsidP="000A53D2">
      <w:pPr>
        <w:rPr>
          <w:rFonts w:ascii="Times New Roman" w:hAnsi="Times New Roman" w:cs="Times New Roman"/>
          <w:sz w:val="24"/>
          <w:szCs w:val="24"/>
          <w:u w:val="single"/>
        </w:rPr>
      </w:pPr>
    </w:p>
    <w:p w14:paraId="67BFD861" w14:textId="5FA3C3AB" w:rsidR="00FA53C3" w:rsidRPr="000611D7" w:rsidRDefault="00FA53C3" w:rsidP="000A53D2">
      <w:pPr>
        <w:rPr>
          <w:rFonts w:ascii="Times New Roman" w:hAnsi="Times New Roman" w:cs="Times New Roman"/>
          <w:b/>
          <w:sz w:val="24"/>
          <w:szCs w:val="24"/>
          <w:u w:val="single"/>
        </w:rPr>
      </w:pPr>
      <w:r w:rsidRPr="000611D7">
        <w:rPr>
          <w:rFonts w:ascii="Times New Roman" w:hAnsi="Times New Roman" w:cs="Times New Roman"/>
          <w:b/>
          <w:sz w:val="24"/>
          <w:szCs w:val="24"/>
          <w:u w:val="single"/>
        </w:rPr>
        <w:t>INTRODUCTION</w:t>
      </w:r>
    </w:p>
    <w:p w14:paraId="2A802989" w14:textId="07D74006" w:rsidR="0021065C" w:rsidRPr="00F239A7" w:rsidRDefault="00756B1D" w:rsidP="000A53D2">
      <w:pPr>
        <w:rPr>
          <w:rFonts w:ascii="Times New Roman" w:hAnsi="Times New Roman" w:cs="Times New Roman"/>
          <w:sz w:val="24"/>
          <w:szCs w:val="24"/>
        </w:rPr>
      </w:pPr>
      <w:r w:rsidRPr="00965DAE">
        <w:rPr>
          <w:rFonts w:ascii="Times New Roman" w:hAnsi="Times New Roman" w:cs="Times New Roman"/>
          <w:sz w:val="24"/>
          <w:szCs w:val="24"/>
        </w:rPr>
        <w:t>T</w:t>
      </w:r>
      <w:r w:rsidRPr="00F239A7">
        <w:rPr>
          <w:rFonts w:ascii="Times New Roman" w:hAnsi="Times New Roman" w:cs="Times New Roman"/>
          <w:sz w:val="24"/>
          <w:szCs w:val="24"/>
        </w:rPr>
        <w:t>he applicants seek an interdict against the respondents. They want a provisional order in the following terms:</w:t>
      </w:r>
    </w:p>
    <w:p w14:paraId="253AD9A0" w14:textId="77777777" w:rsidR="00756B1D" w:rsidRPr="00F239A7" w:rsidRDefault="00756B1D" w:rsidP="000A53D2">
      <w:pPr>
        <w:rPr>
          <w:rFonts w:ascii="Times New Roman" w:hAnsi="Times New Roman" w:cs="Times New Roman"/>
          <w:sz w:val="16"/>
          <w:szCs w:val="16"/>
        </w:rPr>
      </w:pPr>
    </w:p>
    <w:p w14:paraId="6F3181E8" w14:textId="77777777" w:rsidR="00CB15D5" w:rsidRPr="000611D7" w:rsidRDefault="00756B1D" w:rsidP="000611D7">
      <w:pPr>
        <w:ind w:firstLine="720"/>
        <w:jc w:val="both"/>
        <w:rPr>
          <w:rFonts w:ascii="Times New Roman" w:hAnsi="Times New Roman" w:cs="Times New Roman"/>
        </w:rPr>
      </w:pPr>
      <w:r w:rsidRPr="000611D7">
        <w:rPr>
          <w:rFonts w:ascii="Times New Roman" w:hAnsi="Times New Roman" w:cs="Times New Roman"/>
        </w:rPr>
        <w:t>“</w:t>
      </w:r>
      <w:r w:rsidR="00CB15D5" w:rsidRPr="000611D7">
        <w:rPr>
          <w:rFonts w:ascii="Times New Roman" w:hAnsi="Times New Roman" w:cs="Times New Roman"/>
          <w:b/>
          <w:bCs/>
        </w:rPr>
        <w:t>A. Terms of final order sought</w:t>
      </w:r>
    </w:p>
    <w:p w14:paraId="5951810A" w14:textId="77777777" w:rsidR="00CB15D5" w:rsidRPr="000611D7" w:rsidRDefault="00CB15D5" w:rsidP="000611D7">
      <w:pPr>
        <w:ind w:left="720"/>
        <w:jc w:val="both"/>
        <w:rPr>
          <w:rFonts w:ascii="Times New Roman" w:hAnsi="Times New Roman" w:cs="Times New Roman"/>
        </w:rPr>
      </w:pPr>
      <w:r w:rsidRPr="000611D7">
        <w:rPr>
          <w:rFonts w:ascii="Times New Roman" w:hAnsi="Times New Roman" w:cs="Times New Roman"/>
        </w:rPr>
        <w:t>That you show cause if any, why a final order should not be made in the following terms.</w:t>
      </w:r>
    </w:p>
    <w:p w14:paraId="26D03BDE" w14:textId="1F5E9497" w:rsidR="00CB15D5" w:rsidRPr="000611D7" w:rsidRDefault="00CB15D5" w:rsidP="000611D7">
      <w:pPr>
        <w:ind w:left="1440" w:firstLine="48"/>
        <w:jc w:val="both"/>
        <w:rPr>
          <w:rFonts w:ascii="Times New Roman" w:hAnsi="Times New Roman" w:cs="Times New Roman"/>
        </w:rPr>
      </w:pPr>
      <w:r w:rsidRPr="000611D7">
        <w:rPr>
          <w:rFonts w:ascii="Times New Roman" w:hAnsi="Times New Roman" w:cs="Times New Roman"/>
        </w:rPr>
        <w:t>i) That the respondents and all people acting under their authority be and are hereby interdicted from carrying out illegal evictions of the applicants and their workers at their respective mining locations within Lease 35 Jumbo, Mazowe.</w:t>
      </w:r>
    </w:p>
    <w:p w14:paraId="1D958852" w14:textId="77777777" w:rsidR="00CB15D5" w:rsidRPr="000611D7" w:rsidRDefault="00CB15D5" w:rsidP="000611D7">
      <w:pPr>
        <w:ind w:left="1440"/>
        <w:jc w:val="both"/>
        <w:rPr>
          <w:rFonts w:ascii="Times New Roman" w:hAnsi="Times New Roman" w:cs="Times New Roman"/>
        </w:rPr>
      </w:pPr>
      <w:r w:rsidRPr="000611D7">
        <w:rPr>
          <w:rFonts w:ascii="Times New Roman" w:hAnsi="Times New Roman" w:cs="Times New Roman"/>
        </w:rPr>
        <w:t>ii) That the respondents or any people under their authority be and are hereby interdicted from destroying applicants' mining equipment and allied equipment and their property and possessions and from closing the mining pits operated on by the applicants.</w:t>
      </w:r>
    </w:p>
    <w:p w14:paraId="7E2C3880" w14:textId="0C9B6F02" w:rsidR="00756B1D" w:rsidRPr="000611D7" w:rsidRDefault="00CB15D5" w:rsidP="000611D7">
      <w:pPr>
        <w:ind w:left="720"/>
        <w:jc w:val="both"/>
        <w:rPr>
          <w:rFonts w:ascii="Times New Roman" w:hAnsi="Times New Roman" w:cs="Times New Roman"/>
        </w:rPr>
      </w:pPr>
      <w:r w:rsidRPr="000611D7">
        <w:rPr>
          <w:rFonts w:ascii="Times New Roman" w:hAnsi="Times New Roman" w:cs="Times New Roman"/>
        </w:rPr>
        <w:t>The 1st and 2nd respondents to pay the costs of this application on the legal practitioner/ client scale.</w:t>
      </w:r>
    </w:p>
    <w:p w14:paraId="0A82462E" w14:textId="77777777" w:rsidR="00E44906" w:rsidRPr="000611D7" w:rsidRDefault="00E44906" w:rsidP="000611D7">
      <w:pPr>
        <w:jc w:val="both"/>
        <w:rPr>
          <w:rFonts w:ascii="Times New Roman" w:hAnsi="Times New Roman" w:cs="Times New Roman"/>
          <w:b/>
          <w:bCs/>
        </w:rPr>
      </w:pPr>
    </w:p>
    <w:p w14:paraId="39A37373" w14:textId="77777777" w:rsidR="00E44906" w:rsidRPr="000611D7" w:rsidRDefault="00E44906" w:rsidP="000611D7">
      <w:pPr>
        <w:ind w:firstLine="720"/>
        <w:jc w:val="both"/>
        <w:rPr>
          <w:rFonts w:ascii="Times New Roman" w:hAnsi="Times New Roman" w:cs="Times New Roman"/>
          <w:b/>
          <w:bCs/>
        </w:rPr>
      </w:pPr>
      <w:r w:rsidRPr="000611D7">
        <w:rPr>
          <w:rFonts w:ascii="Times New Roman" w:hAnsi="Times New Roman" w:cs="Times New Roman"/>
          <w:b/>
          <w:bCs/>
        </w:rPr>
        <w:t>B. Interim Relief Granted</w:t>
      </w:r>
    </w:p>
    <w:p w14:paraId="4E90E5E8" w14:textId="77777777" w:rsidR="00E44906" w:rsidRPr="000611D7" w:rsidRDefault="00E44906" w:rsidP="000611D7">
      <w:pPr>
        <w:ind w:firstLine="720"/>
        <w:jc w:val="both"/>
        <w:rPr>
          <w:rFonts w:ascii="Times New Roman" w:hAnsi="Times New Roman" w:cs="Times New Roman"/>
        </w:rPr>
      </w:pPr>
      <w:r w:rsidRPr="000611D7">
        <w:rPr>
          <w:rFonts w:ascii="Times New Roman" w:hAnsi="Times New Roman" w:cs="Times New Roman"/>
        </w:rPr>
        <w:t>Pending the final determination of this matter the following interim relief is granted.</w:t>
      </w:r>
    </w:p>
    <w:p w14:paraId="628DD3D4" w14:textId="539B31C8" w:rsidR="00E44906" w:rsidRPr="000611D7" w:rsidRDefault="00E44906" w:rsidP="000611D7">
      <w:pPr>
        <w:ind w:left="1440"/>
        <w:jc w:val="both"/>
        <w:rPr>
          <w:rFonts w:ascii="Times New Roman" w:hAnsi="Times New Roman" w:cs="Times New Roman"/>
        </w:rPr>
      </w:pPr>
      <w:r w:rsidRPr="000611D7">
        <w:rPr>
          <w:rFonts w:ascii="Times New Roman" w:hAnsi="Times New Roman" w:cs="Times New Roman"/>
        </w:rPr>
        <w:t>i) The 1st to 4th respondents are hereby interdicted from carrying out their illegal threatened eviction of the applicants and their employees from their respective mining areas in Lease 35 Jumbo, Mazowe without a court order.</w:t>
      </w:r>
    </w:p>
    <w:p w14:paraId="5CD94B94" w14:textId="17356421" w:rsidR="00FA53C3" w:rsidRPr="000611D7" w:rsidRDefault="00E44906" w:rsidP="000611D7">
      <w:pPr>
        <w:ind w:left="1440"/>
        <w:jc w:val="both"/>
        <w:rPr>
          <w:rFonts w:ascii="Times New Roman" w:hAnsi="Times New Roman" w:cs="Times New Roman"/>
        </w:rPr>
      </w:pPr>
      <w:r w:rsidRPr="000611D7">
        <w:rPr>
          <w:rFonts w:ascii="Times New Roman" w:hAnsi="Times New Roman" w:cs="Times New Roman"/>
        </w:rPr>
        <w:lastRenderedPageBreak/>
        <w:t>ii) 1st to 4th respondents are further interdicted in the interim from carrying out their threats to destroy applicants' mining equipment and close their pits without a court order.</w:t>
      </w:r>
      <w:r w:rsidR="007552E9" w:rsidRPr="000611D7">
        <w:rPr>
          <w:rFonts w:ascii="Times New Roman" w:hAnsi="Times New Roman" w:cs="Times New Roman"/>
        </w:rPr>
        <w:t>”</w:t>
      </w:r>
    </w:p>
    <w:p w14:paraId="5E3E12CD" w14:textId="77777777" w:rsidR="000F3D91" w:rsidRPr="000611D7" w:rsidRDefault="000F3D91" w:rsidP="000F3D91">
      <w:pPr>
        <w:rPr>
          <w:rFonts w:ascii="Times New Roman" w:hAnsi="Times New Roman" w:cs="Times New Roman"/>
        </w:rPr>
      </w:pPr>
    </w:p>
    <w:p w14:paraId="338D647E" w14:textId="06AE1EE0" w:rsidR="000F3D91" w:rsidRPr="00F239A7" w:rsidRDefault="000F3D91" w:rsidP="000F3D91">
      <w:pPr>
        <w:rPr>
          <w:rFonts w:ascii="Times New Roman" w:hAnsi="Times New Roman" w:cs="Times New Roman"/>
          <w:sz w:val="24"/>
          <w:szCs w:val="24"/>
          <w:u w:val="single"/>
        </w:rPr>
      </w:pPr>
      <w:r w:rsidRPr="00F239A7">
        <w:rPr>
          <w:rFonts w:ascii="Times New Roman" w:hAnsi="Times New Roman" w:cs="Times New Roman"/>
          <w:sz w:val="24"/>
          <w:szCs w:val="24"/>
          <w:u w:val="single"/>
        </w:rPr>
        <w:t>FACTUAL BACKGROUND</w:t>
      </w:r>
    </w:p>
    <w:p w14:paraId="078CC4C3" w14:textId="596621D1" w:rsidR="007552E9" w:rsidRPr="00F239A7" w:rsidRDefault="007552E9" w:rsidP="000611D7">
      <w:pPr>
        <w:ind w:firstLine="720"/>
        <w:jc w:val="both"/>
        <w:rPr>
          <w:rFonts w:ascii="Times New Roman" w:hAnsi="Times New Roman" w:cs="Times New Roman"/>
          <w:sz w:val="24"/>
          <w:szCs w:val="24"/>
        </w:rPr>
      </w:pPr>
      <w:r w:rsidRPr="00F239A7">
        <w:rPr>
          <w:rFonts w:ascii="Times New Roman" w:hAnsi="Times New Roman" w:cs="Times New Roman"/>
          <w:sz w:val="24"/>
          <w:szCs w:val="24"/>
        </w:rPr>
        <w:t>The applicants are a group of mining syndicates operating in the Mazowe area, which is under Mazowe Mining Company’s Mining L</w:t>
      </w:r>
      <w:r w:rsidR="00C33F50" w:rsidRPr="00F239A7">
        <w:rPr>
          <w:rFonts w:ascii="Times New Roman" w:hAnsi="Times New Roman" w:cs="Times New Roman"/>
          <w:sz w:val="24"/>
          <w:szCs w:val="24"/>
        </w:rPr>
        <w:t>eas</w:t>
      </w:r>
      <w:r w:rsidRPr="00F239A7">
        <w:rPr>
          <w:rFonts w:ascii="Times New Roman" w:hAnsi="Times New Roman" w:cs="Times New Roman"/>
          <w:sz w:val="24"/>
          <w:szCs w:val="24"/>
        </w:rPr>
        <w:t xml:space="preserve">e No. 35. </w:t>
      </w:r>
    </w:p>
    <w:p w14:paraId="294D9E32" w14:textId="5391B176" w:rsidR="007552E9" w:rsidRPr="00F239A7" w:rsidRDefault="007552E9" w:rsidP="000611D7">
      <w:pPr>
        <w:ind w:firstLine="720"/>
        <w:jc w:val="both"/>
        <w:rPr>
          <w:rFonts w:ascii="Times New Roman" w:hAnsi="Times New Roman" w:cs="Times New Roman"/>
          <w:sz w:val="24"/>
          <w:szCs w:val="24"/>
        </w:rPr>
      </w:pPr>
      <w:r w:rsidRPr="00F239A7">
        <w:rPr>
          <w:rFonts w:ascii="Times New Roman" w:hAnsi="Times New Roman" w:cs="Times New Roman"/>
          <w:sz w:val="24"/>
          <w:szCs w:val="24"/>
        </w:rPr>
        <w:t xml:space="preserve">The second respondent issued an order for the suspension of mining operations </w:t>
      </w:r>
      <w:r w:rsidR="008A36E7" w:rsidRPr="00F239A7">
        <w:rPr>
          <w:rFonts w:ascii="Times New Roman" w:hAnsi="Times New Roman" w:cs="Times New Roman"/>
          <w:sz w:val="24"/>
          <w:szCs w:val="24"/>
        </w:rPr>
        <w:t>in the mining area</w:t>
      </w:r>
      <w:r w:rsidR="00C33F50" w:rsidRPr="00F239A7">
        <w:rPr>
          <w:rFonts w:ascii="Times New Roman" w:hAnsi="Times New Roman" w:cs="Times New Roman"/>
          <w:sz w:val="24"/>
          <w:szCs w:val="24"/>
        </w:rPr>
        <w:t xml:space="preserve"> in question</w:t>
      </w:r>
      <w:r w:rsidR="008A36E7" w:rsidRPr="00F239A7">
        <w:rPr>
          <w:rFonts w:ascii="Times New Roman" w:hAnsi="Times New Roman" w:cs="Times New Roman"/>
          <w:sz w:val="24"/>
          <w:szCs w:val="24"/>
        </w:rPr>
        <w:t>. This was done for safety reasons, as there were numerous reports of accidents arising from the applicants’ mining activities. The second respondent, as the regulatory authority, acted in terms of the Mines and Minerals Act and regulations made thereunder.</w:t>
      </w:r>
    </w:p>
    <w:p w14:paraId="0837449E" w14:textId="2896504A" w:rsidR="000F3D91" w:rsidRPr="000611D7" w:rsidRDefault="00E42D1B" w:rsidP="000611D7">
      <w:pPr>
        <w:ind w:firstLine="720"/>
        <w:jc w:val="both"/>
        <w:rPr>
          <w:rFonts w:ascii="Times New Roman" w:hAnsi="Times New Roman" w:cs="Times New Roman"/>
          <w:sz w:val="24"/>
          <w:szCs w:val="24"/>
        </w:rPr>
      </w:pPr>
      <w:r w:rsidRPr="00F239A7">
        <w:rPr>
          <w:rFonts w:ascii="Times New Roman" w:hAnsi="Times New Roman" w:cs="Times New Roman"/>
          <w:sz w:val="24"/>
          <w:szCs w:val="24"/>
        </w:rPr>
        <w:t>The applicants aver that they are in occupation of their respective mining locations lawfully and are entitled to carry out mining operations. They contend</w:t>
      </w:r>
      <w:r w:rsidR="00052A55" w:rsidRPr="00F239A7">
        <w:rPr>
          <w:rFonts w:ascii="Times New Roman" w:hAnsi="Times New Roman" w:cs="Times New Roman"/>
          <w:sz w:val="24"/>
          <w:szCs w:val="24"/>
        </w:rPr>
        <w:t xml:space="preserve"> that since they were</w:t>
      </w:r>
      <w:r w:rsidRPr="00F239A7">
        <w:rPr>
          <w:rFonts w:ascii="Times New Roman" w:hAnsi="Times New Roman" w:cs="Times New Roman"/>
          <w:sz w:val="24"/>
          <w:szCs w:val="24"/>
        </w:rPr>
        <w:t xml:space="preserve"> granted spoliatory relief by this court in February 2024</w:t>
      </w:r>
      <w:r w:rsidR="00052A55" w:rsidRPr="00F239A7">
        <w:rPr>
          <w:rFonts w:ascii="Times New Roman" w:hAnsi="Times New Roman" w:cs="Times New Roman"/>
          <w:sz w:val="24"/>
          <w:szCs w:val="24"/>
        </w:rPr>
        <w:t>, they should not be prohibited from carrying out their mining activities in that area.</w:t>
      </w:r>
    </w:p>
    <w:p w14:paraId="5B48FB05" w14:textId="38E051FA" w:rsidR="000F3D91" w:rsidRPr="00F239A7" w:rsidRDefault="000F3D91" w:rsidP="007552E9">
      <w:pPr>
        <w:rPr>
          <w:rFonts w:ascii="Times New Roman" w:hAnsi="Times New Roman" w:cs="Times New Roman"/>
          <w:sz w:val="24"/>
          <w:szCs w:val="24"/>
          <w:u w:val="single"/>
        </w:rPr>
      </w:pPr>
      <w:r w:rsidRPr="00F239A7">
        <w:rPr>
          <w:rFonts w:ascii="Times New Roman" w:hAnsi="Times New Roman" w:cs="Times New Roman"/>
          <w:sz w:val="24"/>
          <w:szCs w:val="24"/>
          <w:u w:val="single"/>
        </w:rPr>
        <w:t xml:space="preserve">POINTS </w:t>
      </w:r>
      <w:r w:rsidRPr="00F239A7">
        <w:rPr>
          <w:rFonts w:ascii="Times New Roman" w:hAnsi="Times New Roman" w:cs="Times New Roman"/>
          <w:i/>
          <w:iCs/>
          <w:sz w:val="24"/>
          <w:szCs w:val="24"/>
          <w:u w:val="single"/>
        </w:rPr>
        <w:t>IN LIMINE</w:t>
      </w:r>
    </w:p>
    <w:p w14:paraId="5A23F5E6" w14:textId="289D78B0" w:rsidR="00052A55" w:rsidRPr="00F239A7" w:rsidRDefault="00052A55" w:rsidP="007552E9">
      <w:pPr>
        <w:rPr>
          <w:rFonts w:ascii="Times New Roman" w:hAnsi="Times New Roman" w:cs="Times New Roman"/>
          <w:sz w:val="24"/>
          <w:szCs w:val="24"/>
        </w:rPr>
      </w:pPr>
      <w:r w:rsidRPr="00F239A7">
        <w:rPr>
          <w:rFonts w:ascii="Times New Roman" w:hAnsi="Times New Roman" w:cs="Times New Roman"/>
          <w:sz w:val="24"/>
          <w:szCs w:val="24"/>
        </w:rPr>
        <w:t>The fifth respondent has raised s</w:t>
      </w:r>
      <w:r w:rsidR="004361BE" w:rsidRPr="00F239A7">
        <w:rPr>
          <w:rFonts w:ascii="Times New Roman" w:hAnsi="Times New Roman" w:cs="Times New Roman"/>
          <w:sz w:val="24"/>
          <w:szCs w:val="24"/>
        </w:rPr>
        <w:t>ix</w:t>
      </w:r>
      <w:r w:rsidRPr="00F239A7">
        <w:rPr>
          <w:rFonts w:ascii="Times New Roman" w:hAnsi="Times New Roman" w:cs="Times New Roman"/>
          <w:sz w:val="24"/>
          <w:szCs w:val="24"/>
        </w:rPr>
        <w:t xml:space="preserve"> points </w:t>
      </w:r>
      <w:r w:rsidRPr="00F239A7">
        <w:rPr>
          <w:rFonts w:ascii="Times New Roman" w:hAnsi="Times New Roman" w:cs="Times New Roman"/>
          <w:i/>
          <w:iCs/>
          <w:sz w:val="24"/>
          <w:szCs w:val="24"/>
        </w:rPr>
        <w:t>in limine</w:t>
      </w:r>
      <w:r w:rsidRPr="00F239A7">
        <w:rPr>
          <w:rFonts w:ascii="Times New Roman" w:hAnsi="Times New Roman" w:cs="Times New Roman"/>
          <w:sz w:val="24"/>
          <w:szCs w:val="24"/>
        </w:rPr>
        <w:t>. These are that:</w:t>
      </w:r>
    </w:p>
    <w:p w14:paraId="6DCEE27A" w14:textId="2C3D10C8" w:rsidR="00052A55" w:rsidRPr="00F239A7" w:rsidRDefault="00052A55" w:rsidP="00052A55">
      <w:pPr>
        <w:pStyle w:val="ListParagraph"/>
        <w:numPr>
          <w:ilvl w:val="0"/>
          <w:numId w:val="1"/>
        </w:numPr>
        <w:rPr>
          <w:rFonts w:ascii="Times New Roman" w:hAnsi="Times New Roman" w:cs="Times New Roman"/>
          <w:sz w:val="24"/>
          <w:szCs w:val="24"/>
        </w:rPr>
      </w:pPr>
      <w:r w:rsidRPr="00F239A7">
        <w:rPr>
          <w:rFonts w:ascii="Times New Roman" w:hAnsi="Times New Roman" w:cs="Times New Roman"/>
          <w:sz w:val="24"/>
          <w:szCs w:val="24"/>
        </w:rPr>
        <w:t>The applicants have cited a non-existent party</w:t>
      </w:r>
    </w:p>
    <w:p w14:paraId="13628D6B" w14:textId="65F60026" w:rsidR="00052A55" w:rsidRPr="00F239A7" w:rsidRDefault="004361BE" w:rsidP="00052A55">
      <w:pPr>
        <w:pStyle w:val="ListParagraph"/>
        <w:numPr>
          <w:ilvl w:val="0"/>
          <w:numId w:val="1"/>
        </w:numPr>
        <w:rPr>
          <w:rFonts w:ascii="Times New Roman" w:hAnsi="Times New Roman" w:cs="Times New Roman"/>
          <w:sz w:val="24"/>
          <w:szCs w:val="24"/>
        </w:rPr>
      </w:pPr>
      <w:r w:rsidRPr="00F239A7">
        <w:rPr>
          <w:rFonts w:ascii="Times New Roman" w:hAnsi="Times New Roman" w:cs="Times New Roman"/>
          <w:sz w:val="24"/>
          <w:szCs w:val="24"/>
        </w:rPr>
        <w:t>The applicants have used the wrong form</w:t>
      </w:r>
    </w:p>
    <w:p w14:paraId="5FA113FB" w14:textId="04AC5C63" w:rsidR="004361BE" w:rsidRPr="00F239A7" w:rsidRDefault="004361BE" w:rsidP="00052A55">
      <w:pPr>
        <w:pStyle w:val="ListParagraph"/>
        <w:numPr>
          <w:ilvl w:val="0"/>
          <w:numId w:val="1"/>
        </w:numPr>
        <w:rPr>
          <w:rFonts w:ascii="Times New Roman" w:hAnsi="Times New Roman" w:cs="Times New Roman"/>
          <w:sz w:val="24"/>
          <w:szCs w:val="24"/>
        </w:rPr>
      </w:pPr>
      <w:r w:rsidRPr="00F239A7">
        <w:rPr>
          <w:rFonts w:ascii="Times New Roman" w:hAnsi="Times New Roman" w:cs="Times New Roman"/>
          <w:sz w:val="24"/>
          <w:szCs w:val="24"/>
        </w:rPr>
        <w:t>The applicants have approached the court with dirty hands</w:t>
      </w:r>
    </w:p>
    <w:p w14:paraId="175BFCC1" w14:textId="7508A60D" w:rsidR="004361BE" w:rsidRPr="00F239A7" w:rsidRDefault="004361BE" w:rsidP="00052A55">
      <w:pPr>
        <w:pStyle w:val="ListParagraph"/>
        <w:numPr>
          <w:ilvl w:val="0"/>
          <w:numId w:val="1"/>
        </w:numPr>
        <w:rPr>
          <w:rFonts w:ascii="Times New Roman" w:hAnsi="Times New Roman" w:cs="Times New Roman"/>
          <w:sz w:val="24"/>
          <w:szCs w:val="24"/>
        </w:rPr>
      </w:pPr>
      <w:r w:rsidRPr="00F239A7">
        <w:rPr>
          <w:rFonts w:ascii="Times New Roman" w:hAnsi="Times New Roman" w:cs="Times New Roman"/>
          <w:sz w:val="24"/>
          <w:szCs w:val="24"/>
        </w:rPr>
        <w:t>The deponents to the applicants’ founding affidavits have no authority</w:t>
      </w:r>
    </w:p>
    <w:p w14:paraId="44DD58B5" w14:textId="189647A0" w:rsidR="004361BE" w:rsidRPr="00F239A7" w:rsidRDefault="004361BE" w:rsidP="00052A55">
      <w:pPr>
        <w:pStyle w:val="ListParagraph"/>
        <w:numPr>
          <w:ilvl w:val="0"/>
          <w:numId w:val="1"/>
        </w:numPr>
        <w:rPr>
          <w:rFonts w:ascii="Times New Roman" w:hAnsi="Times New Roman" w:cs="Times New Roman"/>
          <w:sz w:val="24"/>
          <w:szCs w:val="24"/>
        </w:rPr>
      </w:pPr>
      <w:r w:rsidRPr="00F239A7">
        <w:rPr>
          <w:rFonts w:ascii="Times New Roman" w:hAnsi="Times New Roman" w:cs="Times New Roman"/>
          <w:sz w:val="24"/>
          <w:szCs w:val="24"/>
        </w:rPr>
        <w:t>The applicants cannot interdict a lawful process</w:t>
      </w:r>
    </w:p>
    <w:p w14:paraId="12CABE2F" w14:textId="0BCE872E" w:rsidR="004361BE" w:rsidRPr="000611D7" w:rsidRDefault="004361BE" w:rsidP="004361BE">
      <w:pPr>
        <w:pStyle w:val="ListParagraph"/>
        <w:numPr>
          <w:ilvl w:val="0"/>
          <w:numId w:val="1"/>
        </w:numPr>
        <w:rPr>
          <w:rFonts w:ascii="Times New Roman" w:hAnsi="Times New Roman" w:cs="Times New Roman"/>
          <w:sz w:val="24"/>
          <w:szCs w:val="24"/>
        </w:rPr>
      </w:pPr>
      <w:r w:rsidRPr="00F239A7">
        <w:rPr>
          <w:rFonts w:ascii="Times New Roman" w:hAnsi="Times New Roman" w:cs="Times New Roman"/>
          <w:sz w:val="24"/>
          <w:szCs w:val="24"/>
        </w:rPr>
        <w:t>The matter is not urgent</w:t>
      </w:r>
    </w:p>
    <w:p w14:paraId="47CE53EF" w14:textId="282DC710" w:rsidR="004361BE" w:rsidRPr="00F239A7" w:rsidRDefault="00FA53C3" w:rsidP="004361BE">
      <w:pPr>
        <w:rPr>
          <w:rFonts w:ascii="Times New Roman" w:hAnsi="Times New Roman" w:cs="Times New Roman"/>
          <w:sz w:val="24"/>
          <w:szCs w:val="24"/>
          <w:u w:val="single"/>
        </w:rPr>
      </w:pPr>
      <w:r w:rsidRPr="00F239A7">
        <w:rPr>
          <w:rFonts w:ascii="Times New Roman" w:hAnsi="Times New Roman" w:cs="Times New Roman"/>
          <w:sz w:val="24"/>
          <w:szCs w:val="24"/>
          <w:u w:val="single"/>
        </w:rPr>
        <w:t>N</w:t>
      </w:r>
      <w:r w:rsidR="000F3D91" w:rsidRPr="00F239A7">
        <w:rPr>
          <w:rFonts w:ascii="Times New Roman" w:hAnsi="Times New Roman" w:cs="Times New Roman"/>
          <w:sz w:val="24"/>
          <w:szCs w:val="24"/>
          <w:u w:val="single"/>
        </w:rPr>
        <w:t>on-existent party</w:t>
      </w:r>
    </w:p>
    <w:p w14:paraId="3868CCCD" w14:textId="70FC9659" w:rsidR="004361BE" w:rsidRPr="00F239A7" w:rsidRDefault="004361BE" w:rsidP="000611D7">
      <w:pPr>
        <w:ind w:firstLine="720"/>
        <w:rPr>
          <w:rFonts w:ascii="Times New Roman" w:hAnsi="Times New Roman" w:cs="Times New Roman"/>
          <w:sz w:val="24"/>
          <w:szCs w:val="24"/>
        </w:rPr>
      </w:pPr>
      <w:r w:rsidRPr="00F239A7">
        <w:rPr>
          <w:rFonts w:ascii="Times New Roman" w:hAnsi="Times New Roman" w:cs="Times New Roman"/>
          <w:sz w:val="24"/>
          <w:szCs w:val="24"/>
        </w:rPr>
        <w:t>Under this point, the fifth respondent avers tha</w:t>
      </w:r>
      <w:r w:rsidR="009328EF" w:rsidRPr="00F239A7">
        <w:rPr>
          <w:rFonts w:ascii="Times New Roman" w:hAnsi="Times New Roman" w:cs="Times New Roman"/>
          <w:sz w:val="24"/>
          <w:szCs w:val="24"/>
        </w:rPr>
        <w:t>t the applicant</w:t>
      </w:r>
      <w:r w:rsidR="00340F37" w:rsidRPr="00F239A7">
        <w:rPr>
          <w:rFonts w:ascii="Times New Roman" w:hAnsi="Times New Roman" w:cs="Times New Roman"/>
          <w:sz w:val="24"/>
          <w:szCs w:val="24"/>
        </w:rPr>
        <w:t>s</w:t>
      </w:r>
      <w:r w:rsidR="009328EF" w:rsidRPr="00F239A7">
        <w:rPr>
          <w:rFonts w:ascii="Times New Roman" w:hAnsi="Times New Roman" w:cs="Times New Roman"/>
          <w:sz w:val="24"/>
          <w:szCs w:val="24"/>
        </w:rPr>
        <w:t xml:space="preserve"> have committed a fatal irregularity by citing the Ministry of Mines and Mining Development (“the Ministry”) instead of the Minister. They contend that it is the Minister who is clothed with the legal capacity to sue or defend suits on behalf of Government. This is provided for in the State Liabilities Act [Chapter 8:14], section 3 thereof.</w:t>
      </w:r>
    </w:p>
    <w:p w14:paraId="2B28A2B2" w14:textId="435D0F65" w:rsidR="00C22FBD" w:rsidRPr="00F239A7" w:rsidRDefault="00C22FBD" w:rsidP="000611D7">
      <w:pPr>
        <w:ind w:firstLine="720"/>
        <w:rPr>
          <w:rFonts w:ascii="Times New Roman" w:hAnsi="Times New Roman" w:cs="Times New Roman"/>
          <w:sz w:val="24"/>
          <w:szCs w:val="24"/>
        </w:rPr>
      </w:pPr>
      <w:r w:rsidRPr="00F239A7">
        <w:rPr>
          <w:rFonts w:ascii="Times New Roman" w:hAnsi="Times New Roman" w:cs="Times New Roman"/>
          <w:sz w:val="24"/>
          <w:szCs w:val="24"/>
        </w:rPr>
        <w:t xml:space="preserve">Failure to cite the correct respondent renders the application void </w:t>
      </w:r>
      <w:r w:rsidRPr="00F239A7">
        <w:rPr>
          <w:rFonts w:ascii="Times New Roman" w:hAnsi="Times New Roman" w:cs="Times New Roman"/>
          <w:i/>
          <w:iCs/>
          <w:sz w:val="24"/>
          <w:szCs w:val="24"/>
        </w:rPr>
        <w:t>ab initio</w:t>
      </w:r>
      <w:r w:rsidRPr="00F239A7">
        <w:rPr>
          <w:rFonts w:ascii="Times New Roman" w:hAnsi="Times New Roman" w:cs="Times New Roman"/>
          <w:sz w:val="24"/>
          <w:szCs w:val="24"/>
        </w:rPr>
        <w:t xml:space="preserve">, as the Ministry is not a legal </w:t>
      </w:r>
      <w:r w:rsidRPr="00F239A7">
        <w:rPr>
          <w:rFonts w:ascii="Times New Roman" w:hAnsi="Times New Roman" w:cs="Times New Roman"/>
          <w:i/>
          <w:iCs/>
          <w:sz w:val="24"/>
          <w:szCs w:val="24"/>
        </w:rPr>
        <w:t>persona</w:t>
      </w:r>
      <w:r w:rsidRPr="00F239A7">
        <w:rPr>
          <w:rFonts w:ascii="Times New Roman" w:hAnsi="Times New Roman" w:cs="Times New Roman"/>
          <w:sz w:val="24"/>
          <w:szCs w:val="24"/>
        </w:rPr>
        <w:t>.</w:t>
      </w:r>
    </w:p>
    <w:p w14:paraId="65A0BD06" w14:textId="787AC986" w:rsidR="00C22FBD" w:rsidRPr="00F239A7" w:rsidRDefault="00C22FBD" w:rsidP="000611D7">
      <w:pPr>
        <w:ind w:firstLine="720"/>
        <w:rPr>
          <w:rFonts w:ascii="Times New Roman" w:hAnsi="Times New Roman" w:cs="Times New Roman"/>
          <w:sz w:val="24"/>
          <w:szCs w:val="24"/>
        </w:rPr>
      </w:pPr>
      <w:r w:rsidRPr="00F239A7">
        <w:rPr>
          <w:rFonts w:ascii="Times New Roman" w:hAnsi="Times New Roman" w:cs="Times New Roman"/>
          <w:sz w:val="24"/>
          <w:szCs w:val="24"/>
        </w:rPr>
        <w:t xml:space="preserve">In countering this averment, the applicants contend that the State </w:t>
      </w:r>
      <w:r w:rsidR="008F369D" w:rsidRPr="00F239A7">
        <w:rPr>
          <w:rFonts w:ascii="Times New Roman" w:hAnsi="Times New Roman" w:cs="Times New Roman"/>
          <w:sz w:val="24"/>
          <w:szCs w:val="24"/>
        </w:rPr>
        <w:t>Liabilities</w:t>
      </w:r>
      <w:r w:rsidRPr="00F239A7">
        <w:rPr>
          <w:rFonts w:ascii="Times New Roman" w:hAnsi="Times New Roman" w:cs="Times New Roman"/>
          <w:sz w:val="24"/>
          <w:szCs w:val="24"/>
        </w:rPr>
        <w:t xml:space="preserve"> Act does not make it peremptory to cite the Minister. I</w:t>
      </w:r>
      <w:r w:rsidR="008F369D" w:rsidRPr="00F239A7">
        <w:rPr>
          <w:rFonts w:ascii="Times New Roman" w:hAnsi="Times New Roman" w:cs="Times New Roman"/>
          <w:sz w:val="24"/>
          <w:szCs w:val="24"/>
        </w:rPr>
        <w:t>t i</w:t>
      </w:r>
      <w:r w:rsidRPr="00F239A7">
        <w:rPr>
          <w:rFonts w:ascii="Times New Roman" w:hAnsi="Times New Roman" w:cs="Times New Roman"/>
          <w:sz w:val="24"/>
          <w:szCs w:val="24"/>
        </w:rPr>
        <w:t>s discretionary. This is so because the statute uses the word “may” instead of “shall”.</w:t>
      </w:r>
      <w:r w:rsidR="008F369D" w:rsidRPr="00F239A7">
        <w:rPr>
          <w:rFonts w:ascii="Times New Roman" w:hAnsi="Times New Roman" w:cs="Times New Roman"/>
          <w:sz w:val="24"/>
          <w:szCs w:val="24"/>
        </w:rPr>
        <w:t xml:space="preserve"> The application cannot therefore be rendered fatally defective by reason of this irregularity alone.</w:t>
      </w:r>
    </w:p>
    <w:p w14:paraId="77F16627" w14:textId="0D24A3B7" w:rsidR="00965DAE" w:rsidRDefault="008F369D" w:rsidP="000611D7">
      <w:pPr>
        <w:ind w:firstLine="720"/>
        <w:rPr>
          <w:rFonts w:ascii="Times New Roman" w:hAnsi="Times New Roman" w:cs="Times New Roman"/>
          <w:sz w:val="24"/>
          <w:szCs w:val="24"/>
        </w:rPr>
      </w:pPr>
      <w:r w:rsidRPr="00F239A7">
        <w:rPr>
          <w:rFonts w:ascii="Times New Roman" w:hAnsi="Times New Roman" w:cs="Times New Roman"/>
          <w:sz w:val="24"/>
          <w:szCs w:val="24"/>
        </w:rPr>
        <w:t>Further to that, the applicants aver that the non-citation of the Minister does not vitiate the application, as there are other respondents who are not affected by this irregularity.</w:t>
      </w:r>
    </w:p>
    <w:p w14:paraId="3C2B18A3" w14:textId="6BFAA8A6" w:rsidR="00965DAE" w:rsidRPr="00965DAE" w:rsidRDefault="00965DAE" w:rsidP="004361BE">
      <w:pPr>
        <w:rPr>
          <w:rFonts w:ascii="Times New Roman" w:hAnsi="Times New Roman" w:cs="Times New Roman"/>
          <w:sz w:val="24"/>
          <w:szCs w:val="24"/>
          <w:u w:val="single"/>
        </w:rPr>
      </w:pPr>
      <w:r w:rsidRPr="00965DAE">
        <w:rPr>
          <w:rFonts w:ascii="Times New Roman" w:hAnsi="Times New Roman" w:cs="Times New Roman"/>
          <w:sz w:val="24"/>
          <w:szCs w:val="24"/>
          <w:u w:val="single"/>
        </w:rPr>
        <w:lastRenderedPageBreak/>
        <w:t>THE LAW</w:t>
      </w:r>
    </w:p>
    <w:p w14:paraId="2DDD86EC" w14:textId="28360F59" w:rsidR="008F369D" w:rsidRPr="00326DD4" w:rsidRDefault="00735D5E" w:rsidP="000611D7">
      <w:pPr>
        <w:ind w:firstLine="720"/>
        <w:rPr>
          <w:rFonts w:ascii="Times New Roman" w:hAnsi="Times New Roman" w:cs="Times New Roman"/>
          <w:sz w:val="16"/>
          <w:szCs w:val="16"/>
        </w:rPr>
      </w:pPr>
      <w:r w:rsidRPr="00F239A7">
        <w:rPr>
          <w:rFonts w:ascii="Times New Roman" w:hAnsi="Times New Roman" w:cs="Times New Roman"/>
          <w:sz w:val="24"/>
          <w:szCs w:val="24"/>
        </w:rPr>
        <w:t xml:space="preserve">The legal position is </w:t>
      </w:r>
      <w:r w:rsidR="00340F37" w:rsidRPr="00F239A7">
        <w:rPr>
          <w:rFonts w:ascii="Times New Roman" w:hAnsi="Times New Roman" w:cs="Times New Roman"/>
          <w:sz w:val="24"/>
          <w:szCs w:val="24"/>
        </w:rPr>
        <w:t>that a</w:t>
      </w:r>
      <w:r w:rsidRPr="00F239A7">
        <w:rPr>
          <w:rFonts w:ascii="Times New Roman" w:hAnsi="Times New Roman" w:cs="Times New Roman"/>
          <w:sz w:val="24"/>
          <w:szCs w:val="24"/>
        </w:rPr>
        <w:t xml:space="preserve"> plaintiff or an applicant cannot sue a non-existent entity. In </w:t>
      </w:r>
      <w:r w:rsidR="00004A86" w:rsidRPr="00F239A7">
        <w:rPr>
          <w:rFonts w:ascii="Times New Roman" w:hAnsi="Times New Roman" w:cs="Times New Roman"/>
          <w:sz w:val="24"/>
          <w:szCs w:val="24"/>
        </w:rPr>
        <w:t>this</w:t>
      </w:r>
      <w:r w:rsidRPr="00F239A7">
        <w:rPr>
          <w:rFonts w:ascii="Times New Roman" w:hAnsi="Times New Roman" w:cs="Times New Roman"/>
          <w:sz w:val="24"/>
          <w:szCs w:val="24"/>
        </w:rPr>
        <w:t xml:space="preserve"> regard, the court has been referred to the case of</w:t>
      </w:r>
      <w:r w:rsidRPr="00F239A7">
        <w:rPr>
          <w:rFonts w:ascii="Times New Roman" w:hAnsi="Times New Roman" w:cs="Times New Roman"/>
          <w:i/>
          <w:iCs/>
          <w:sz w:val="24"/>
          <w:szCs w:val="24"/>
        </w:rPr>
        <w:t xml:space="preserve"> </w:t>
      </w:r>
      <w:r w:rsidR="00004A86" w:rsidRPr="00F239A7">
        <w:rPr>
          <w:rFonts w:ascii="Times New Roman" w:hAnsi="Times New Roman" w:cs="Times New Roman"/>
          <w:i/>
          <w:iCs/>
          <w:sz w:val="24"/>
          <w:szCs w:val="24"/>
        </w:rPr>
        <w:t xml:space="preserve">Fadzai John </w:t>
      </w:r>
      <w:r w:rsidR="00004A86" w:rsidRPr="008D7255">
        <w:rPr>
          <w:rFonts w:ascii="Times New Roman" w:hAnsi="Times New Roman" w:cs="Times New Roman"/>
          <w:iCs/>
          <w:sz w:val="24"/>
          <w:szCs w:val="24"/>
        </w:rPr>
        <w:t>v</w:t>
      </w:r>
      <w:r w:rsidR="00004A86" w:rsidRPr="00F239A7">
        <w:rPr>
          <w:rFonts w:ascii="Times New Roman" w:hAnsi="Times New Roman" w:cs="Times New Roman"/>
          <w:i/>
          <w:iCs/>
          <w:sz w:val="24"/>
          <w:szCs w:val="24"/>
        </w:rPr>
        <w:t xml:space="preserve"> Delta Beverages</w:t>
      </w:r>
      <w:r w:rsidR="00004A86" w:rsidRPr="00F239A7">
        <w:rPr>
          <w:rFonts w:ascii="Times New Roman" w:hAnsi="Times New Roman" w:cs="Times New Roman"/>
          <w:sz w:val="24"/>
          <w:szCs w:val="24"/>
        </w:rPr>
        <w:t xml:space="preserve"> SC 40/17. </w:t>
      </w:r>
      <w:r w:rsidR="00200A3A" w:rsidRPr="00200A3A">
        <w:rPr>
          <w:rFonts w:ascii="Times New Roman" w:hAnsi="Times New Roman" w:cs="Times New Roman"/>
          <w:smallCaps/>
          <w:sz w:val="24"/>
          <w:szCs w:val="24"/>
        </w:rPr>
        <w:t xml:space="preserve">guvava </w:t>
      </w:r>
      <w:r w:rsidR="00004A86" w:rsidRPr="00F239A7">
        <w:rPr>
          <w:rFonts w:ascii="Times New Roman" w:hAnsi="Times New Roman" w:cs="Times New Roman"/>
          <w:sz w:val="24"/>
          <w:szCs w:val="24"/>
        </w:rPr>
        <w:t>JA stated, at p 4-5:</w:t>
      </w:r>
    </w:p>
    <w:p w14:paraId="6E6F870D" w14:textId="77777777" w:rsidR="00004A86" w:rsidRPr="00326DD4" w:rsidRDefault="00004A86" w:rsidP="004361BE">
      <w:pPr>
        <w:rPr>
          <w:rFonts w:ascii="Times New Roman" w:hAnsi="Times New Roman" w:cs="Times New Roman"/>
          <w:sz w:val="16"/>
          <w:szCs w:val="16"/>
        </w:rPr>
      </w:pPr>
    </w:p>
    <w:p w14:paraId="6B001347" w14:textId="77777777" w:rsidR="00004A86" w:rsidRPr="000611D7" w:rsidRDefault="00004A86" w:rsidP="000611D7">
      <w:pPr>
        <w:spacing w:line="240" w:lineRule="auto"/>
        <w:rPr>
          <w:rFonts w:ascii="Times New Roman" w:hAnsi="Times New Roman" w:cs="Times New Roman"/>
        </w:rPr>
      </w:pPr>
    </w:p>
    <w:p w14:paraId="0C580F9C" w14:textId="0BB1A116" w:rsidR="00004A86" w:rsidRPr="000611D7" w:rsidRDefault="00004A86" w:rsidP="000611D7">
      <w:pPr>
        <w:spacing w:line="240" w:lineRule="auto"/>
        <w:ind w:left="1440"/>
        <w:jc w:val="both"/>
        <w:rPr>
          <w:rFonts w:ascii="Times New Roman" w:hAnsi="Times New Roman" w:cs="Times New Roman"/>
        </w:rPr>
      </w:pPr>
      <w:r w:rsidRPr="000611D7">
        <w:rPr>
          <w:rFonts w:ascii="Times New Roman" w:hAnsi="Times New Roman" w:cs="Times New Roman"/>
        </w:rPr>
        <w:t xml:space="preserve">“The respondent highlighted that it has been cited as “Delta Beverages Limited” as opposed to Delta Beverages (Private) Limited.  Applicant concedes this point in his answering papers. </w:t>
      </w:r>
    </w:p>
    <w:p w14:paraId="295B9C21" w14:textId="77777777" w:rsidR="00004A86" w:rsidRPr="000611D7" w:rsidRDefault="00004A86" w:rsidP="000611D7">
      <w:pPr>
        <w:spacing w:line="240" w:lineRule="auto"/>
        <w:ind w:firstLine="1440"/>
        <w:jc w:val="both"/>
        <w:rPr>
          <w:rFonts w:ascii="Times New Roman" w:hAnsi="Times New Roman" w:cs="Times New Roman"/>
        </w:rPr>
      </w:pPr>
      <w:r w:rsidRPr="000611D7">
        <w:rPr>
          <w:rFonts w:ascii="Times New Roman" w:hAnsi="Times New Roman" w:cs="Times New Roman"/>
        </w:rPr>
        <w:t xml:space="preserve">In </w:t>
      </w:r>
      <w:r w:rsidRPr="000611D7">
        <w:rPr>
          <w:rFonts w:ascii="Times New Roman" w:hAnsi="Times New Roman" w:cs="Times New Roman"/>
          <w:i/>
        </w:rPr>
        <w:t>Gariya Safaris (Pvt) Ltd v van Wyk</w:t>
      </w:r>
      <w:r w:rsidRPr="000611D7">
        <w:rPr>
          <w:rStyle w:val="FootnoteReference"/>
          <w:rFonts w:ascii="Times New Roman" w:hAnsi="Times New Roman" w:cs="Times New Roman"/>
        </w:rPr>
        <w:footnoteReference w:id="1"/>
      </w:r>
      <w:r w:rsidRPr="000611D7">
        <w:rPr>
          <w:rFonts w:ascii="Times New Roman" w:hAnsi="Times New Roman" w:cs="Times New Roman"/>
        </w:rPr>
        <w:t xml:space="preserve"> it was stated as follows:</w:t>
      </w:r>
    </w:p>
    <w:p w14:paraId="11D68919" w14:textId="5A4CC923" w:rsidR="00004A86" w:rsidRPr="000611D7" w:rsidRDefault="00004A86" w:rsidP="000611D7">
      <w:pPr>
        <w:spacing w:line="240" w:lineRule="auto"/>
        <w:ind w:left="1440"/>
        <w:jc w:val="both"/>
        <w:rPr>
          <w:rFonts w:ascii="Times New Roman" w:hAnsi="Times New Roman" w:cs="Times New Roman"/>
          <w:i/>
        </w:rPr>
      </w:pPr>
      <w:r w:rsidRPr="000611D7">
        <w:rPr>
          <w:rFonts w:ascii="Times New Roman" w:hAnsi="Times New Roman" w:cs="Times New Roman"/>
        </w:rPr>
        <w:t xml:space="preserve">“A summons has legal force and effect when it is issued by the plaintiff against an existing legal or natural person. If there is no legal or natural person answering to the names written in the summons as being those of the defendant, the summons is null and void </w:t>
      </w:r>
      <w:r w:rsidRPr="000611D7">
        <w:rPr>
          <w:rFonts w:ascii="Times New Roman" w:hAnsi="Times New Roman" w:cs="Times New Roman"/>
          <w:i/>
        </w:rPr>
        <w:t>ab initio.”</w:t>
      </w:r>
    </w:p>
    <w:p w14:paraId="7F197E09" w14:textId="4D36DA88" w:rsidR="00004A86" w:rsidRPr="000611D7" w:rsidRDefault="00004A86" w:rsidP="000611D7">
      <w:pPr>
        <w:spacing w:after="0" w:line="240" w:lineRule="auto"/>
        <w:ind w:left="1440"/>
        <w:jc w:val="both"/>
        <w:rPr>
          <w:rFonts w:ascii="Times New Roman" w:hAnsi="Times New Roman" w:cs="Times New Roman"/>
        </w:rPr>
      </w:pPr>
      <w:r w:rsidRPr="000611D7">
        <w:rPr>
          <w:rFonts w:ascii="Times New Roman" w:hAnsi="Times New Roman" w:cs="Times New Roman"/>
        </w:rPr>
        <w:t>In this case the applicant ci</w:t>
      </w:r>
      <w:r w:rsidR="000611D7">
        <w:rPr>
          <w:rFonts w:ascii="Times New Roman" w:hAnsi="Times New Roman" w:cs="Times New Roman"/>
        </w:rPr>
        <w:t xml:space="preserve">ted a non-existent </w:t>
      </w:r>
      <w:r w:rsidR="00200A3A">
        <w:rPr>
          <w:rFonts w:ascii="Times New Roman" w:hAnsi="Times New Roman" w:cs="Times New Roman"/>
        </w:rPr>
        <w:t>respondent.</w:t>
      </w:r>
      <w:r w:rsidR="00200A3A" w:rsidRPr="000611D7">
        <w:rPr>
          <w:rFonts w:ascii="Times New Roman" w:hAnsi="Times New Roman" w:cs="Times New Roman"/>
        </w:rPr>
        <w:t xml:space="preserve"> Thus</w:t>
      </w:r>
      <w:r w:rsidRPr="000611D7">
        <w:rPr>
          <w:rFonts w:ascii="Times New Roman" w:hAnsi="Times New Roman" w:cs="Times New Roman"/>
        </w:rPr>
        <w:t xml:space="preserve"> in the same vein the application was a nullity.”</w:t>
      </w:r>
    </w:p>
    <w:p w14:paraId="090C58DD" w14:textId="77777777" w:rsidR="007A79FE" w:rsidRPr="00F239A7" w:rsidRDefault="007A79FE" w:rsidP="007A79FE">
      <w:pPr>
        <w:pStyle w:val="FootnoteText"/>
        <w:rPr>
          <w:rFonts w:ascii="Times New Roman" w:hAnsi="Times New Roman" w:cs="Times New Roman"/>
          <w:sz w:val="24"/>
          <w:szCs w:val="24"/>
          <w:lang w:val="en-ZW"/>
        </w:rPr>
      </w:pPr>
    </w:p>
    <w:p w14:paraId="39B9CB2F" w14:textId="524E1C13" w:rsidR="007A79FE" w:rsidRPr="00F239A7" w:rsidRDefault="007A79FE" w:rsidP="000611D7">
      <w:pPr>
        <w:pStyle w:val="FootnoteText"/>
        <w:ind w:firstLine="720"/>
        <w:rPr>
          <w:rFonts w:ascii="Times New Roman" w:hAnsi="Times New Roman" w:cs="Times New Roman"/>
          <w:sz w:val="24"/>
          <w:szCs w:val="24"/>
          <w:lang w:val="en-ZW"/>
        </w:rPr>
      </w:pPr>
      <w:r w:rsidRPr="00F239A7">
        <w:rPr>
          <w:rFonts w:ascii="Times New Roman" w:hAnsi="Times New Roman" w:cs="Times New Roman"/>
          <w:sz w:val="24"/>
          <w:szCs w:val="24"/>
          <w:lang w:val="en-ZW"/>
        </w:rPr>
        <w:t>In</w:t>
      </w:r>
      <w:r w:rsidRPr="00F239A7">
        <w:rPr>
          <w:rFonts w:ascii="Times New Roman" w:hAnsi="Times New Roman" w:cs="Times New Roman"/>
          <w:i/>
          <w:iCs/>
          <w:sz w:val="24"/>
          <w:szCs w:val="24"/>
          <w:lang w:val="en-ZW"/>
        </w:rPr>
        <w:t xml:space="preserve"> K and G Mining Syndicate </w:t>
      </w:r>
      <w:r w:rsidRPr="00200A3A">
        <w:rPr>
          <w:rFonts w:ascii="Times New Roman" w:hAnsi="Times New Roman" w:cs="Times New Roman"/>
          <w:iCs/>
          <w:sz w:val="24"/>
          <w:szCs w:val="24"/>
          <w:lang w:val="en-ZW"/>
        </w:rPr>
        <w:t>v</w:t>
      </w:r>
      <w:r w:rsidRPr="00F239A7">
        <w:rPr>
          <w:rFonts w:ascii="Times New Roman" w:hAnsi="Times New Roman" w:cs="Times New Roman"/>
          <w:i/>
          <w:iCs/>
          <w:sz w:val="24"/>
          <w:szCs w:val="24"/>
          <w:lang w:val="en-ZW"/>
        </w:rPr>
        <w:t xml:space="preserve"> Mugangavari &amp; Ors</w:t>
      </w:r>
      <w:r w:rsidRPr="00F239A7">
        <w:rPr>
          <w:rFonts w:ascii="Times New Roman" w:hAnsi="Times New Roman" w:cs="Times New Roman"/>
          <w:sz w:val="24"/>
          <w:szCs w:val="24"/>
          <w:lang w:val="en-ZW"/>
        </w:rPr>
        <w:t xml:space="preserve"> HB 159/20, </w:t>
      </w:r>
      <w:r w:rsidR="00200A3A" w:rsidRPr="00F239A7">
        <w:rPr>
          <w:rFonts w:ascii="Times New Roman" w:hAnsi="Times New Roman" w:cs="Times New Roman"/>
          <w:sz w:val="24"/>
          <w:szCs w:val="24"/>
          <w:lang w:val="en-ZW"/>
        </w:rPr>
        <w:t xml:space="preserve">Dube-Banda </w:t>
      </w:r>
      <w:r w:rsidRPr="00F239A7">
        <w:rPr>
          <w:rFonts w:ascii="Times New Roman" w:hAnsi="Times New Roman" w:cs="Times New Roman"/>
          <w:sz w:val="24"/>
          <w:szCs w:val="24"/>
          <w:lang w:val="en-ZW"/>
        </w:rPr>
        <w:t xml:space="preserve">J was seized with a similar question, this time within the context of a mining dispute in which the Ministry was cited instead of the Minister. </w:t>
      </w:r>
      <w:r w:rsidR="005123FC" w:rsidRPr="00F239A7">
        <w:rPr>
          <w:rFonts w:ascii="Times New Roman" w:hAnsi="Times New Roman" w:cs="Times New Roman"/>
          <w:sz w:val="24"/>
          <w:szCs w:val="24"/>
          <w:lang w:val="en-ZW"/>
        </w:rPr>
        <w:t xml:space="preserve"> The learned judge made the following pertinent remarks, at p 5 and 6, with which I fully associate:</w:t>
      </w:r>
    </w:p>
    <w:p w14:paraId="4328A1D7" w14:textId="77777777" w:rsidR="00994075" w:rsidRPr="00326DD4" w:rsidRDefault="00994075" w:rsidP="00994075">
      <w:pPr>
        <w:autoSpaceDE w:val="0"/>
        <w:autoSpaceDN w:val="0"/>
        <w:adjustRightInd w:val="0"/>
        <w:spacing w:after="0" w:line="360" w:lineRule="auto"/>
        <w:ind w:firstLine="720"/>
        <w:jc w:val="both"/>
        <w:rPr>
          <w:rFonts w:ascii="Times New Roman" w:hAnsi="Times New Roman" w:cs="Times New Roman"/>
          <w:sz w:val="16"/>
          <w:szCs w:val="16"/>
        </w:rPr>
      </w:pPr>
    </w:p>
    <w:p w14:paraId="08D58BCD" w14:textId="109A15E4" w:rsidR="00994075" w:rsidRPr="000611D7" w:rsidRDefault="005123FC" w:rsidP="000611D7">
      <w:pPr>
        <w:autoSpaceDE w:val="0"/>
        <w:autoSpaceDN w:val="0"/>
        <w:adjustRightInd w:val="0"/>
        <w:spacing w:after="0" w:line="240" w:lineRule="auto"/>
        <w:ind w:left="720"/>
        <w:jc w:val="both"/>
        <w:rPr>
          <w:rFonts w:ascii="Times New Roman" w:hAnsi="Times New Roman" w:cs="Times New Roman"/>
        </w:rPr>
      </w:pPr>
      <w:r w:rsidRPr="000611D7">
        <w:rPr>
          <w:rFonts w:ascii="Times New Roman" w:hAnsi="Times New Roman" w:cs="Times New Roman"/>
        </w:rPr>
        <w:t>“</w:t>
      </w:r>
      <w:r w:rsidR="00994075" w:rsidRPr="000611D7">
        <w:rPr>
          <w:rFonts w:ascii="Times New Roman" w:hAnsi="Times New Roman" w:cs="Times New Roman"/>
        </w:rPr>
        <w:t xml:space="preserve">Is the Ministry of Mines and Mining Development a </w:t>
      </w:r>
      <w:r w:rsidR="00994075" w:rsidRPr="000611D7">
        <w:rPr>
          <w:rFonts w:ascii="Times New Roman" w:hAnsi="Times New Roman" w:cs="Times New Roman"/>
          <w:i/>
        </w:rPr>
        <w:t>legal persona</w:t>
      </w:r>
      <w:r w:rsidR="00994075" w:rsidRPr="000611D7">
        <w:rPr>
          <w:rFonts w:ascii="Times New Roman" w:hAnsi="Times New Roman" w:cs="Times New Roman"/>
        </w:rPr>
        <w:t xml:space="preserve">? </w:t>
      </w:r>
      <w:r w:rsidR="00994075" w:rsidRPr="000611D7">
        <w:rPr>
          <w:rFonts w:ascii="Times New Roman" w:hAnsi="Times New Roman" w:cs="Times New Roman"/>
          <w:bCs/>
        </w:rPr>
        <w:t xml:space="preserve">In terms of section 3 of the </w:t>
      </w:r>
      <w:r w:rsidR="00994075" w:rsidRPr="000611D7">
        <w:rPr>
          <w:rFonts w:ascii="Times New Roman" w:hAnsi="Times New Roman" w:cs="Times New Roman"/>
        </w:rPr>
        <w:t>State Liabilities Act [</w:t>
      </w:r>
      <w:r w:rsidR="00994075" w:rsidRPr="000611D7">
        <w:rPr>
          <w:rFonts w:ascii="Times New Roman" w:hAnsi="Times New Roman" w:cs="Times New Roman"/>
          <w:i/>
          <w:iCs/>
        </w:rPr>
        <w:t>Chapter 8:14</w:t>
      </w:r>
      <w:r w:rsidR="00994075" w:rsidRPr="000611D7">
        <w:rPr>
          <w:rFonts w:ascii="Times New Roman" w:hAnsi="Times New Roman" w:cs="Times New Roman"/>
        </w:rPr>
        <w:t xml:space="preserve">] in any action or other proceedings which are instituted by virtue of section </w:t>
      </w:r>
      <w:r w:rsidR="00994075" w:rsidRPr="000611D7">
        <w:rPr>
          <w:rFonts w:ascii="Times New Roman" w:hAnsi="Times New Roman" w:cs="Times New Roman"/>
          <w:iCs/>
        </w:rPr>
        <w:t>two</w:t>
      </w:r>
      <w:r w:rsidR="00994075" w:rsidRPr="000611D7">
        <w:rPr>
          <w:rFonts w:ascii="Times New Roman" w:hAnsi="Times New Roman" w:cs="Times New Roman"/>
        </w:rPr>
        <w:t xml:space="preserve">, the plaintiff, the applicant or the petitioner, as the case may be, may make the Minister to whom the headship of the Ministry or department concerned has been assigned nominal defendant or respondent. </w:t>
      </w:r>
      <w:r w:rsidR="00994075" w:rsidRPr="000611D7">
        <w:rPr>
          <w:rFonts w:ascii="Times New Roman" w:hAnsi="Times New Roman" w:cs="Times New Roman"/>
          <w:u w:val="single"/>
        </w:rPr>
        <w:t>Applicant concedes that in terms of this provision, it is incorrect to cite the Ministry, the proper third respondent in case HC 2031/15 must have been the Minister, not the Ministry. The Ministry is not a legal persona, capable of being sued.</w:t>
      </w:r>
      <w:r w:rsidR="00461655" w:rsidRPr="000611D7">
        <w:rPr>
          <w:rFonts w:ascii="Times New Roman" w:hAnsi="Times New Roman" w:cs="Times New Roman"/>
        </w:rPr>
        <w:t>” (underlining added for emphasis)</w:t>
      </w:r>
    </w:p>
    <w:p w14:paraId="641EB58F" w14:textId="77777777" w:rsidR="00461655" w:rsidRPr="00F239A7" w:rsidRDefault="00461655" w:rsidP="00461655">
      <w:pPr>
        <w:autoSpaceDE w:val="0"/>
        <w:autoSpaceDN w:val="0"/>
        <w:adjustRightInd w:val="0"/>
        <w:spacing w:after="0" w:line="360" w:lineRule="auto"/>
        <w:jc w:val="both"/>
        <w:rPr>
          <w:rFonts w:ascii="Times New Roman" w:hAnsi="Times New Roman" w:cs="Times New Roman"/>
          <w:sz w:val="24"/>
          <w:szCs w:val="24"/>
        </w:rPr>
      </w:pPr>
    </w:p>
    <w:p w14:paraId="41374496" w14:textId="19CBD3B5" w:rsidR="00362B27" w:rsidRPr="000611D7" w:rsidRDefault="00461655" w:rsidP="000611D7">
      <w:pPr>
        <w:autoSpaceDE w:val="0"/>
        <w:autoSpaceDN w:val="0"/>
        <w:adjustRightInd w:val="0"/>
        <w:spacing w:line="360" w:lineRule="auto"/>
        <w:ind w:firstLine="720"/>
        <w:jc w:val="both"/>
        <w:rPr>
          <w:rFonts w:ascii="Times New Roman" w:hAnsi="Times New Roman" w:cs="Times New Roman"/>
          <w:sz w:val="24"/>
          <w:szCs w:val="24"/>
        </w:rPr>
      </w:pPr>
      <w:r w:rsidRPr="00F239A7">
        <w:rPr>
          <w:rFonts w:ascii="Times New Roman" w:hAnsi="Times New Roman" w:cs="Times New Roman"/>
          <w:sz w:val="24"/>
          <w:szCs w:val="24"/>
        </w:rPr>
        <w:t xml:space="preserve">The learned judge went on to refer to the </w:t>
      </w:r>
      <w:r w:rsidR="00A436CB" w:rsidRPr="00F239A7">
        <w:rPr>
          <w:rFonts w:ascii="Times New Roman" w:hAnsi="Times New Roman" w:cs="Times New Roman"/>
          <w:sz w:val="24"/>
          <w:szCs w:val="24"/>
        </w:rPr>
        <w:t>often-cited</w:t>
      </w:r>
      <w:r w:rsidRPr="00F239A7">
        <w:rPr>
          <w:rFonts w:ascii="Times New Roman" w:hAnsi="Times New Roman" w:cs="Times New Roman"/>
          <w:sz w:val="24"/>
          <w:szCs w:val="24"/>
        </w:rPr>
        <w:t xml:space="preserve"> case of </w:t>
      </w:r>
      <w:r w:rsidRPr="00F239A7">
        <w:rPr>
          <w:rFonts w:ascii="Times New Roman" w:hAnsi="Times New Roman" w:cs="Times New Roman"/>
          <w:i/>
          <w:iCs/>
          <w:sz w:val="24"/>
          <w:szCs w:val="24"/>
        </w:rPr>
        <w:t xml:space="preserve">Fadzai John </w:t>
      </w:r>
      <w:r w:rsidRPr="00200A3A">
        <w:rPr>
          <w:rFonts w:ascii="Times New Roman" w:hAnsi="Times New Roman" w:cs="Times New Roman"/>
          <w:iCs/>
          <w:sz w:val="24"/>
          <w:szCs w:val="24"/>
        </w:rPr>
        <w:t>v</w:t>
      </w:r>
      <w:r w:rsidRPr="00F239A7">
        <w:rPr>
          <w:rFonts w:ascii="Times New Roman" w:hAnsi="Times New Roman" w:cs="Times New Roman"/>
          <w:i/>
          <w:iCs/>
          <w:sz w:val="24"/>
          <w:szCs w:val="24"/>
        </w:rPr>
        <w:t xml:space="preserve"> Delta Beverages</w:t>
      </w:r>
      <w:r w:rsidRPr="00F239A7">
        <w:rPr>
          <w:rFonts w:ascii="Times New Roman" w:hAnsi="Times New Roman" w:cs="Times New Roman"/>
          <w:sz w:val="24"/>
          <w:szCs w:val="24"/>
        </w:rPr>
        <w:t xml:space="preserve">, </w:t>
      </w:r>
      <w:r w:rsidRPr="00F239A7">
        <w:rPr>
          <w:rFonts w:ascii="Times New Roman" w:hAnsi="Times New Roman" w:cs="Times New Roman"/>
          <w:i/>
          <w:iCs/>
          <w:sz w:val="24"/>
          <w:szCs w:val="24"/>
        </w:rPr>
        <w:t>supra</w:t>
      </w:r>
      <w:r w:rsidR="00A436CB" w:rsidRPr="00F239A7">
        <w:rPr>
          <w:rFonts w:ascii="Times New Roman" w:hAnsi="Times New Roman" w:cs="Times New Roman"/>
          <w:sz w:val="24"/>
          <w:szCs w:val="24"/>
        </w:rPr>
        <w:t>, and other authorities, wherein the same point was underscored, at 6:</w:t>
      </w:r>
    </w:p>
    <w:p w14:paraId="4229F54E" w14:textId="4F716D56" w:rsidR="00965DAE" w:rsidRPr="000611D7" w:rsidRDefault="00A436CB" w:rsidP="000611D7">
      <w:pPr>
        <w:pStyle w:val="Default"/>
        <w:ind w:left="720"/>
        <w:jc w:val="both"/>
        <w:rPr>
          <w:sz w:val="22"/>
          <w:szCs w:val="16"/>
        </w:rPr>
      </w:pPr>
      <w:r w:rsidRPr="000611D7">
        <w:rPr>
          <w:sz w:val="22"/>
          <w:szCs w:val="16"/>
        </w:rPr>
        <w:t>“</w:t>
      </w:r>
      <w:r w:rsidR="001B7531" w:rsidRPr="000611D7">
        <w:rPr>
          <w:i/>
          <w:iCs/>
          <w:sz w:val="22"/>
          <w:szCs w:val="16"/>
        </w:rPr>
        <w:t xml:space="preserve">In Fadzai John </w:t>
      </w:r>
      <w:r w:rsidR="001B7531" w:rsidRPr="000611D7">
        <w:rPr>
          <w:sz w:val="22"/>
          <w:szCs w:val="16"/>
        </w:rPr>
        <w:t xml:space="preserve">v </w:t>
      </w:r>
      <w:r w:rsidR="001B7531" w:rsidRPr="000611D7">
        <w:rPr>
          <w:i/>
          <w:iCs/>
          <w:sz w:val="22"/>
          <w:szCs w:val="16"/>
        </w:rPr>
        <w:t xml:space="preserve">Delta Beverages </w:t>
      </w:r>
      <w:r w:rsidR="001B7531" w:rsidRPr="000611D7">
        <w:rPr>
          <w:sz w:val="22"/>
          <w:szCs w:val="16"/>
        </w:rPr>
        <w:t xml:space="preserve">SC 40/17 the court observed at page 4 that:  “In </w:t>
      </w:r>
      <w:r w:rsidR="001B7531" w:rsidRPr="000611D7">
        <w:rPr>
          <w:i/>
          <w:iCs/>
          <w:sz w:val="22"/>
          <w:szCs w:val="16"/>
        </w:rPr>
        <w:t xml:space="preserve">Gariya Safaris (Pvt) Ltd </w:t>
      </w:r>
      <w:r w:rsidR="001B7531" w:rsidRPr="000611D7">
        <w:rPr>
          <w:sz w:val="22"/>
          <w:szCs w:val="16"/>
        </w:rPr>
        <w:t xml:space="preserve">v </w:t>
      </w:r>
      <w:r w:rsidR="001B7531" w:rsidRPr="000611D7">
        <w:rPr>
          <w:i/>
          <w:iCs/>
          <w:sz w:val="22"/>
          <w:szCs w:val="16"/>
        </w:rPr>
        <w:t xml:space="preserve">van Wyk </w:t>
      </w:r>
      <w:r w:rsidR="001B7531" w:rsidRPr="000611D7">
        <w:rPr>
          <w:sz w:val="22"/>
          <w:szCs w:val="16"/>
        </w:rPr>
        <w:t xml:space="preserve">1996 (2) ZLR 246 (H) it was stated as follows: ‘A summons has legal force and effect when it is issued by the plaintiff against an existing legal or natural person. If there is no legal or natural person answering to the names written in the summons as being those of the defendant, the summons is null and void </w:t>
      </w:r>
      <w:r w:rsidR="001B7531" w:rsidRPr="000611D7">
        <w:rPr>
          <w:i/>
          <w:iCs/>
          <w:sz w:val="22"/>
          <w:szCs w:val="16"/>
        </w:rPr>
        <w:t>ab initio.</w:t>
      </w:r>
      <w:r w:rsidR="001B7531" w:rsidRPr="000611D7">
        <w:rPr>
          <w:sz w:val="22"/>
          <w:szCs w:val="16"/>
        </w:rPr>
        <w:t xml:space="preserve">” In this case number HC 2031/15 the applicant cited a non-existent third respondent. See </w:t>
      </w:r>
      <w:r w:rsidR="001B7531" w:rsidRPr="000611D7">
        <w:rPr>
          <w:i/>
          <w:sz w:val="22"/>
          <w:szCs w:val="16"/>
        </w:rPr>
        <w:t>Amos Makono &amp; 32 Others v Freda Rebecca Gold Mine</w:t>
      </w:r>
      <w:r w:rsidR="001B7531" w:rsidRPr="000611D7">
        <w:rPr>
          <w:sz w:val="22"/>
          <w:szCs w:val="16"/>
        </w:rPr>
        <w:t xml:space="preserve"> HH 400 / 18, </w:t>
      </w:r>
      <w:r w:rsidR="001B7531" w:rsidRPr="000611D7">
        <w:rPr>
          <w:i/>
          <w:iCs/>
          <w:sz w:val="22"/>
          <w:szCs w:val="16"/>
        </w:rPr>
        <w:t xml:space="preserve">Masuka </w:t>
      </w:r>
      <w:r w:rsidR="001B7531" w:rsidRPr="000611D7">
        <w:rPr>
          <w:sz w:val="22"/>
          <w:szCs w:val="16"/>
        </w:rPr>
        <w:t xml:space="preserve">v </w:t>
      </w:r>
      <w:r w:rsidR="001B7531" w:rsidRPr="000611D7">
        <w:rPr>
          <w:i/>
          <w:iCs/>
          <w:sz w:val="22"/>
          <w:szCs w:val="16"/>
        </w:rPr>
        <w:t xml:space="preserve">Delta Belverages </w:t>
      </w:r>
      <w:r w:rsidR="001B7531" w:rsidRPr="000611D7">
        <w:rPr>
          <w:sz w:val="22"/>
          <w:szCs w:val="16"/>
        </w:rPr>
        <w:t xml:space="preserve">HB 2012 (1) </w:t>
      </w:r>
      <w:r w:rsidR="001B7531" w:rsidRPr="000611D7">
        <w:rPr>
          <w:sz w:val="22"/>
          <w:szCs w:val="16"/>
        </w:rPr>
        <w:lastRenderedPageBreak/>
        <w:t xml:space="preserve">ZLR 112, </w:t>
      </w:r>
      <w:r w:rsidR="001B7531" w:rsidRPr="000611D7">
        <w:rPr>
          <w:i/>
          <w:iCs/>
          <w:sz w:val="22"/>
          <w:szCs w:val="16"/>
        </w:rPr>
        <w:t xml:space="preserve">Masukume </w:t>
      </w:r>
      <w:r w:rsidR="001B7531" w:rsidRPr="000611D7">
        <w:rPr>
          <w:sz w:val="22"/>
          <w:szCs w:val="16"/>
        </w:rPr>
        <w:t xml:space="preserve">v </w:t>
      </w:r>
      <w:r w:rsidR="001B7531" w:rsidRPr="000611D7">
        <w:rPr>
          <w:i/>
          <w:iCs/>
          <w:sz w:val="22"/>
          <w:szCs w:val="16"/>
        </w:rPr>
        <w:t xml:space="preserve">Treston Enterprise (Pvt) Ltd </w:t>
      </w:r>
      <w:r w:rsidR="001B7531" w:rsidRPr="000611D7">
        <w:rPr>
          <w:sz w:val="22"/>
          <w:szCs w:val="16"/>
        </w:rPr>
        <w:t xml:space="preserve">HH 416/15, </w:t>
      </w:r>
      <w:r w:rsidR="001B7531" w:rsidRPr="000611D7">
        <w:rPr>
          <w:i/>
          <w:iCs/>
          <w:sz w:val="22"/>
          <w:szCs w:val="16"/>
        </w:rPr>
        <w:t xml:space="preserve">Nuvert Trading (Pvt) Ltd </w:t>
      </w:r>
      <w:r w:rsidR="001B7531" w:rsidRPr="000611D7">
        <w:rPr>
          <w:sz w:val="22"/>
          <w:szCs w:val="16"/>
        </w:rPr>
        <w:t xml:space="preserve">v </w:t>
      </w:r>
      <w:r w:rsidR="001B7531" w:rsidRPr="000611D7">
        <w:rPr>
          <w:i/>
          <w:iCs/>
          <w:sz w:val="22"/>
          <w:szCs w:val="16"/>
        </w:rPr>
        <w:t xml:space="preserve">Hwange Colliery </w:t>
      </w:r>
      <w:r w:rsidR="001B7531" w:rsidRPr="000611D7">
        <w:rPr>
          <w:sz w:val="22"/>
          <w:szCs w:val="16"/>
        </w:rPr>
        <w:t xml:space="preserve">HH 791/15, </w:t>
      </w:r>
      <w:r w:rsidR="001B7531" w:rsidRPr="000611D7">
        <w:rPr>
          <w:i/>
          <w:iCs/>
          <w:sz w:val="22"/>
          <w:szCs w:val="16"/>
        </w:rPr>
        <w:t xml:space="preserve">CT Bolts (Pvt) Ltd </w:t>
      </w:r>
      <w:r w:rsidR="001B7531" w:rsidRPr="000611D7">
        <w:rPr>
          <w:sz w:val="22"/>
          <w:szCs w:val="16"/>
        </w:rPr>
        <w:t xml:space="preserve">v </w:t>
      </w:r>
      <w:r w:rsidR="001B7531" w:rsidRPr="000611D7">
        <w:rPr>
          <w:i/>
          <w:iCs/>
          <w:sz w:val="22"/>
          <w:szCs w:val="16"/>
        </w:rPr>
        <w:t xml:space="preserve">Workers’ Committee </w:t>
      </w:r>
      <w:r w:rsidR="001B7531" w:rsidRPr="000611D7">
        <w:rPr>
          <w:sz w:val="22"/>
          <w:szCs w:val="16"/>
        </w:rPr>
        <w:t xml:space="preserve">2012 (1) ZLR 363 (S), </w:t>
      </w:r>
      <w:r w:rsidR="001B7531" w:rsidRPr="000611D7">
        <w:rPr>
          <w:i/>
          <w:iCs/>
          <w:sz w:val="22"/>
          <w:szCs w:val="16"/>
        </w:rPr>
        <w:t xml:space="preserve">Gariya Safaris (Pvt) Ltd </w:t>
      </w:r>
      <w:r w:rsidR="001B7531" w:rsidRPr="000611D7">
        <w:rPr>
          <w:sz w:val="22"/>
          <w:szCs w:val="16"/>
        </w:rPr>
        <w:t xml:space="preserve">v </w:t>
      </w:r>
      <w:r w:rsidR="001B7531" w:rsidRPr="000611D7">
        <w:rPr>
          <w:i/>
          <w:iCs/>
          <w:sz w:val="22"/>
          <w:szCs w:val="16"/>
        </w:rPr>
        <w:t xml:space="preserve">van Wyk </w:t>
      </w:r>
      <w:r w:rsidR="001B7531" w:rsidRPr="000611D7">
        <w:rPr>
          <w:sz w:val="22"/>
          <w:szCs w:val="16"/>
        </w:rPr>
        <w:t xml:space="preserve">1996 (2) ZLR 246 (H) all referred to by the applicant; </w:t>
      </w:r>
      <w:r w:rsidR="001B7531" w:rsidRPr="000611D7">
        <w:rPr>
          <w:i/>
          <w:iCs/>
          <w:sz w:val="22"/>
          <w:szCs w:val="16"/>
        </w:rPr>
        <w:t xml:space="preserve">Marange Resources (Private) Limited </w:t>
      </w:r>
      <w:r w:rsidR="001B7531" w:rsidRPr="000611D7">
        <w:rPr>
          <w:sz w:val="22"/>
          <w:szCs w:val="16"/>
        </w:rPr>
        <w:t xml:space="preserve">v </w:t>
      </w:r>
      <w:r w:rsidR="001B7531" w:rsidRPr="000611D7">
        <w:rPr>
          <w:i/>
          <w:iCs/>
          <w:sz w:val="22"/>
          <w:szCs w:val="16"/>
        </w:rPr>
        <w:t xml:space="preserve">Core Mining &amp; Minerals (Private) Limited (in liquidation) &amp; Ors </w:t>
      </w:r>
      <w:r w:rsidR="001B7531" w:rsidRPr="000611D7">
        <w:rPr>
          <w:sz w:val="22"/>
          <w:szCs w:val="16"/>
        </w:rPr>
        <w:t xml:space="preserve">SC 37/16 and </w:t>
      </w:r>
      <w:r w:rsidR="001B7531" w:rsidRPr="000611D7">
        <w:rPr>
          <w:i/>
          <w:iCs/>
          <w:sz w:val="22"/>
          <w:szCs w:val="16"/>
        </w:rPr>
        <w:t xml:space="preserve">Stewart Scott Kennedy </w:t>
      </w:r>
      <w:r w:rsidR="001B7531" w:rsidRPr="000611D7">
        <w:rPr>
          <w:sz w:val="22"/>
          <w:szCs w:val="16"/>
        </w:rPr>
        <w:t xml:space="preserve">v </w:t>
      </w:r>
      <w:r w:rsidR="001B7531" w:rsidRPr="000611D7">
        <w:rPr>
          <w:i/>
          <w:iCs/>
          <w:sz w:val="22"/>
          <w:szCs w:val="16"/>
        </w:rPr>
        <w:t xml:space="preserve">Mazongororo Syringes (Pvt) Ltd </w:t>
      </w:r>
      <w:r w:rsidR="001B7531" w:rsidRPr="000611D7">
        <w:rPr>
          <w:sz w:val="22"/>
          <w:szCs w:val="16"/>
        </w:rPr>
        <w:t>1996 (2) ZLR 565 (S).)</w:t>
      </w:r>
    </w:p>
    <w:p w14:paraId="537D3F73" w14:textId="77777777" w:rsidR="00965DAE" w:rsidRPr="000611D7" w:rsidRDefault="00965DAE" w:rsidP="000611D7">
      <w:pPr>
        <w:pStyle w:val="Default"/>
        <w:jc w:val="both"/>
        <w:rPr>
          <w:sz w:val="22"/>
          <w:szCs w:val="16"/>
        </w:rPr>
      </w:pPr>
    </w:p>
    <w:p w14:paraId="70FE4318" w14:textId="77777777" w:rsidR="00965DAE" w:rsidRPr="00965DAE" w:rsidRDefault="00965DAE" w:rsidP="00965DAE">
      <w:pPr>
        <w:pStyle w:val="Default"/>
        <w:spacing w:line="360" w:lineRule="auto"/>
        <w:jc w:val="both"/>
      </w:pPr>
    </w:p>
    <w:p w14:paraId="52C163D4" w14:textId="510E013E" w:rsidR="00965DAE" w:rsidRPr="00965DAE" w:rsidRDefault="00965DAE" w:rsidP="00965DAE">
      <w:pPr>
        <w:pStyle w:val="Default"/>
        <w:spacing w:line="360" w:lineRule="auto"/>
        <w:jc w:val="both"/>
        <w:rPr>
          <w:u w:val="single"/>
        </w:rPr>
      </w:pPr>
      <w:r w:rsidRPr="00965DAE">
        <w:rPr>
          <w:u w:val="single"/>
        </w:rPr>
        <w:t>APPLICATION OF THE LAW</w:t>
      </w:r>
    </w:p>
    <w:p w14:paraId="2EF8CEF0" w14:textId="77B22C6E" w:rsidR="00310FFF" w:rsidRPr="00F239A7" w:rsidRDefault="00310FFF" w:rsidP="000611D7">
      <w:pPr>
        <w:pStyle w:val="Default"/>
        <w:spacing w:line="360" w:lineRule="auto"/>
        <w:ind w:firstLine="720"/>
        <w:jc w:val="both"/>
      </w:pPr>
      <w:r w:rsidRPr="00F239A7">
        <w:t xml:space="preserve">From the above case authorities, and the numerous other cases referred to therein, it is clear that the citation of a non-existent entity, an entity with no legal </w:t>
      </w:r>
      <w:r w:rsidRPr="00F239A7">
        <w:rPr>
          <w:i/>
          <w:iCs/>
        </w:rPr>
        <w:t>persona</w:t>
      </w:r>
      <w:r w:rsidRPr="00F239A7">
        <w:t xml:space="preserve">, deals a fatal blow to an action or application. The applicants cannot opt, as they contend, to sue </w:t>
      </w:r>
      <w:r w:rsidR="0002055E" w:rsidRPr="00F239A7">
        <w:t xml:space="preserve">a non-existent entity. For their application to be valid, the entity sued must be clothed with legal </w:t>
      </w:r>
      <w:r w:rsidR="0002055E" w:rsidRPr="00F239A7">
        <w:rPr>
          <w:i/>
          <w:iCs/>
        </w:rPr>
        <w:t>persona</w:t>
      </w:r>
      <w:r w:rsidR="0002055E" w:rsidRPr="00F239A7">
        <w:t xml:space="preserve">. If it is not a legal </w:t>
      </w:r>
      <w:r w:rsidR="0002055E" w:rsidRPr="00F239A7">
        <w:rPr>
          <w:i/>
          <w:iCs/>
        </w:rPr>
        <w:t>persona</w:t>
      </w:r>
      <w:r w:rsidR="0002055E" w:rsidRPr="00F239A7">
        <w:t>, then the application is incurably defective.</w:t>
      </w:r>
    </w:p>
    <w:p w14:paraId="5DAB3429" w14:textId="0FA84DE9" w:rsidR="00EA596F" w:rsidRPr="00200A3A" w:rsidRDefault="0002055E" w:rsidP="00200A3A">
      <w:pPr>
        <w:pStyle w:val="Default"/>
        <w:spacing w:after="240" w:line="360" w:lineRule="auto"/>
        <w:ind w:firstLine="720"/>
        <w:jc w:val="both"/>
      </w:pPr>
      <w:r w:rsidRPr="00F239A7">
        <w:t xml:space="preserve">The argument that the first respondent is not the only respondent cited does not save the application. </w:t>
      </w:r>
      <w:r w:rsidR="00EA596F" w:rsidRPr="00F239A7">
        <w:t xml:space="preserve">It is vitiated by the citation of the first respondent, who is not a legal </w:t>
      </w:r>
      <w:r w:rsidR="00EA596F" w:rsidRPr="00F239A7">
        <w:rPr>
          <w:i/>
          <w:iCs/>
        </w:rPr>
        <w:t>persona</w:t>
      </w:r>
      <w:r w:rsidR="00EA596F" w:rsidRPr="00F239A7">
        <w:t xml:space="preserve">. In </w:t>
      </w:r>
      <w:r w:rsidR="00EA596F" w:rsidRPr="00F239A7">
        <w:rPr>
          <w:i/>
          <w:iCs/>
        </w:rPr>
        <w:t>K and G Mining Sydicate, supra</w:t>
      </w:r>
      <w:r w:rsidR="00EA596F" w:rsidRPr="00F239A7">
        <w:t>, the court further remarked, at p 7:</w:t>
      </w:r>
    </w:p>
    <w:p w14:paraId="5D30A441" w14:textId="71C5DE3A" w:rsidR="000F3D91" w:rsidRPr="00200A3A" w:rsidRDefault="00EA596F" w:rsidP="00200A3A">
      <w:pPr>
        <w:spacing w:line="240" w:lineRule="auto"/>
        <w:ind w:left="720"/>
        <w:rPr>
          <w:rFonts w:ascii="Times New Roman" w:hAnsi="Times New Roman" w:cs="Times New Roman"/>
          <w:szCs w:val="16"/>
        </w:rPr>
      </w:pPr>
      <w:r w:rsidRPr="000611D7">
        <w:rPr>
          <w:rFonts w:ascii="Times New Roman" w:hAnsi="Times New Roman" w:cs="Times New Roman"/>
          <w:szCs w:val="16"/>
        </w:rPr>
        <w:t>“I take the view that nothing turns on the fact that the second and third respondents herein do not oppose the relief sought by the applicant in this application. On the facts of this case, this court cannot invoke rule 449 for the purposes sought by the applicant, even if second and third respondent are not opposed to the order sought. A party cannot confer jurisdiction to this court which it does not have.”</w:t>
      </w:r>
    </w:p>
    <w:p w14:paraId="065E8479" w14:textId="4EEB49DC" w:rsidR="001C1C9D" w:rsidRDefault="008604ED" w:rsidP="00200A3A">
      <w:pPr>
        <w:ind w:firstLine="720"/>
        <w:rPr>
          <w:rFonts w:ascii="Times New Roman" w:hAnsi="Times New Roman" w:cs="Times New Roman"/>
          <w:sz w:val="24"/>
          <w:szCs w:val="24"/>
        </w:rPr>
      </w:pPr>
      <w:r w:rsidRPr="00F239A7">
        <w:rPr>
          <w:rFonts w:ascii="Times New Roman" w:hAnsi="Times New Roman" w:cs="Times New Roman"/>
          <w:sz w:val="24"/>
          <w:szCs w:val="24"/>
        </w:rPr>
        <w:t xml:space="preserve">Thus, the weight of authorities is simply not behind the applicants’ averment that it matters not whether one cites the Ministry or the Minister. The fundamental point, which the applicants miss, is that the entity sued must have legal </w:t>
      </w:r>
      <w:r w:rsidRPr="00F239A7">
        <w:rPr>
          <w:rFonts w:ascii="Times New Roman" w:hAnsi="Times New Roman" w:cs="Times New Roman"/>
          <w:i/>
          <w:iCs/>
          <w:sz w:val="24"/>
          <w:szCs w:val="24"/>
        </w:rPr>
        <w:t>persona</w:t>
      </w:r>
      <w:r w:rsidRPr="00F239A7">
        <w:rPr>
          <w:rFonts w:ascii="Times New Roman" w:hAnsi="Times New Roman" w:cs="Times New Roman"/>
          <w:sz w:val="24"/>
          <w:szCs w:val="24"/>
        </w:rPr>
        <w:t xml:space="preserve">. The application is rendered null and void </w:t>
      </w:r>
      <w:r w:rsidRPr="00F239A7">
        <w:rPr>
          <w:rFonts w:ascii="Times New Roman" w:hAnsi="Times New Roman" w:cs="Times New Roman"/>
          <w:i/>
          <w:iCs/>
          <w:sz w:val="24"/>
          <w:szCs w:val="24"/>
        </w:rPr>
        <w:t>ab initio</w:t>
      </w:r>
      <w:r w:rsidRPr="00F239A7">
        <w:rPr>
          <w:rFonts w:ascii="Times New Roman" w:hAnsi="Times New Roman" w:cs="Times New Roman"/>
          <w:sz w:val="24"/>
          <w:szCs w:val="24"/>
        </w:rPr>
        <w:t xml:space="preserve"> </w:t>
      </w:r>
      <w:r w:rsidR="000E1D99" w:rsidRPr="00F239A7">
        <w:rPr>
          <w:rFonts w:ascii="Times New Roman" w:hAnsi="Times New Roman" w:cs="Times New Roman"/>
          <w:sz w:val="24"/>
          <w:szCs w:val="24"/>
        </w:rPr>
        <w:t xml:space="preserve">if the respondent lacks legal </w:t>
      </w:r>
      <w:r w:rsidR="000E1D99" w:rsidRPr="00F239A7">
        <w:rPr>
          <w:rFonts w:ascii="Times New Roman" w:hAnsi="Times New Roman" w:cs="Times New Roman"/>
          <w:i/>
          <w:iCs/>
          <w:sz w:val="24"/>
          <w:szCs w:val="24"/>
        </w:rPr>
        <w:t>persona</w:t>
      </w:r>
      <w:r w:rsidR="000E1D99" w:rsidRPr="00F239A7">
        <w:rPr>
          <w:rFonts w:ascii="Times New Roman" w:hAnsi="Times New Roman" w:cs="Times New Roman"/>
          <w:sz w:val="24"/>
          <w:szCs w:val="24"/>
        </w:rPr>
        <w:t>. The applicants have tried, without success, to wriggle out of this legal predicament. It</w:t>
      </w:r>
      <w:r w:rsidR="00E24CC9" w:rsidRPr="00F239A7">
        <w:rPr>
          <w:rFonts w:ascii="Times New Roman" w:hAnsi="Times New Roman" w:cs="Times New Roman"/>
          <w:sz w:val="24"/>
          <w:szCs w:val="24"/>
        </w:rPr>
        <w:t xml:space="preserve"> is</w:t>
      </w:r>
      <w:r w:rsidR="000E1D99" w:rsidRPr="00F239A7">
        <w:rPr>
          <w:rFonts w:ascii="Times New Roman" w:hAnsi="Times New Roman" w:cs="Times New Roman"/>
          <w:sz w:val="24"/>
          <w:szCs w:val="24"/>
        </w:rPr>
        <w:t xml:space="preserve"> a predicament which they have brought upon themselves.  The proper course of action to take is to strike </w:t>
      </w:r>
      <w:r w:rsidR="00E24CC9" w:rsidRPr="00F239A7">
        <w:rPr>
          <w:rFonts w:ascii="Times New Roman" w:hAnsi="Times New Roman" w:cs="Times New Roman"/>
          <w:sz w:val="24"/>
          <w:szCs w:val="24"/>
        </w:rPr>
        <w:t>this matter</w:t>
      </w:r>
      <w:r w:rsidR="000E1D99" w:rsidRPr="00F239A7">
        <w:rPr>
          <w:rFonts w:ascii="Times New Roman" w:hAnsi="Times New Roman" w:cs="Times New Roman"/>
          <w:sz w:val="24"/>
          <w:szCs w:val="24"/>
        </w:rPr>
        <w:t xml:space="preserve"> off the roll. I</w:t>
      </w:r>
      <w:r w:rsidR="00E24CC9" w:rsidRPr="00F239A7">
        <w:rPr>
          <w:rFonts w:ascii="Times New Roman" w:hAnsi="Times New Roman" w:cs="Times New Roman"/>
          <w:sz w:val="24"/>
          <w:szCs w:val="24"/>
        </w:rPr>
        <w:t>t</w:t>
      </w:r>
      <w:r w:rsidR="000E1D99" w:rsidRPr="00F239A7">
        <w:rPr>
          <w:rFonts w:ascii="Times New Roman" w:hAnsi="Times New Roman" w:cs="Times New Roman"/>
          <w:sz w:val="24"/>
          <w:szCs w:val="24"/>
        </w:rPr>
        <w:t xml:space="preserve"> is unnecessary to delve into the other points </w:t>
      </w:r>
      <w:r w:rsidR="000E1D99" w:rsidRPr="00F239A7">
        <w:rPr>
          <w:rFonts w:ascii="Times New Roman" w:hAnsi="Times New Roman" w:cs="Times New Roman"/>
          <w:i/>
          <w:iCs/>
          <w:sz w:val="24"/>
          <w:szCs w:val="24"/>
        </w:rPr>
        <w:t>in limine</w:t>
      </w:r>
      <w:r w:rsidR="000E1D99" w:rsidRPr="00F239A7">
        <w:rPr>
          <w:rFonts w:ascii="Times New Roman" w:hAnsi="Times New Roman" w:cs="Times New Roman"/>
          <w:sz w:val="24"/>
          <w:szCs w:val="24"/>
        </w:rPr>
        <w:t>.</w:t>
      </w:r>
    </w:p>
    <w:p w14:paraId="3822497E" w14:textId="06C09357" w:rsidR="002F0638" w:rsidRPr="002F0638" w:rsidRDefault="002F0638" w:rsidP="00EA596F">
      <w:pPr>
        <w:rPr>
          <w:rFonts w:ascii="Times New Roman" w:hAnsi="Times New Roman" w:cs="Times New Roman"/>
          <w:sz w:val="24"/>
          <w:szCs w:val="24"/>
          <w:u w:val="single"/>
        </w:rPr>
      </w:pPr>
      <w:r w:rsidRPr="002F0638">
        <w:rPr>
          <w:rFonts w:ascii="Times New Roman" w:hAnsi="Times New Roman" w:cs="Times New Roman"/>
          <w:sz w:val="24"/>
          <w:szCs w:val="24"/>
          <w:u w:val="single"/>
        </w:rPr>
        <w:t>DISPOSTION</w:t>
      </w:r>
    </w:p>
    <w:p w14:paraId="2A49E1E1" w14:textId="4B72E99A" w:rsidR="000E1D99" w:rsidRPr="00F239A7" w:rsidRDefault="000E1D99" w:rsidP="00200A3A">
      <w:pPr>
        <w:ind w:firstLine="360"/>
        <w:rPr>
          <w:rFonts w:ascii="Times New Roman" w:hAnsi="Times New Roman" w:cs="Times New Roman"/>
          <w:b/>
          <w:bCs/>
          <w:sz w:val="24"/>
          <w:szCs w:val="24"/>
        </w:rPr>
      </w:pPr>
      <w:r w:rsidRPr="00F239A7">
        <w:rPr>
          <w:rFonts w:ascii="Times New Roman" w:hAnsi="Times New Roman" w:cs="Times New Roman"/>
          <w:b/>
          <w:bCs/>
          <w:sz w:val="24"/>
          <w:szCs w:val="24"/>
        </w:rPr>
        <w:t>In the result, it is ordered that:</w:t>
      </w:r>
    </w:p>
    <w:p w14:paraId="6A906D18" w14:textId="534C4AA6" w:rsidR="000E1D99" w:rsidRPr="00F239A7" w:rsidRDefault="000E1D99" w:rsidP="000E1D99">
      <w:pPr>
        <w:pStyle w:val="ListParagraph"/>
        <w:numPr>
          <w:ilvl w:val="0"/>
          <w:numId w:val="2"/>
        </w:numPr>
        <w:rPr>
          <w:rFonts w:ascii="Times New Roman" w:hAnsi="Times New Roman" w:cs="Times New Roman"/>
          <w:sz w:val="24"/>
          <w:szCs w:val="24"/>
        </w:rPr>
      </w:pPr>
      <w:r w:rsidRPr="00F239A7">
        <w:rPr>
          <w:rFonts w:ascii="Times New Roman" w:hAnsi="Times New Roman" w:cs="Times New Roman"/>
          <w:sz w:val="24"/>
          <w:szCs w:val="24"/>
        </w:rPr>
        <w:t>The application be and is hereby struck off the roll.</w:t>
      </w:r>
    </w:p>
    <w:p w14:paraId="5FD95302" w14:textId="15D97C54" w:rsidR="00DA6805" w:rsidRPr="00200A3A" w:rsidRDefault="000E1D99" w:rsidP="00DA6805">
      <w:pPr>
        <w:pStyle w:val="ListParagraph"/>
        <w:numPr>
          <w:ilvl w:val="0"/>
          <w:numId w:val="2"/>
        </w:numPr>
        <w:rPr>
          <w:rFonts w:ascii="Times New Roman" w:hAnsi="Times New Roman" w:cs="Times New Roman"/>
          <w:i/>
          <w:iCs/>
          <w:sz w:val="24"/>
          <w:szCs w:val="24"/>
        </w:rPr>
      </w:pPr>
      <w:r w:rsidRPr="00F239A7">
        <w:rPr>
          <w:rFonts w:ascii="Times New Roman" w:hAnsi="Times New Roman" w:cs="Times New Roman"/>
          <w:sz w:val="24"/>
          <w:szCs w:val="24"/>
        </w:rPr>
        <w:t xml:space="preserve">The applicants bear the </w:t>
      </w:r>
      <w:r w:rsidR="006875D3" w:rsidRPr="00F239A7">
        <w:rPr>
          <w:rFonts w:ascii="Times New Roman" w:hAnsi="Times New Roman" w:cs="Times New Roman"/>
          <w:sz w:val="24"/>
          <w:szCs w:val="24"/>
        </w:rPr>
        <w:t>respondents’ costs jointly and severally, the one paying the others to be absolved.</w:t>
      </w:r>
    </w:p>
    <w:p w14:paraId="42F87A42" w14:textId="77777777" w:rsidR="00200A3A" w:rsidRDefault="00200A3A" w:rsidP="00200A3A">
      <w:pPr>
        <w:ind w:left="360"/>
        <w:rPr>
          <w:rFonts w:ascii="Times New Roman" w:hAnsi="Times New Roman" w:cs="Times New Roman"/>
          <w:i/>
          <w:iCs/>
          <w:sz w:val="24"/>
          <w:szCs w:val="24"/>
        </w:rPr>
      </w:pPr>
    </w:p>
    <w:p w14:paraId="51770F4A" w14:textId="77777777" w:rsidR="00200A3A" w:rsidRDefault="00200A3A" w:rsidP="00200A3A">
      <w:pPr>
        <w:ind w:left="360"/>
        <w:rPr>
          <w:rFonts w:ascii="Times New Roman" w:hAnsi="Times New Roman" w:cs="Times New Roman"/>
          <w:i/>
          <w:iCs/>
          <w:sz w:val="24"/>
          <w:szCs w:val="24"/>
        </w:rPr>
      </w:pPr>
    </w:p>
    <w:p w14:paraId="5F927780" w14:textId="540AC144" w:rsidR="00200A3A" w:rsidRPr="00200A3A" w:rsidRDefault="00200A3A" w:rsidP="00200A3A">
      <w:pPr>
        <w:rPr>
          <w:rFonts w:ascii="Times New Roman" w:hAnsi="Times New Roman" w:cs="Times New Roman"/>
          <w:iCs/>
          <w:smallCaps/>
          <w:sz w:val="24"/>
          <w:szCs w:val="24"/>
        </w:rPr>
      </w:pPr>
      <w:r w:rsidRPr="00200A3A">
        <w:rPr>
          <w:rFonts w:ascii="Times New Roman" w:hAnsi="Times New Roman" w:cs="Times New Roman"/>
          <w:iCs/>
          <w:smallCaps/>
          <w:sz w:val="24"/>
          <w:szCs w:val="24"/>
        </w:rPr>
        <w:t xml:space="preserve">Manyangadze </w:t>
      </w:r>
      <w:r>
        <w:rPr>
          <w:rFonts w:ascii="Times New Roman" w:hAnsi="Times New Roman" w:cs="Times New Roman"/>
          <w:iCs/>
          <w:smallCaps/>
          <w:sz w:val="24"/>
          <w:szCs w:val="24"/>
        </w:rPr>
        <w:t>J…………………………………….</w:t>
      </w:r>
    </w:p>
    <w:p w14:paraId="3BA52A3D" w14:textId="77777777" w:rsidR="00200A3A" w:rsidRDefault="00200A3A" w:rsidP="00DA6805">
      <w:pPr>
        <w:rPr>
          <w:rFonts w:ascii="Times New Roman" w:hAnsi="Times New Roman" w:cs="Times New Roman"/>
          <w:i/>
          <w:iCs/>
          <w:sz w:val="24"/>
          <w:szCs w:val="24"/>
        </w:rPr>
      </w:pPr>
    </w:p>
    <w:p w14:paraId="07F4519F" w14:textId="601B4B4D" w:rsidR="00DA6805" w:rsidRPr="00F239A7" w:rsidRDefault="00B5404E" w:rsidP="00DA6805">
      <w:pPr>
        <w:rPr>
          <w:rFonts w:ascii="Times New Roman" w:hAnsi="Times New Roman" w:cs="Times New Roman"/>
          <w:sz w:val="24"/>
          <w:szCs w:val="24"/>
        </w:rPr>
      </w:pPr>
      <w:r w:rsidRPr="00F239A7">
        <w:rPr>
          <w:rFonts w:ascii="Times New Roman" w:hAnsi="Times New Roman" w:cs="Times New Roman"/>
          <w:i/>
          <w:iCs/>
          <w:sz w:val="24"/>
          <w:szCs w:val="24"/>
        </w:rPr>
        <w:lastRenderedPageBreak/>
        <w:t>Gumbo &amp; Associates</w:t>
      </w:r>
      <w:r w:rsidRPr="00F239A7">
        <w:rPr>
          <w:rFonts w:ascii="Times New Roman" w:hAnsi="Times New Roman" w:cs="Times New Roman"/>
          <w:sz w:val="24"/>
          <w:szCs w:val="24"/>
        </w:rPr>
        <w:t>, applicants’ legal practitioners</w:t>
      </w:r>
    </w:p>
    <w:p w14:paraId="2310D107" w14:textId="0C5EB2C4" w:rsidR="00B5404E" w:rsidRPr="00F239A7" w:rsidRDefault="00B5404E" w:rsidP="00DA6805">
      <w:pPr>
        <w:rPr>
          <w:rFonts w:ascii="Times New Roman" w:hAnsi="Times New Roman" w:cs="Times New Roman"/>
          <w:sz w:val="24"/>
          <w:szCs w:val="24"/>
        </w:rPr>
      </w:pPr>
      <w:r w:rsidRPr="00F239A7">
        <w:rPr>
          <w:rFonts w:ascii="Times New Roman" w:hAnsi="Times New Roman" w:cs="Times New Roman"/>
          <w:i/>
          <w:iCs/>
          <w:sz w:val="24"/>
          <w:szCs w:val="24"/>
        </w:rPr>
        <w:t>Civil Division of the Attorney General’s Office</w:t>
      </w:r>
      <w:r w:rsidRPr="00F239A7">
        <w:rPr>
          <w:rFonts w:ascii="Times New Roman" w:hAnsi="Times New Roman" w:cs="Times New Roman"/>
          <w:sz w:val="24"/>
          <w:szCs w:val="24"/>
        </w:rPr>
        <w:t>, 2</w:t>
      </w:r>
      <w:r w:rsidRPr="00F239A7">
        <w:rPr>
          <w:rFonts w:ascii="Times New Roman" w:hAnsi="Times New Roman" w:cs="Times New Roman"/>
          <w:sz w:val="24"/>
          <w:szCs w:val="24"/>
          <w:vertAlign w:val="superscript"/>
        </w:rPr>
        <w:t>nd</w:t>
      </w:r>
      <w:r w:rsidR="00554AE8">
        <w:rPr>
          <w:rFonts w:ascii="Times New Roman" w:hAnsi="Times New Roman" w:cs="Times New Roman"/>
          <w:sz w:val="24"/>
          <w:szCs w:val="24"/>
        </w:rPr>
        <w:t xml:space="preserve">- </w:t>
      </w:r>
      <w:r w:rsidRPr="00F239A7">
        <w:rPr>
          <w:rFonts w:ascii="Times New Roman" w:hAnsi="Times New Roman" w:cs="Times New Roman"/>
          <w:sz w:val="24"/>
          <w:szCs w:val="24"/>
        </w:rPr>
        <w:t>4</w:t>
      </w:r>
      <w:r w:rsidRPr="00F239A7">
        <w:rPr>
          <w:rFonts w:ascii="Times New Roman" w:hAnsi="Times New Roman" w:cs="Times New Roman"/>
          <w:sz w:val="24"/>
          <w:szCs w:val="24"/>
          <w:vertAlign w:val="superscript"/>
        </w:rPr>
        <w:t>th</w:t>
      </w:r>
      <w:r w:rsidRPr="00F239A7">
        <w:rPr>
          <w:rFonts w:ascii="Times New Roman" w:hAnsi="Times New Roman" w:cs="Times New Roman"/>
          <w:sz w:val="24"/>
          <w:szCs w:val="24"/>
        </w:rPr>
        <w:t xml:space="preserve"> respondents’ legal practitioners</w:t>
      </w:r>
    </w:p>
    <w:p w14:paraId="51463880" w14:textId="292888B4" w:rsidR="00B5404E" w:rsidRPr="00F239A7" w:rsidRDefault="00B5404E" w:rsidP="00DA6805">
      <w:pPr>
        <w:rPr>
          <w:rFonts w:ascii="Times New Roman" w:hAnsi="Times New Roman" w:cs="Times New Roman"/>
          <w:sz w:val="24"/>
          <w:szCs w:val="24"/>
        </w:rPr>
      </w:pPr>
      <w:r w:rsidRPr="00F239A7">
        <w:rPr>
          <w:rFonts w:ascii="Times New Roman" w:hAnsi="Times New Roman" w:cs="Times New Roman"/>
          <w:i/>
          <w:iCs/>
          <w:sz w:val="24"/>
          <w:szCs w:val="24"/>
        </w:rPr>
        <w:t>Scanlen &amp; Holderness</w:t>
      </w:r>
      <w:r w:rsidRPr="00F239A7">
        <w:rPr>
          <w:rFonts w:ascii="Times New Roman" w:hAnsi="Times New Roman" w:cs="Times New Roman"/>
          <w:sz w:val="24"/>
          <w:szCs w:val="24"/>
        </w:rPr>
        <w:t>, 5</w:t>
      </w:r>
      <w:r w:rsidR="00C91E2E" w:rsidRPr="00C91E2E">
        <w:rPr>
          <w:rFonts w:ascii="Times New Roman" w:hAnsi="Times New Roman" w:cs="Times New Roman"/>
          <w:sz w:val="24"/>
          <w:szCs w:val="24"/>
          <w:vertAlign w:val="superscript"/>
        </w:rPr>
        <w:t>th</w:t>
      </w:r>
      <w:r w:rsidR="00C91E2E">
        <w:rPr>
          <w:rFonts w:ascii="Times New Roman" w:hAnsi="Times New Roman" w:cs="Times New Roman"/>
          <w:sz w:val="24"/>
          <w:szCs w:val="24"/>
        </w:rPr>
        <w:t xml:space="preserve"> </w:t>
      </w:r>
      <w:r w:rsidRPr="00F239A7">
        <w:rPr>
          <w:rFonts w:ascii="Times New Roman" w:hAnsi="Times New Roman" w:cs="Times New Roman"/>
          <w:sz w:val="24"/>
          <w:szCs w:val="24"/>
        </w:rPr>
        <w:t xml:space="preserve"> respondent</w:t>
      </w:r>
      <w:r w:rsidR="00E24CC9" w:rsidRPr="00F239A7">
        <w:rPr>
          <w:rFonts w:ascii="Times New Roman" w:hAnsi="Times New Roman" w:cs="Times New Roman"/>
          <w:sz w:val="24"/>
          <w:szCs w:val="24"/>
        </w:rPr>
        <w:t>’</w:t>
      </w:r>
      <w:r w:rsidRPr="00F239A7">
        <w:rPr>
          <w:rFonts w:ascii="Times New Roman" w:hAnsi="Times New Roman" w:cs="Times New Roman"/>
          <w:sz w:val="24"/>
          <w:szCs w:val="24"/>
        </w:rPr>
        <w:t>s legal practitioners</w:t>
      </w:r>
    </w:p>
    <w:p w14:paraId="32DBCD28" w14:textId="77777777" w:rsidR="001B7531" w:rsidRDefault="001B7531" w:rsidP="004361BE"/>
    <w:p w14:paraId="613EC5BB" w14:textId="77777777" w:rsidR="001B7531" w:rsidRDefault="001B7531" w:rsidP="004361BE"/>
    <w:p w14:paraId="4785674A" w14:textId="77777777" w:rsidR="00994075" w:rsidRDefault="00994075" w:rsidP="004361BE"/>
    <w:p w14:paraId="70563533" w14:textId="77777777" w:rsidR="00362B27" w:rsidRDefault="00362B27" w:rsidP="004361BE"/>
    <w:sectPr w:rsidR="00362B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29C48" w14:textId="77777777" w:rsidR="00D91824" w:rsidRDefault="00D91824" w:rsidP="00004A86">
      <w:pPr>
        <w:spacing w:after="0" w:line="240" w:lineRule="auto"/>
      </w:pPr>
      <w:r>
        <w:separator/>
      </w:r>
    </w:p>
  </w:endnote>
  <w:endnote w:type="continuationSeparator" w:id="0">
    <w:p w14:paraId="12260819" w14:textId="77777777" w:rsidR="00D91824" w:rsidRDefault="00D91824" w:rsidP="0000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E4227" w14:textId="77777777" w:rsidR="00D91824" w:rsidRDefault="00D91824" w:rsidP="00004A86">
      <w:pPr>
        <w:spacing w:after="0" w:line="240" w:lineRule="auto"/>
      </w:pPr>
      <w:r>
        <w:separator/>
      </w:r>
    </w:p>
  </w:footnote>
  <w:footnote w:type="continuationSeparator" w:id="0">
    <w:p w14:paraId="1A4EA1A5" w14:textId="77777777" w:rsidR="00D91824" w:rsidRDefault="00D91824" w:rsidP="00004A86">
      <w:pPr>
        <w:spacing w:after="0" w:line="240" w:lineRule="auto"/>
      </w:pPr>
      <w:r>
        <w:continuationSeparator/>
      </w:r>
    </w:p>
  </w:footnote>
  <w:footnote w:id="1">
    <w:p w14:paraId="10052911" w14:textId="04A5FD7E" w:rsidR="00004A86" w:rsidRDefault="00004A86" w:rsidP="00004A86">
      <w:pPr>
        <w:pStyle w:val="FootnoteText"/>
        <w:rPr>
          <w:lang w:val="en-ZW"/>
        </w:rPr>
      </w:pPr>
    </w:p>
    <w:p w14:paraId="1B5FA833" w14:textId="77777777" w:rsidR="00362B27" w:rsidRDefault="00362B27" w:rsidP="00004A86">
      <w:pPr>
        <w:pStyle w:val="FootnoteText"/>
        <w:rPr>
          <w:lang w:val="en-ZW"/>
        </w:rPr>
      </w:pPr>
    </w:p>
    <w:p w14:paraId="6DF9BD22" w14:textId="77777777" w:rsidR="00362B27" w:rsidRDefault="00362B27" w:rsidP="00004A86">
      <w:pPr>
        <w:pStyle w:val="FootnoteText"/>
        <w:rPr>
          <w:lang w:val="en-ZW"/>
        </w:rPr>
      </w:pPr>
    </w:p>
    <w:p w14:paraId="57DE6C51" w14:textId="77777777" w:rsidR="00362B27" w:rsidRDefault="00362B27" w:rsidP="00004A86">
      <w:pPr>
        <w:pStyle w:val="FootnoteText"/>
        <w:rPr>
          <w:lang w:val="en-ZW"/>
        </w:rPr>
      </w:pPr>
    </w:p>
    <w:p w14:paraId="72735C37" w14:textId="77777777" w:rsidR="00362B27" w:rsidRPr="00004A86" w:rsidRDefault="00362B27" w:rsidP="00004A86">
      <w:pPr>
        <w:pStyle w:val="FootnoteText"/>
        <w:rPr>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83369"/>
      <w:docPartObj>
        <w:docPartGallery w:val="Page Numbers (Top of Page)"/>
        <w:docPartUnique/>
      </w:docPartObj>
    </w:sdtPr>
    <w:sdtEndPr>
      <w:rPr>
        <w:noProof/>
      </w:rPr>
    </w:sdtEndPr>
    <w:sdtContent>
      <w:p w14:paraId="72F92F04" w14:textId="77777777" w:rsidR="005E422E" w:rsidRDefault="000611D7" w:rsidP="000611D7">
        <w:pPr>
          <w:pStyle w:val="Header"/>
          <w:ind w:left="4513" w:firstLine="4513"/>
          <w:rPr>
            <w:noProof/>
          </w:rPr>
        </w:pPr>
        <w:r>
          <w:fldChar w:fldCharType="begin"/>
        </w:r>
        <w:r>
          <w:instrText xml:space="preserve"> PAGE   \* MERGEFORMAT </w:instrText>
        </w:r>
        <w:r>
          <w:fldChar w:fldCharType="separate"/>
        </w:r>
        <w:r w:rsidR="00F571FC">
          <w:rPr>
            <w:noProof/>
          </w:rPr>
          <w:t>2</w:t>
        </w:r>
        <w:r>
          <w:rPr>
            <w:noProof/>
          </w:rPr>
          <w:fldChar w:fldCharType="end"/>
        </w:r>
      </w:p>
      <w:p w14:paraId="4C6E5A06" w14:textId="2F7575D5" w:rsidR="000611D7" w:rsidRDefault="005E422E" w:rsidP="005E422E">
        <w:pPr>
          <w:pStyle w:val="Header"/>
        </w:pPr>
        <w:r>
          <w:rPr>
            <w:noProof/>
          </w:rPr>
          <w:tab/>
        </w:r>
        <w:r>
          <w:rPr>
            <w:noProof/>
          </w:rPr>
          <w:tab/>
          <w:t>HH 565-25</w:t>
        </w:r>
      </w:p>
    </w:sdtContent>
  </w:sdt>
  <w:p w14:paraId="799D6F91" w14:textId="4656BA00" w:rsidR="000611D7" w:rsidRPr="000611D7" w:rsidRDefault="000611D7">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11D7">
      <w:rPr>
        <w:rFonts w:ascii="Times New Roman" w:hAnsi="Times New Roman" w:cs="Times New Roman"/>
        <w:sz w:val="24"/>
        <w:szCs w:val="24"/>
      </w:rPr>
      <w:t>HCH 3070/25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67CB"/>
    <w:multiLevelType w:val="hybridMultilevel"/>
    <w:tmpl w:val="743A6DF8"/>
    <w:lvl w:ilvl="0" w:tplc="AD901E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E9376F"/>
    <w:multiLevelType w:val="hybridMultilevel"/>
    <w:tmpl w:val="3A762F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6A"/>
    <w:rsid w:val="00004A86"/>
    <w:rsid w:val="0002055E"/>
    <w:rsid w:val="000405EF"/>
    <w:rsid w:val="00052A55"/>
    <w:rsid w:val="00060E3E"/>
    <w:rsid w:val="000611D7"/>
    <w:rsid w:val="00083E94"/>
    <w:rsid w:val="000A53D2"/>
    <w:rsid w:val="000D50CC"/>
    <w:rsid w:val="000E1D99"/>
    <w:rsid w:val="000E3108"/>
    <w:rsid w:val="000F3D91"/>
    <w:rsid w:val="001B7531"/>
    <w:rsid w:val="001C1C9D"/>
    <w:rsid w:val="00200A3A"/>
    <w:rsid w:val="0021065C"/>
    <w:rsid w:val="0024136A"/>
    <w:rsid w:val="002424C8"/>
    <w:rsid w:val="002F0638"/>
    <w:rsid w:val="00310279"/>
    <w:rsid w:val="00310FFF"/>
    <w:rsid w:val="00321A29"/>
    <w:rsid w:val="00326DD4"/>
    <w:rsid w:val="00340F37"/>
    <w:rsid w:val="00362B27"/>
    <w:rsid w:val="003D31DC"/>
    <w:rsid w:val="004361BE"/>
    <w:rsid w:val="00461655"/>
    <w:rsid w:val="004E057E"/>
    <w:rsid w:val="005123FC"/>
    <w:rsid w:val="005306F8"/>
    <w:rsid w:val="005324C1"/>
    <w:rsid w:val="00554AE8"/>
    <w:rsid w:val="00561CD8"/>
    <w:rsid w:val="005760A0"/>
    <w:rsid w:val="005E422E"/>
    <w:rsid w:val="006875D3"/>
    <w:rsid w:val="006A4C9D"/>
    <w:rsid w:val="006F7091"/>
    <w:rsid w:val="00713183"/>
    <w:rsid w:val="007251CB"/>
    <w:rsid w:val="00735D5E"/>
    <w:rsid w:val="007552E9"/>
    <w:rsid w:val="00756B1D"/>
    <w:rsid w:val="007A646C"/>
    <w:rsid w:val="007A79FE"/>
    <w:rsid w:val="008562C3"/>
    <w:rsid w:val="008604ED"/>
    <w:rsid w:val="008A36E7"/>
    <w:rsid w:val="008D7255"/>
    <w:rsid w:val="008F369D"/>
    <w:rsid w:val="008F62E3"/>
    <w:rsid w:val="009328EF"/>
    <w:rsid w:val="00941C83"/>
    <w:rsid w:val="00965DAE"/>
    <w:rsid w:val="00994075"/>
    <w:rsid w:val="00A01D07"/>
    <w:rsid w:val="00A35901"/>
    <w:rsid w:val="00A436CB"/>
    <w:rsid w:val="00A61B3B"/>
    <w:rsid w:val="00B5404E"/>
    <w:rsid w:val="00C22FBD"/>
    <w:rsid w:val="00C33F50"/>
    <w:rsid w:val="00C45B59"/>
    <w:rsid w:val="00C91E2E"/>
    <w:rsid w:val="00CB15D5"/>
    <w:rsid w:val="00CB77BD"/>
    <w:rsid w:val="00D91824"/>
    <w:rsid w:val="00DA6805"/>
    <w:rsid w:val="00DF0848"/>
    <w:rsid w:val="00E15F67"/>
    <w:rsid w:val="00E24CC9"/>
    <w:rsid w:val="00E42D1B"/>
    <w:rsid w:val="00E44906"/>
    <w:rsid w:val="00E90C2C"/>
    <w:rsid w:val="00EA596F"/>
    <w:rsid w:val="00F14456"/>
    <w:rsid w:val="00F239A7"/>
    <w:rsid w:val="00F571FC"/>
    <w:rsid w:val="00FA53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1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36A"/>
    <w:rPr>
      <w:rFonts w:eastAsiaTheme="majorEastAsia" w:cstheme="majorBidi"/>
      <w:color w:val="272727" w:themeColor="text1" w:themeTint="D8"/>
    </w:rPr>
  </w:style>
  <w:style w:type="paragraph" w:styleId="Title">
    <w:name w:val="Title"/>
    <w:basedOn w:val="Normal"/>
    <w:next w:val="Normal"/>
    <w:link w:val="TitleChar"/>
    <w:uiPriority w:val="10"/>
    <w:qFormat/>
    <w:rsid w:val="00241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36A"/>
    <w:pPr>
      <w:spacing w:before="160"/>
      <w:jc w:val="center"/>
    </w:pPr>
    <w:rPr>
      <w:i/>
      <w:iCs/>
      <w:color w:val="404040" w:themeColor="text1" w:themeTint="BF"/>
    </w:rPr>
  </w:style>
  <w:style w:type="character" w:customStyle="1" w:styleId="QuoteChar">
    <w:name w:val="Quote Char"/>
    <w:basedOn w:val="DefaultParagraphFont"/>
    <w:link w:val="Quote"/>
    <w:uiPriority w:val="29"/>
    <w:rsid w:val="0024136A"/>
    <w:rPr>
      <w:i/>
      <w:iCs/>
      <w:color w:val="404040" w:themeColor="text1" w:themeTint="BF"/>
    </w:rPr>
  </w:style>
  <w:style w:type="paragraph" w:styleId="ListParagraph">
    <w:name w:val="List Paragraph"/>
    <w:basedOn w:val="Normal"/>
    <w:uiPriority w:val="34"/>
    <w:qFormat/>
    <w:rsid w:val="0024136A"/>
    <w:pPr>
      <w:ind w:left="720"/>
      <w:contextualSpacing/>
    </w:pPr>
  </w:style>
  <w:style w:type="character" w:styleId="IntenseEmphasis">
    <w:name w:val="Intense Emphasis"/>
    <w:basedOn w:val="DefaultParagraphFont"/>
    <w:uiPriority w:val="21"/>
    <w:qFormat/>
    <w:rsid w:val="0024136A"/>
    <w:rPr>
      <w:i/>
      <w:iCs/>
      <w:color w:val="0F4761" w:themeColor="accent1" w:themeShade="BF"/>
    </w:rPr>
  </w:style>
  <w:style w:type="paragraph" w:styleId="IntenseQuote">
    <w:name w:val="Intense Quote"/>
    <w:basedOn w:val="Normal"/>
    <w:next w:val="Normal"/>
    <w:link w:val="IntenseQuoteChar"/>
    <w:uiPriority w:val="30"/>
    <w:qFormat/>
    <w:rsid w:val="00241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36A"/>
    <w:rPr>
      <w:i/>
      <w:iCs/>
      <w:color w:val="0F4761" w:themeColor="accent1" w:themeShade="BF"/>
    </w:rPr>
  </w:style>
  <w:style w:type="character" w:styleId="IntenseReference">
    <w:name w:val="Intense Reference"/>
    <w:basedOn w:val="DefaultParagraphFont"/>
    <w:uiPriority w:val="32"/>
    <w:qFormat/>
    <w:rsid w:val="0024136A"/>
    <w:rPr>
      <w:b/>
      <w:bCs/>
      <w:smallCaps/>
      <w:color w:val="0F4761" w:themeColor="accent1" w:themeShade="BF"/>
      <w:spacing w:val="5"/>
    </w:rPr>
  </w:style>
  <w:style w:type="paragraph" w:styleId="FootnoteText">
    <w:name w:val="footnote text"/>
    <w:basedOn w:val="Normal"/>
    <w:link w:val="FootnoteTextChar"/>
    <w:uiPriority w:val="99"/>
    <w:semiHidden/>
    <w:unhideWhenUsed/>
    <w:rsid w:val="00004A8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04A86"/>
    <w:rPr>
      <w:sz w:val="20"/>
      <w:szCs w:val="20"/>
      <w:lang w:val="en-US"/>
    </w:rPr>
  </w:style>
  <w:style w:type="character" w:styleId="FootnoteReference">
    <w:name w:val="footnote reference"/>
    <w:basedOn w:val="DefaultParagraphFont"/>
    <w:uiPriority w:val="99"/>
    <w:semiHidden/>
    <w:unhideWhenUsed/>
    <w:rsid w:val="00004A86"/>
    <w:rPr>
      <w:vertAlign w:val="superscript"/>
    </w:rPr>
  </w:style>
  <w:style w:type="paragraph" w:customStyle="1" w:styleId="Default">
    <w:name w:val="Default"/>
    <w:rsid w:val="001B75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B7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531"/>
  </w:style>
  <w:style w:type="paragraph" w:styleId="Footer">
    <w:name w:val="footer"/>
    <w:basedOn w:val="Normal"/>
    <w:link w:val="FooterChar"/>
    <w:uiPriority w:val="99"/>
    <w:unhideWhenUsed/>
    <w:rsid w:val="001B7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1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36A"/>
    <w:rPr>
      <w:rFonts w:eastAsiaTheme="majorEastAsia" w:cstheme="majorBidi"/>
      <w:color w:val="272727" w:themeColor="text1" w:themeTint="D8"/>
    </w:rPr>
  </w:style>
  <w:style w:type="paragraph" w:styleId="Title">
    <w:name w:val="Title"/>
    <w:basedOn w:val="Normal"/>
    <w:next w:val="Normal"/>
    <w:link w:val="TitleChar"/>
    <w:uiPriority w:val="10"/>
    <w:qFormat/>
    <w:rsid w:val="00241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36A"/>
    <w:pPr>
      <w:spacing w:before="160"/>
      <w:jc w:val="center"/>
    </w:pPr>
    <w:rPr>
      <w:i/>
      <w:iCs/>
      <w:color w:val="404040" w:themeColor="text1" w:themeTint="BF"/>
    </w:rPr>
  </w:style>
  <w:style w:type="character" w:customStyle="1" w:styleId="QuoteChar">
    <w:name w:val="Quote Char"/>
    <w:basedOn w:val="DefaultParagraphFont"/>
    <w:link w:val="Quote"/>
    <w:uiPriority w:val="29"/>
    <w:rsid w:val="0024136A"/>
    <w:rPr>
      <w:i/>
      <w:iCs/>
      <w:color w:val="404040" w:themeColor="text1" w:themeTint="BF"/>
    </w:rPr>
  </w:style>
  <w:style w:type="paragraph" w:styleId="ListParagraph">
    <w:name w:val="List Paragraph"/>
    <w:basedOn w:val="Normal"/>
    <w:uiPriority w:val="34"/>
    <w:qFormat/>
    <w:rsid w:val="0024136A"/>
    <w:pPr>
      <w:ind w:left="720"/>
      <w:contextualSpacing/>
    </w:pPr>
  </w:style>
  <w:style w:type="character" w:styleId="IntenseEmphasis">
    <w:name w:val="Intense Emphasis"/>
    <w:basedOn w:val="DefaultParagraphFont"/>
    <w:uiPriority w:val="21"/>
    <w:qFormat/>
    <w:rsid w:val="0024136A"/>
    <w:rPr>
      <w:i/>
      <w:iCs/>
      <w:color w:val="0F4761" w:themeColor="accent1" w:themeShade="BF"/>
    </w:rPr>
  </w:style>
  <w:style w:type="paragraph" w:styleId="IntenseQuote">
    <w:name w:val="Intense Quote"/>
    <w:basedOn w:val="Normal"/>
    <w:next w:val="Normal"/>
    <w:link w:val="IntenseQuoteChar"/>
    <w:uiPriority w:val="30"/>
    <w:qFormat/>
    <w:rsid w:val="00241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36A"/>
    <w:rPr>
      <w:i/>
      <w:iCs/>
      <w:color w:val="0F4761" w:themeColor="accent1" w:themeShade="BF"/>
    </w:rPr>
  </w:style>
  <w:style w:type="character" w:styleId="IntenseReference">
    <w:name w:val="Intense Reference"/>
    <w:basedOn w:val="DefaultParagraphFont"/>
    <w:uiPriority w:val="32"/>
    <w:qFormat/>
    <w:rsid w:val="0024136A"/>
    <w:rPr>
      <w:b/>
      <w:bCs/>
      <w:smallCaps/>
      <w:color w:val="0F4761" w:themeColor="accent1" w:themeShade="BF"/>
      <w:spacing w:val="5"/>
    </w:rPr>
  </w:style>
  <w:style w:type="paragraph" w:styleId="FootnoteText">
    <w:name w:val="footnote text"/>
    <w:basedOn w:val="Normal"/>
    <w:link w:val="FootnoteTextChar"/>
    <w:uiPriority w:val="99"/>
    <w:semiHidden/>
    <w:unhideWhenUsed/>
    <w:rsid w:val="00004A8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04A86"/>
    <w:rPr>
      <w:sz w:val="20"/>
      <w:szCs w:val="20"/>
      <w:lang w:val="en-US"/>
    </w:rPr>
  </w:style>
  <w:style w:type="character" w:styleId="FootnoteReference">
    <w:name w:val="footnote reference"/>
    <w:basedOn w:val="DefaultParagraphFont"/>
    <w:uiPriority w:val="99"/>
    <w:semiHidden/>
    <w:unhideWhenUsed/>
    <w:rsid w:val="00004A86"/>
    <w:rPr>
      <w:vertAlign w:val="superscript"/>
    </w:rPr>
  </w:style>
  <w:style w:type="paragraph" w:customStyle="1" w:styleId="Default">
    <w:name w:val="Default"/>
    <w:rsid w:val="001B75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B7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531"/>
  </w:style>
  <w:style w:type="paragraph" w:styleId="Footer">
    <w:name w:val="footer"/>
    <w:basedOn w:val="Normal"/>
    <w:link w:val="FooterChar"/>
    <w:uiPriority w:val="99"/>
    <w:unhideWhenUsed/>
    <w:rsid w:val="001B7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Manyangadze</dc:creator>
  <cp:lastModifiedBy>User</cp:lastModifiedBy>
  <cp:revision>2</cp:revision>
  <dcterms:created xsi:type="dcterms:W3CDTF">2025-09-26T10:17:00Z</dcterms:created>
  <dcterms:modified xsi:type="dcterms:W3CDTF">2025-09-26T10:17:00Z</dcterms:modified>
</cp:coreProperties>
</file>