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C86" w:rsidRPr="008E1711" w:rsidRDefault="00617C86" w:rsidP="00617C86">
      <w:pPr>
        <w:spacing w:line="360" w:lineRule="auto"/>
        <w:rPr>
          <w:b/>
        </w:rPr>
      </w:pPr>
      <w:r w:rsidRPr="008E1711">
        <w:rPr>
          <w:b/>
        </w:rPr>
        <w:t xml:space="preserve">THE LABOUR COURT OF ZIMBABWE      </w:t>
      </w:r>
      <w:r>
        <w:rPr>
          <w:b/>
        </w:rPr>
        <w:t xml:space="preserve">   </w:t>
      </w:r>
      <w:r w:rsidRPr="008E1711">
        <w:rPr>
          <w:b/>
        </w:rPr>
        <w:t>JUDGMENT NO. LC/H/</w:t>
      </w:r>
      <w:r w:rsidR="00CB4549">
        <w:rPr>
          <w:b/>
        </w:rPr>
        <w:t>116</w:t>
      </w:r>
      <w:r>
        <w:rPr>
          <w:b/>
        </w:rPr>
        <w:t>/2016</w:t>
      </w:r>
    </w:p>
    <w:p w:rsidR="00617C86" w:rsidRDefault="00617C86" w:rsidP="00617C86">
      <w:pPr>
        <w:spacing w:line="360" w:lineRule="auto"/>
        <w:jc w:val="both"/>
        <w:rPr>
          <w:b/>
        </w:rPr>
      </w:pPr>
      <w:r>
        <w:rPr>
          <w:b/>
        </w:rPr>
        <w:t>HARARE, 11 FEBRUARY 2016</w:t>
      </w:r>
      <w:r w:rsidRPr="00047C13">
        <w:rPr>
          <w:b/>
        </w:rPr>
        <w:t xml:space="preserve">    </w:t>
      </w:r>
      <w:r w:rsidRPr="00047C13">
        <w:rPr>
          <w:b/>
        </w:rPr>
        <w:tab/>
      </w:r>
      <w:r w:rsidRPr="00047C13">
        <w:rPr>
          <w:b/>
        </w:rPr>
        <w:tab/>
      </w:r>
      <w:r>
        <w:rPr>
          <w:b/>
        </w:rPr>
        <w:t xml:space="preserve">         </w:t>
      </w:r>
      <w:r>
        <w:rPr>
          <w:b/>
        </w:rPr>
        <w:tab/>
      </w:r>
      <w:r w:rsidRPr="00047C13">
        <w:rPr>
          <w:b/>
        </w:rPr>
        <w:t>CASE NO. LC/</w:t>
      </w:r>
      <w:r>
        <w:rPr>
          <w:b/>
        </w:rPr>
        <w:t>H/469/15</w:t>
      </w:r>
    </w:p>
    <w:p w:rsidR="00617C86" w:rsidRDefault="00617C86" w:rsidP="00617C86">
      <w:pPr>
        <w:spacing w:line="360" w:lineRule="auto"/>
        <w:jc w:val="both"/>
        <w:rPr>
          <w:b/>
        </w:rPr>
      </w:pPr>
      <w:r>
        <w:rPr>
          <w:b/>
        </w:rPr>
        <w:t xml:space="preserve">AND </w:t>
      </w:r>
      <w:r w:rsidR="00CB4549">
        <w:rPr>
          <w:b/>
        </w:rPr>
        <w:t>4 MARCH</w:t>
      </w:r>
      <w:bookmarkStart w:id="0" w:name="_GoBack"/>
      <w:bookmarkEnd w:id="0"/>
      <w:r>
        <w:rPr>
          <w:b/>
        </w:rPr>
        <w:t xml:space="preserve"> 2016</w:t>
      </w:r>
    </w:p>
    <w:p w:rsidR="00617C86" w:rsidRDefault="00617C86" w:rsidP="00617C86">
      <w:pPr>
        <w:jc w:val="both"/>
      </w:pPr>
      <w:r w:rsidRPr="00047C13">
        <w:t>In the matter between</w:t>
      </w:r>
      <w:r>
        <w:t>:-</w:t>
      </w:r>
    </w:p>
    <w:p w:rsidR="00617C86" w:rsidRDefault="00617C86" w:rsidP="00617C86">
      <w:pPr>
        <w:jc w:val="both"/>
      </w:pPr>
    </w:p>
    <w:p w:rsidR="00617C86" w:rsidRPr="00047C13" w:rsidRDefault="00617C86" w:rsidP="00617C86">
      <w:pPr>
        <w:jc w:val="both"/>
      </w:pPr>
    </w:p>
    <w:p w:rsidR="00617C86" w:rsidRPr="00047C13" w:rsidRDefault="00617C86" w:rsidP="00617C86">
      <w:pPr>
        <w:spacing w:line="360" w:lineRule="auto"/>
        <w:jc w:val="both"/>
        <w:rPr>
          <w:b/>
        </w:rPr>
      </w:pPr>
      <w:r>
        <w:rPr>
          <w:b/>
        </w:rPr>
        <w:t>HOWARD KAZEMBE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Appellant</w:t>
      </w:r>
    </w:p>
    <w:p w:rsidR="00617C86" w:rsidRPr="00047C13" w:rsidRDefault="00617C86" w:rsidP="00617C86">
      <w:pPr>
        <w:tabs>
          <w:tab w:val="left" w:pos="1995"/>
        </w:tabs>
        <w:spacing w:line="360" w:lineRule="auto"/>
        <w:jc w:val="both"/>
      </w:pPr>
      <w:r w:rsidRPr="00047C13">
        <w:t>And</w:t>
      </w:r>
      <w:r w:rsidRPr="00047C13">
        <w:tab/>
      </w:r>
    </w:p>
    <w:p w:rsidR="00617C86" w:rsidRDefault="00617C86" w:rsidP="00617C86">
      <w:pPr>
        <w:spacing w:line="360" w:lineRule="auto"/>
        <w:jc w:val="both"/>
        <w:rPr>
          <w:b/>
        </w:rPr>
      </w:pPr>
      <w:r>
        <w:rPr>
          <w:b/>
        </w:rPr>
        <w:t>MINISTER OF PRIMARY AND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</w:t>
      </w:r>
      <w:r w:rsidRPr="00617C86">
        <w:rPr>
          <w:b/>
          <w:vertAlign w:val="superscript"/>
        </w:rPr>
        <w:t>st</w:t>
      </w:r>
      <w:r>
        <w:rPr>
          <w:b/>
        </w:rPr>
        <w:t xml:space="preserve"> Respondent</w:t>
      </w:r>
    </w:p>
    <w:p w:rsidR="00617C86" w:rsidRDefault="00617C86" w:rsidP="00617C86">
      <w:pPr>
        <w:spacing w:line="360" w:lineRule="auto"/>
        <w:jc w:val="both"/>
        <w:rPr>
          <w:b/>
        </w:rPr>
      </w:pPr>
      <w:r>
        <w:rPr>
          <w:b/>
        </w:rPr>
        <w:t>SECONDARY EDUCATION</w:t>
      </w:r>
    </w:p>
    <w:p w:rsidR="00617C86" w:rsidRDefault="00617C86" w:rsidP="00617C86">
      <w:pPr>
        <w:spacing w:line="360" w:lineRule="auto"/>
        <w:jc w:val="both"/>
      </w:pPr>
      <w:r>
        <w:t>And</w:t>
      </w:r>
    </w:p>
    <w:p w:rsidR="00617C86" w:rsidRPr="00617C86" w:rsidRDefault="00617C86" w:rsidP="00617C86">
      <w:pPr>
        <w:spacing w:line="360" w:lineRule="auto"/>
        <w:jc w:val="both"/>
        <w:rPr>
          <w:b/>
        </w:rPr>
      </w:pPr>
      <w:r>
        <w:rPr>
          <w:b/>
        </w:rPr>
        <w:t>CIVIL SERVICE COMMISSION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</w:t>
      </w:r>
      <w:r w:rsidRPr="00617C86">
        <w:rPr>
          <w:b/>
          <w:vertAlign w:val="superscript"/>
        </w:rPr>
        <w:t>nd</w:t>
      </w:r>
      <w:r>
        <w:rPr>
          <w:b/>
        </w:rPr>
        <w:t xml:space="preserve"> Respondent</w:t>
      </w:r>
    </w:p>
    <w:p w:rsidR="00617C86" w:rsidRPr="00617C86" w:rsidRDefault="00617C86" w:rsidP="00617C86">
      <w:pPr>
        <w:spacing w:line="360" w:lineRule="auto"/>
        <w:jc w:val="both"/>
        <w:rPr>
          <w:b/>
        </w:rPr>
      </w:pPr>
    </w:p>
    <w:p w:rsidR="00617C86" w:rsidRDefault="00617C86" w:rsidP="00617C86">
      <w:pPr>
        <w:spacing w:line="360" w:lineRule="auto"/>
        <w:jc w:val="both"/>
      </w:pPr>
      <w:r>
        <w:t>Before Honourable P. Muzofa, Judge</w:t>
      </w:r>
    </w:p>
    <w:p w:rsidR="00617C86" w:rsidRDefault="00617C86" w:rsidP="00617C86">
      <w:pPr>
        <w:jc w:val="both"/>
      </w:pPr>
      <w:r>
        <w:t xml:space="preserve">                             </w:t>
      </w:r>
    </w:p>
    <w:p w:rsidR="00617C86" w:rsidRPr="00047C13" w:rsidRDefault="00617C86" w:rsidP="00617C86">
      <w:pPr>
        <w:jc w:val="both"/>
      </w:pPr>
      <w:r w:rsidRPr="00047C13">
        <w:tab/>
      </w:r>
      <w:r w:rsidRPr="00047C13">
        <w:tab/>
      </w:r>
      <w:r w:rsidRPr="00047C13">
        <w:tab/>
      </w:r>
    </w:p>
    <w:p w:rsidR="00617C86" w:rsidRDefault="00617C86" w:rsidP="00617C86">
      <w:pPr>
        <w:jc w:val="both"/>
        <w:rPr>
          <w:b/>
        </w:rPr>
      </w:pPr>
      <w:r>
        <w:rPr>
          <w:b/>
        </w:rPr>
        <w:t xml:space="preserve">For </w:t>
      </w:r>
      <w:r w:rsidRPr="00047C13">
        <w:rPr>
          <w:b/>
        </w:rPr>
        <w:t>App</w:t>
      </w:r>
      <w:r>
        <w:rPr>
          <w:b/>
        </w:rPr>
        <w:t>ellant</w:t>
      </w:r>
      <w:r>
        <w:rPr>
          <w:b/>
        </w:rPr>
        <w:tab/>
      </w:r>
      <w:r>
        <w:rPr>
          <w:b/>
        </w:rPr>
        <w:tab/>
        <w:t>E.E. Matika (Legal Practitioner)</w:t>
      </w:r>
      <w:r>
        <w:rPr>
          <w:b/>
        </w:rPr>
        <w:tab/>
      </w:r>
      <w:r>
        <w:rPr>
          <w:b/>
        </w:rPr>
        <w:tab/>
      </w:r>
      <w:r w:rsidRPr="00047C13">
        <w:rPr>
          <w:b/>
        </w:rPr>
        <w:tab/>
      </w:r>
    </w:p>
    <w:p w:rsidR="00617C86" w:rsidRPr="00047C13" w:rsidRDefault="00617C86" w:rsidP="00617C86">
      <w:pPr>
        <w:jc w:val="both"/>
        <w:rPr>
          <w:b/>
        </w:rPr>
      </w:pPr>
    </w:p>
    <w:p w:rsidR="00617C86" w:rsidRDefault="00617C86" w:rsidP="00617C86">
      <w:pPr>
        <w:jc w:val="both"/>
        <w:rPr>
          <w:b/>
        </w:rPr>
      </w:pPr>
      <w:r>
        <w:rPr>
          <w:b/>
        </w:rPr>
        <w:t>For Respondent</w:t>
      </w:r>
      <w:r>
        <w:rPr>
          <w:b/>
        </w:rPr>
        <w:tab/>
      </w:r>
      <w:r w:rsidRPr="00047C13">
        <w:rPr>
          <w:b/>
        </w:rPr>
        <w:tab/>
      </w:r>
      <w:r>
        <w:rPr>
          <w:b/>
        </w:rPr>
        <w:t>Ms Chanduru (Civil Division)</w:t>
      </w:r>
    </w:p>
    <w:p w:rsidR="00617C86" w:rsidRDefault="00617C86" w:rsidP="00617C86">
      <w:pPr>
        <w:spacing w:line="360" w:lineRule="auto"/>
        <w:jc w:val="both"/>
        <w:rPr>
          <w:b/>
        </w:rPr>
      </w:pPr>
    </w:p>
    <w:p w:rsidR="00617C86" w:rsidRPr="00047C13" w:rsidRDefault="00617C86" w:rsidP="00617C86">
      <w:pPr>
        <w:jc w:val="both"/>
        <w:rPr>
          <w:b/>
        </w:rPr>
      </w:pPr>
    </w:p>
    <w:p w:rsidR="00617C86" w:rsidRDefault="00617C86" w:rsidP="00617C86">
      <w:pPr>
        <w:spacing w:line="360" w:lineRule="auto"/>
        <w:jc w:val="both"/>
        <w:rPr>
          <w:b/>
        </w:rPr>
      </w:pPr>
      <w:r>
        <w:rPr>
          <w:b/>
        </w:rPr>
        <w:t>MUZOFA, J:</w:t>
      </w:r>
    </w:p>
    <w:p w:rsidR="0017460C" w:rsidRDefault="0017460C" w:rsidP="00782F31">
      <w:pPr>
        <w:spacing w:line="360" w:lineRule="auto"/>
        <w:jc w:val="both"/>
      </w:pPr>
    </w:p>
    <w:p w:rsidR="00782F31" w:rsidRDefault="00782F31" w:rsidP="00782F31">
      <w:pPr>
        <w:spacing w:line="360" w:lineRule="auto"/>
        <w:jc w:val="both"/>
      </w:pPr>
      <w:r>
        <w:tab/>
        <w:t xml:space="preserve">The </w:t>
      </w:r>
      <w:r w:rsidR="00380B8A">
        <w:t>appellant is a teacher who at the time of dispute was based at Diggleford Primary School</w:t>
      </w:r>
      <w:r w:rsidR="00247805">
        <w:t xml:space="preserve">.  Following allegations of misconduct that he solicited for a bribe and conducted extra lessons he was charged for misconduct.  He was found liable on the second charge that he conducted extra lessons and not liable on the first charge.  A penalty </w:t>
      </w:r>
      <w:r w:rsidR="00532027">
        <w:t>of $200</w:t>
      </w:r>
      <w:r w:rsidR="00C17465">
        <w:t>, a</w:t>
      </w:r>
      <w:r w:rsidR="00532027">
        <w:t xml:space="preserve"> transfer to </w:t>
      </w:r>
      <w:proofErr w:type="spellStart"/>
      <w:r w:rsidR="00532027">
        <w:t>Mudzi</w:t>
      </w:r>
      <w:proofErr w:type="spellEnd"/>
      <w:r w:rsidR="00532027">
        <w:t xml:space="preserve"> District and a reprimand was imposed.</w:t>
      </w:r>
    </w:p>
    <w:p w:rsidR="00532027" w:rsidRDefault="00532027" w:rsidP="00C8506B">
      <w:pPr>
        <w:jc w:val="both"/>
      </w:pPr>
    </w:p>
    <w:p w:rsidR="00532027" w:rsidRDefault="00532027" w:rsidP="00782F31">
      <w:pPr>
        <w:spacing w:line="360" w:lineRule="auto"/>
        <w:jc w:val="both"/>
      </w:pPr>
      <w:r>
        <w:tab/>
        <w:t>The appellant appealed against the penalty.</w:t>
      </w:r>
    </w:p>
    <w:p w:rsidR="00532027" w:rsidRDefault="00532027" w:rsidP="00C8506B">
      <w:pPr>
        <w:jc w:val="both"/>
      </w:pPr>
    </w:p>
    <w:p w:rsidR="00532027" w:rsidRDefault="00532027" w:rsidP="00532027">
      <w:pPr>
        <w:spacing w:line="360" w:lineRule="auto"/>
        <w:ind w:firstLine="720"/>
        <w:jc w:val="both"/>
      </w:pPr>
      <w:r>
        <w:t>According to the appellant the penalty was excessive considering the gravity of the offence and the circumstance it was committed.</w:t>
      </w:r>
    </w:p>
    <w:p w:rsidR="00442D8A" w:rsidRDefault="00442D8A" w:rsidP="00847A95">
      <w:pPr>
        <w:ind w:firstLine="720"/>
        <w:jc w:val="both"/>
      </w:pPr>
    </w:p>
    <w:p w:rsidR="00442D8A" w:rsidRDefault="00442D8A" w:rsidP="00532027">
      <w:pPr>
        <w:spacing w:line="360" w:lineRule="auto"/>
        <w:ind w:firstLine="720"/>
        <w:jc w:val="both"/>
      </w:pPr>
      <w:r>
        <w:t xml:space="preserve">Both the appellant and respondent correctly set out the law in respect of the powers of an employer in the determination of a penalty.  It is now an established </w:t>
      </w:r>
      <w:r>
        <w:lastRenderedPageBreak/>
        <w:t>principle of our law that the issue on the appropriate penalty is an exercise of discretion by the employer.  An appellate court</w:t>
      </w:r>
      <w:r w:rsidR="00583E5F">
        <w:t xml:space="preserve"> should not be quick to interfere with an exercise of discretion by a lower court or tribunal unless there has been a clear misdirection on the part of the lower court </w:t>
      </w:r>
      <w:proofErr w:type="spellStart"/>
      <w:r w:rsidR="00687911">
        <w:rPr>
          <w:i/>
        </w:rPr>
        <w:t>Innsc</w:t>
      </w:r>
      <w:r w:rsidR="00C17465" w:rsidRPr="008778BE">
        <w:rPr>
          <w:i/>
        </w:rPr>
        <w:t>or</w:t>
      </w:r>
      <w:proofErr w:type="spellEnd"/>
      <w:r w:rsidR="00583E5F" w:rsidRPr="008778BE">
        <w:rPr>
          <w:i/>
        </w:rPr>
        <w:t xml:space="preserve"> Africa (</w:t>
      </w:r>
      <w:r w:rsidR="00C17465" w:rsidRPr="008778BE">
        <w:rPr>
          <w:i/>
        </w:rPr>
        <w:t>Put</w:t>
      </w:r>
      <w:r w:rsidR="00583E5F" w:rsidRPr="008778BE">
        <w:rPr>
          <w:i/>
        </w:rPr>
        <w:t>) Ltd</w:t>
      </w:r>
      <w:r w:rsidR="00583E5F">
        <w:t xml:space="preserve"> v </w:t>
      </w:r>
      <w:r w:rsidR="00C17465" w:rsidRPr="008778BE">
        <w:rPr>
          <w:i/>
        </w:rPr>
        <w:t>Chimbote</w:t>
      </w:r>
      <w:r w:rsidR="00583E5F">
        <w:t xml:space="preserve"> SC 6/12 and </w:t>
      </w:r>
      <w:r w:rsidR="00583E5F" w:rsidRPr="00687911">
        <w:rPr>
          <w:i/>
        </w:rPr>
        <w:t>Toyota Zimbabwe</w:t>
      </w:r>
      <w:r w:rsidR="00583E5F">
        <w:t xml:space="preserve"> v </w:t>
      </w:r>
      <w:proofErr w:type="spellStart"/>
      <w:r w:rsidR="00687911">
        <w:rPr>
          <w:i/>
        </w:rPr>
        <w:t>Pasi</w:t>
      </w:r>
      <w:proofErr w:type="spellEnd"/>
      <w:r w:rsidR="00687911">
        <w:rPr>
          <w:i/>
        </w:rPr>
        <w:t xml:space="preserve"> </w:t>
      </w:r>
      <w:r w:rsidR="00A640A1">
        <w:t>SC 55/07.</w:t>
      </w:r>
    </w:p>
    <w:p w:rsidR="00A640A1" w:rsidRDefault="00A640A1" w:rsidP="00C8506B">
      <w:pPr>
        <w:ind w:firstLine="720"/>
        <w:jc w:val="both"/>
      </w:pPr>
    </w:p>
    <w:p w:rsidR="002C3D55" w:rsidRDefault="002C3D55" w:rsidP="002C3D55">
      <w:pPr>
        <w:spacing w:line="360" w:lineRule="auto"/>
        <w:ind w:firstLine="720"/>
        <w:jc w:val="both"/>
      </w:pPr>
      <w:r>
        <w:t>In this case the factors taken into consideration by the authority were that the appellant had a previous conviction.  Appellant argued that it was irrelevant in that it was not a similar charge to the one he had been found liable for.</w:t>
      </w:r>
    </w:p>
    <w:p w:rsidR="002C3D55" w:rsidRDefault="002C3D55" w:rsidP="00FE3986">
      <w:pPr>
        <w:ind w:firstLine="720"/>
        <w:jc w:val="both"/>
      </w:pPr>
    </w:p>
    <w:p w:rsidR="002C3D55" w:rsidRDefault="002C3D55" w:rsidP="002C3D55">
      <w:pPr>
        <w:spacing w:line="360" w:lineRule="auto"/>
        <w:ind w:firstLine="720"/>
        <w:jc w:val="both"/>
      </w:pPr>
      <w:r>
        <w:t>The previous charge was a contravention of section 44 (2) (a) as read with paragraphs 2</w:t>
      </w:r>
      <w:r w:rsidR="00FE3986">
        <w:t>, 4, 6</w:t>
      </w:r>
      <w:r>
        <w:t xml:space="preserve"> and 24 of the first schedule of the Public Service Regulations “the Regulations”.  It was alleged he had inflicted corporal punishment on pupils in defiance to </w:t>
      </w:r>
      <w:r w:rsidR="00C17465">
        <w:t>an</w:t>
      </w:r>
      <w:r w:rsidR="00847A95">
        <w:t xml:space="preserve"> instruction</w:t>
      </w:r>
      <w:r>
        <w:t xml:space="preserve"> prohibiting such conduct.</w:t>
      </w:r>
    </w:p>
    <w:p w:rsidR="00490EF5" w:rsidRDefault="00490EF5" w:rsidP="00FE3986">
      <w:pPr>
        <w:ind w:firstLine="720"/>
        <w:jc w:val="both"/>
      </w:pPr>
    </w:p>
    <w:p w:rsidR="00490EF5" w:rsidRDefault="00490EF5" w:rsidP="002C3D55">
      <w:pPr>
        <w:spacing w:line="360" w:lineRule="auto"/>
        <w:ind w:firstLine="720"/>
        <w:jc w:val="both"/>
      </w:pPr>
      <w:r>
        <w:t>The current charge was a contravention of Section 44 (2) (a) read with paragraphs 3, 13 (a) and 24 of the Regulations failure to comply with a circular prohibiting conducting extra lessons.</w:t>
      </w:r>
    </w:p>
    <w:p w:rsidR="00AF7DD0" w:rsidRDefault="00AF7DD0" w:rsidP="00FE3986">
      <w:pPr>
        <w:ind w:firstLine="720"/>
        <w:jc w:val="both"/>
      </w:pPr>
    </w:p>
    <w:p w:rsidR="00AF7DD0" w:rsidRDefault="00AF7DD0" w:rsidP="002C3D55">
      <w:pPr>
        <w:spacing w:line="360" w:lineRule="auto"/>
        <w:ind w:firstLine="720"/>
        <w:jc w:val="both"/>
      </w:pPr>
      <w:r>
        <w:t xml:space="preserve">According to appellant the misconduct was different.  The respondent submitted that the bottom line was that the appellant failed </w:t>
      </w:r>
      <w:r w:rsidR="000B0EF8">
        <w:t>to comply with instructions in</w:t>
      </w:r>
      <w:r w:rsidR="00B15990">
        <w:t xml:space="preserve"> the form of circulars.  It does not matter what conduct he later did but he showed a propensity to disregard</w:t>
      </w:r>
      <w:r w:rsidR="0027391A">
        <w:t xml:space="preserve"> set circulars.</w:t>
      </w:r>
    </w:p>
    <w:p w:rsidR="0027391A" w:rsidRDefault="0027391A" w:rsidP="00FE3986">
      <w:pPr>
        <w:ind w:firstLine="720"/>
        <w:jc w:val="both"/>
      </w:pPr>
    </w:p>
    <w:p w:rsidR="0027391A" w:rsidRDefault="0027391A" w:rsidP="002C3D55">
      <w:pPr>
        <w:spacing w:line="360" w:lineRule="auto"/>
        <w:ind w:firstLine="720"/>
        <w:jc w:val="both"/>
      </w:pPr>
      <w:r>
        <w:t xml:space="preserve">I agree with the respondent the appellant had a relevant previous misconduct and it </w:t>
      </w:r>
      <w:r w:rsidR="00C17465">
        <w:t>lagers</w:t>
      </w:r>
      <w:r>
        <w:t xml:space="preserve"> </w:t>
      </w:r>
      <w:r w:rsidR="00847A95">
        <w:t>is the position</w:t>
      </w:r>
      <w:r>
        <w:t xml:space="preserve"> the law see </w:t>
      </w:r>
      <w:r w:rsidRPr="00687911">
        <w:rPr>
          <w:i/>
        </w:rPr>
        <w:t>Standard Chartered Bank Zimbabwe Ltd</w:t>
      </w:r>
      <w:r>
        <w:t xml:space="preserve"> v </w:t>
      </w:r>
      <w:r w:rsidRPr="00687911">
        <w:rPr>
          <w:i/>
        </w:rPr>
        <w:t xml:space="preserve">Richardson </w:t>
      </w:r>
      <w:r>
        <w:t xml:space="preserve">2000 (1) ZLR SC.  In my view the appellant </w:t>
      </w:r>
      <w:r w:rsidR="00FA6CD8">
        <w:t>was</w:t>
      </w:r>
      <w:r>
        <w:t xml:space="preserve"> luck</w:t>
      </w:r>
      <w:r w:rsidR="00FA6CD8">
        <w:t>y to</w:t>
      </w:r>
      <w:r>
        <w:t xml:space="preserve"> escape </w:t>
      </w:r>
      <w:r w:rsidR="00FA6CD8">
        <w:t>with</w:t>
      </w:r>
      <w:r>
        <w:t xml:space="preserve"> a penalty less than a dismissal in face of a previous misconduct.</w:t>
      </w:r>
    </w:p>
    <w:p w:rsidR="00163713" w:rsidRDefault="00163713" w:rsidP="00FA6CD8">
      <w:pPr>
        <w:ind w:firstLine="720"/>
        <w:jc w:val="both"/>
      </w:pPr>
    </w:p>
    <w:p w:rsidR="00163713" w:rsidRDefault="00163713" w:rsidP="002C3D55">
      <w:pPr>
        <w:spacing w:line="360" w:lineRule="auto"/>
        <w:ind w:firstLine="720"/>
        <w:jc w:val="both"/>
      </w:pPr>
      <w:r>
        <w:t>The authority properly took into consideration the previous misconduct and thereupon exercised its discretion.</w:t>
      </w:r>
    </w:p>
    <w:p w:rsidR="007E1F05" w:rsidRDefault="007E1F05" w:rsidP="00FE3986">
      <w:pPr>
        <w:ind w:firstLine="720"/>
        <w:jc w:val="both"/>
      </w:pPr>
    </w:p>
    <w:p w:rsidR="007E1F05" w:rsidRDefault="007E1F05" w:rsidP="007E1F05">
      <w:pPr>
        <w:spacing w:line="360" w:lineRule="auto"/>
        <w:ind w:firstLine="720"/>
        <w:jc w:val="both"/>
      </w:pPr>
      <w:r>
        <w:t xml:space="preserve">The appellant failed to show how the authority exercised its discretion injudiciously as alleged.  The circumstances of the case where a circular was issued, </w:t>
      </w:r>
      <w:r>
        <w:lastRenderedPageBreak/>
        <w:t>a meeting convened and the circular read to teachers including appellant then thereafter the appellant contravenes it cannot be said to be a little matter.</w:t>
      </w:r>
    </w:p>
    <w:p w:rsidR="007E1F05" w:rsidRDefault="007E1F05" w:rsidP="00FE3986">
      <w:pPr>
        <w:jc w:val="both"/>
      </w:pPr>
    </w:p>
    <w:p w:rsidR="007E1F05" w:rsidRDefault="007E1F05" w:rsidP="007E1F05">
      <w:pPr>
        <w:spacing w:line="360" w:lineRule="auto"/>
        <w:jc w:val="both"/>
      </w:pPr>
      <w:r>
        <w:t>The appeal has no merit accordingly the following order is made.</w:t>
      </w:r>
    </w:p>
    <w:p w:rsidR="007E1F05" w:rsidRDefault="007E1F05" w:rsidP="007E1F05">
      <w:pPr>
        <w:spacing w:line="360" w:lineRule="auto"/>
        <w:jc w:val="both"/>
      </w:pPr>
    </w:p>
    <w:p w:rsidR="007E1F05" w:rsidRDefault="007E1F05" w:rsidP="007E1F05">
      <w:pPr>
        <w:pStyle w:val="ListParagraph"/>
        <w:numPr>
          <w:ilvl w:val="0"/>
          <w:numId w:val="1"/>
        </w:numPr>
        <w:spacing w:line="360" w:lineRule="auto"/>
        <w:jc w:val="both"/>
      </w:pPr>
      <w:r>
        <w:t>The appeal be and is hereby dismissed.</w:t>
      </w:r>
    </w:p>
    <w:p w:rsidR="007E1F05" w:rsidRDefault="007E1F05" w:rsidP="007E1F05">
      <w:pPr>
        <w:pStyle w:val="ListParagraph"/>
        <w:numPr>
          <w:ilvl w:val="0"/>
          <w:numId w:val="1"/>
        </w:numPr>
        <w:spacing w:line="360" w:lineRule="auto"/>
        <w:jc w:val="both"/>
      </w:pPr>
      <w:r>
        <w:t>The penalty imposed by the authority is hereby confirmed.</w:t>
      </w:r>
    </w:p>
    <w:p w:rsidR="004D7AF0" w:rsidRDefault="004D7AF0" w:rsidP="004D7AF0">
      <w:pPr>
        <w:spacing w:line="360" w:lineRule="auto"/>
        <w:jc w:val="both"/>
      </w:pPr>
    </w:p>
    <w:p w:rsidR="004D7AF0" w:rsidRDefault="004D7AF0" w:rsidP="004D7AF0">
      <w:pPr>
        <w:spacing w:line="360" w:lineRule="auto"/>
        <w:jc w:val="both"/>
      </w:pPr>
    </w:p>
    <w:p w:rsidR="004D7AF0" w:rsidRDefault="004D7AF0" w:rsidP="004D7AF0">
      <w:pPr>
        <w:spacing w:line="360" w:lineRule="auto"/>
        <w:jc w:val="both"/>
      </w:pPr>
      <w:proofErr w:type="spellStart"/>
      <w:r w:rsidRPr="004D7AF0">
        <w:rPr>
          <w:i/>
        </w:rPr>
        <w:t>Munyaradzi</w:t>
      </w:r>
      <w:proofErr w:type="spellEnd"/>
      <w:r w:rsidRPr="004D7AF0">
        <w:rPr>
          <w:i/>
        </w:rPr>
        <w:t xml:space="preserve"> </w:t>
      </w:r>
      <w:proofErr w:type="spellStart"/>
      <w:r w:rsidRPr="004D7AF0">
        <w:rPr>
          <w:i/>
        </w:rPr>
        <w:t>Gwisai</w:t>
      </w:r>
      <w:proofErr w:type="spellEnd"/>
      <w:r w:rsidRPr="004D7AF0">
        <w:rPr>
          <w:i/>
        </w:rPr>
        <w:t xml:space="preserve"> &amp; Partners</w:t>
      </w:r>
      <w:r>
        <w:t>, appellant’s legal practitioners</w:t>
      </w:r>
    </w:p>
    <w:p w:rsidR="00163713" w:rsidRDefault="00163713" w:rsidP="002C3D55">
      <w:pPr>
        <w:spacing w:line="360" w:lineRule="auto"/>
        <w:ind w:firstLine="720"/>
        <w:jc w:val="both"/>
      </w:pPr>
    </w:p>
    <w:p w:rsidR="008778BE" w:rsidRDefault="008778BE" w:rsidP="002C3D55">
      <w:pPr>
        <w:spacing w:line="360" w:lineRule="auto"/>
        <w:ind w:firstLine="720"/>
        <w:jc w:val="both"/>
      </w:pPr>
    </w:p>
    <w:p w:rsidR="008778BE" w:rsidRDefault="008778BE" w:rsidP="002C3D55">
      <w:pPr>
        <w:spacing w:line="360" w:lineRule="auto"/>
        <w:ind w:firstLine="720"/>
        <w:jc w:val="both"/>
      </w:pPr>
    </w:p>
    <w:sectPr w:rsidR="008778BE" w:rsidSect="005E16A8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457" w:rsidRDefault="00CB5457" w:rsidP="00580FCB">
      <w:r>
        <w:separator/>
      </w:r>
    </w:p>
  </w:endnote>
  <w:endnote w:type="continuationSeparator" w:id="0">
    <w:p w:rsidR="00CB5457" w:rsidRDefault="00CB5457" w:rsidP="00580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13100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D4062" w:rsidRDefault="00FD40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03A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D4062" w:rsidRDefault="00FD4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457" w:rsidRDefault="00CB5457" w:rsidP="00580FCB">
      <w:r>
        <w:separator/>
      </w:r>
    </w:p>
  </w:footnote>
  <w:footnote w:type="continuationSeparator" w:id="0">
    <w:p w:rsidR="00CB5457" w:rsidRDefault="00CB5457" w:rsidP="00580F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FCB" w:rsidRDefault="005E16A8">
    <w:pPr>
      <w:pStyle w:val="Header"/>
    </w:pPr>
    <w:r>
      <w:tab/>
    </w:r>
    <w:r>
      <w:tab/>
      <w:t>JUDGMENT NO. LC/H/</w:t>
    </w:r>
    <w:r w:rsidR="006803A2">
      <w:t>116</w:t>
    </w:r>
    <w:r>
      <w:t>/</w:t>
    </w:r>
    <w:r w:rsidR="00580FCB">
      <w:t>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30DDE"/>
    <w:multiLevelType w:val="hybridMultilevel"/>
    <w:tmpl w:val="793423B8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C86"/>
    <w:rsid w:val="000B0EF8"/>
    <w:rsid w:val="00163713"/>
    <w:rsid w:val="0017460C"/>
    <w:rsid w:val="00247805"/>
    <w:rsid w:val="0027391A"/>
    <w:rsid w:val="002C3D55"/>
    <w:rsid w:val="00380B8A"/>
    <w:rsid w:val="00442D8A"/>
    <w:rsid w:val="00490EF5"/>
    <w:rsid w:val="004D7AF0"/>
    <w:rsid w:val="00532027"/>
    <w:rsid w:val="00580FCB"/>
    <w:rsid w:val="00583E5F"/>
    <w:rsid w:val="005E16A8"/>
    <w:rsid w:val="005F79F1"/>
    <w:rsid w:val="00617C86"/>
    <w:rsid w:val="006803A2"/>
    <w:rsid w:val="00687911"/>
    <w:rsid w:val="00782F31"/>
    <w:rsid w:val="007E1F05"/>
    <w:rsid w:val="00847A95"/>
    <w:rsid w:val="008778BE"/>
    <w:rsid w:val="00A640A1"/>
    <w:rsid w:val="00AF7DD0"/>
    <w:rsid w:val="00B15990"/>
    <w:rsid w:val="00BE047F"/>
    <w:rsid w:val="00C17465"/>
    <w:rsid w:val="00C8506B"/>
    <w:rsid w:val="00CB4549"/>
    <w:rsid w:val="00CB5457"/>
    <w:rsid w:val="00E03270"/>
    <w:rsid w:val="00FA6CD8"/>
    <w:rsid w:val="00FD4062"/>
    <w:rsid w:val="00FE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C86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1F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0F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0FCB"/>
    <w:rPr>
      <w:rFonts w:ascii="Tahoma" w:eastAsia="Times New Roman" w:hAnsi="Tahom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80F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0FCB"/>
    <w:rPr>
      <w:rFonts w:ascii="Tahoma" w:eastAsia="Times New Roman" w:hAnsi="Tahoma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C86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1F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0F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0FCB"/>
    <w:rPr>
      <w:rFonts w:ascii="Tahoma" w:eastAsia="Times New Roman" w:hAnsi="Tahom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80F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0FCB"/>
    <w:rPr>
      <w:rFonts w:ascii="Tahoma" w:eastAsia="Times New Roman" w:hAnsi="Tahom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Labour</dc:creator>
  <cp:lastModifiedBy>Labour</cp:lastModifiedBy>
  <cp:revision>28</cp:revision>
  <dcterms:created xsi:type="dcterms:W3CDTF">2016-02-23T13:51:00Z</dcterms:created>
  <dcterms:modified xsi:type="dcterms:W3CDTF">2016-02-26T13:29:00Z</dcterms:modified>
</cp:coreProperties>
</file>