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887" w:rsidRDefault="00B74FFC"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HOSEA OZIAH NCUBE</w:t>
      </w:r>
    </w:p>
    <w:p w:rsidR="00673887" w:rsidRPr="00550CAB" w:rsidRDefault="009B4612"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v</w:t>
      </w:r>
      <w:r w:rsidR="00673887" w:rsidRPr="00550CAB">
        <w:rPr>
          <w:rFonts w:ascii="Times New Roman" w:hAnsi="Times New Roman" w:cs="Times New Roman"/>
          <w:sz w:val="24"/>
          <w:szCs w:val="24"/>
        </w:rPr>
        <w:t>ersus</w:t>
      </w:r>
    </w:p>
    <w:p w:rsidR="00673887" w:rsidRDefault="00B74FFC" w:rsidP="00B74FFC">
      <w:pPr>
        <w:pStyle w:val="NoSpacing"/>
        <w:rPr>
          <w:rFonts w:ascii="Times New Roman" w:hAnsi="Times New Roman" w:cs="Times New Roman"/>
          <w:sz w:val="24"/>
          <w:szCs w:val="24"/>
        </w:rPr>
      </w:pPr>
      <w:r>
        <w:rPr>
          <w:rFonts w:ascii="Times New Roman" w:hAnsi="Times New Roman" w:cs="Times New Roman"/>
          <w:sz w:val="24"/>
          <w:szCs w:val="24"/>
        </w:rPr>
        <w:t>SIMBARASHE MUPINGA</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B74FFC">
        <w:rPr>
          <w:rFonts w:ascii="Times New Roman" w:hAnsi="Times New Roman" w:cs="Times New Roman"/>
          <w:sz w:val="24"/>
          <w:szCs w:val="24"/>
        </w:rPr>
        <w:t>2 March</w:t>
      </w:r>
      <w:r w:rsidR="00550CAB">
        <w:rPr>
          <w:rFonts w:ascii="Times New Roman" w:hAnsi="Times New Roman" w:cs="Times New Roman"/>
          <w:sz w:val="24"/>
          <w:szCs w:val="24"/>
        </w:rPr>
        <w:t xml:space="preserve"> </w:t>
      </w:r>
      <w:r w:rsidR="00FE218C">
        <w:rPr>
          <w:rFonts w:ascii="Times New Roman" w:hAnsi="Times New Roman" w:cs="Times New Roman"/>
          <w:sz w:val="24"/>
          <w:szCs w:val="24"/>
        </w:rPr>
        <w:t xml:space="preserve">&amp; </w:t>
      </w:r>
      <w:r w:rsidR="001A565E">
        <w:rPr>
          <w:rFonts w:ascii="Times New Roman" w:hAnsi="Times New Roman" w:cs="Times New Roman"/>
          <w:sz w:val="24"/>
          <w:szCs w:val="24"/>
        </w:rPr>
        <w:t>2</w:t>
      </w:r>
      <w:r w:rsidR="00C372D4">
        <w:rPr>
          <w:rFonts w:ascii="Times New Roman" w:hAnsi="Times New Roman" w:cs="Times New Roman"/>
          <w:sz w:val="24"/>
          <w:szCs w:val="24"/>
        </w:rPr>
        <w:t>5 April</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B74FFC">
        <w:rPr>
          <w:rFonts w:ascii="Times New Roman" w:hAnsi="Times New Roman" w:cs="Times New Roman"/>
          <w:b/>
          <w:sz w:val="24"/>
          <w:szCs w:val="24"/>
        </w:rPr>
        <w:t>Leave to execute pending appeal</w:t>
      </w:r>
      <w:r w:rsidR="00D87187">
        <w:rPr>
          <w:rFonts w:ascii="Times New Roman" w:hAnsi="Times New Roman" w:cs="Times New Roman"/>
          <w:b/>
          <w:sz w:val="24"/>
          <w:szCs w:val="24"/>
        </w:rPr>
        <w:tab/>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1A565E"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Advocate Regina Mabwe</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C72F33">
        <w:rPr>
          <w:rFonts w:ascii="Times New Roman" w:hAnsi="Times New Roman" w:cs="Times New Roman"/>
          <w:sz w:val="24"/>
          <w:szCs w:val="24"/>
        </w:rPr>
        <w:t>applicant</w:t>
      </w:r>
    </w:p>
    <w:p w:rsidR="005023C5" w:rsidRDefault="001A565E"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Mr A Mugandiwa</w:t>
      </w:r>
      <w:r w:rsidR="008D51A3">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CE58C2">
        <w:rPr>
          <w:rFonts w:ascii="Times New Roman" w:hAnsi="Times New Roman" w:cs="Times New Roman"/>
          <w:sz w:val="24"/>
          <w:szCs w:val="24"/>
        </w:rPr>
        <w:t xml:space="preserve">the </w:t>
      </w:r>
      <w:r w:rsidR="00600AF2">
        <w:rPr>
          <w:rFonts w:ascii="Times New Roman" w:hAnsi="Times New Roman" w:cs="Times New Roman"/>
          <w:sz w:val="24"/>
          <w:szCs w:val="24"/>
        </w:rPr>
        <w:t>r</w:t>
      </w:r>
      <w:r w:rsidR="00C72F33">
        <w:rPr>
          <w:rFonts w:ascii="Times New Roman" w:hAnsi="Times New Roman" w:cs="Times New Roman"/>
          <w:sz w:val="24"/>
          <w:szCs w:val="24"/>
        </w:rPr>
        <w:t>espondent</w:t>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4F118D"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B51190">
        <w:rPr>
          <w:rFonts w:ascii="Times New Roman" w:hAnsi="Times New Roman" w:cs="Times New Roman"/>
          <w:sz w:val="24"/>
          <w:szCs w:val="24"/>
        </w:rPr>
        <w:t>is matter emanates from a judgment I granted, with costs, in favour of the applicant on 13 September 2017</w:t>
      </w:r>
      <w:r w:rsidR="001A565E">
        <w:rPr>
          <w:rFonts w:ascii="Times New Roman" w:hAnsi="Times New Roman" w:cs="Times New Roman"/>
          <w:sz w:val="24"/>
          <w:szCs w:val="24"/>
        </w:rPr>
        <w:t xml:space="preserve"> in </w:t>
      </w:r>
      <w:r w:rsidR="004F118D">
        <w:rPr>
          <w:rFonts w:ascii="Times New Roman" w:hAnsi="Times New Roman" w:cs="Times New Roman"/>
          <w:sz w:val="24"/>
          <w:szCs w:val="24"/>
        </w:rPr>
        <w:t>HH614/17 (</w:t>
      </w:r>
      <w:r w:rsidR="001A565E">
        <w:rPr>
          <w:rFonts w:ascii="Times New Roman" w:hAnsi="Times New Roman" w:cs="Times New Roman"/>
          <w:sz w:val="24"/>
          <w:szCs w:val="24"/>
        </w:rPr>
        <w:t>HC9698/17</w:t>
      </w:r>
      <w:r w:rsidR="004F118D">
        <w:rPr>
          <w:rFonts w:ascii="Times New Roman" w:hAnsi="Times New Roman" w:cs="Times New Roman"/>
          <w:sz w:val="24"/>
          <w:szCs w:val="24"/>
        </w:rPr>
        <w:t>)</w:t>
      </w:r>
      <w:r w:rsidR="00B51190">
        <w:rPr>
          <w:rFonts w:ascii="Times New Roman" w:hAnsi="Times New Roman" w:cs="Times New Roman"/>
          <w:sz w:val="24"/>
          <w:szCs w:val="24"/>
        </w:rPr>
        <w:t xml:space="preserve">. Therein, </w:t>
      </w:r>
      <w:r w:rsidR="004F118D">
        <w:rPr>
          <w:rFonts w:ascii="Times New Roman" w:hAnsi="Times New Roman" w:cs="Times New Roman"/>
          <w:sz w:val="24"/>
          <w:szCs w:val="24"/>
        </w:rPr>
        <w:t xml:space="preserve">applicant had sued defendant claiming possession of certain piece of land situate in the District of Salisbury called the Remainder of Subdivision B of Marshlands of Delft of Hopley (the Remainder) and payment of the sum of two thousand three hundred and eighty United States Dollars (USD 2 380) per month calculated from 10 July 2013. After a full trial, </w:t>
      </w:r>
      <w:r w:rsidR="00B51190">
        <w:rPr>
          <w:rFonts w:ascii="Times New Roman" w:hAnsi="Times New Roman" w:cs="Times New Roman"/>
          <w:sz w:val="24"/>
          <w:szCs w:val="24"/>
        </w:rPr>
        <w:t xml:space="preserve">I </w:t>
      </w:r>
      <w:r w:rsidR="004F118D">
        <w:rPr>
          <w:rFonts w:ascii="Times New Roman" w:hAnsi="Times New Roman" w:cs="Times New Roman"/>
          <w:sz w:val="24"/>
          <w:szCs w:val="24"/>
        </w:rPr>
        <w:t>granted the</w:t>
      </w:r>
      <w:r w:rsidR="00B51190">
        <w:rPr>
          <w:rFonts w:ascii="Times New Roman" w:hAnsi="Times New Roman" w:cs="Times New Roman"/>
          <w:sz w:val="24"/>
          <w:szCs w:val="24"/>
        </w:rPr>
        <w:t xml:space="preserve"> </w:t>
      </w:r>
      <w:r w:rsidR="004F118D">
        <w:rPr>
          <w:rFonts w:ascii="Times New Roman" w:hAnsi="Times New Roman" w:cs="Times New Roman"/>
          <w:sz w:val="24"/>
          <w:szCs w:val="24"/>
        </w:rPr>
        <w:t>applicant the order he sought.</w:t>
      </w:r>
    </w:p>
    <w:p w:rsidR="00C9415F" w:rsidRPr="00493C04" w:rsidRDefault="00C9415F" w:rsidP="001F7BE4">
      <w:pPr>
        <w:spacing w:after="0" w:line="360" w:lineRule="auto"/>
        <w:ind w:firstLine="720"/>
        <w:jc w:val="both"/>
        <w:rPr>
          <w:rFonts w:ascii="Times New Roman" w:hAnsi="Times New Roman" w:cs="Times New Roman"/>
          <w:sz w:val="24"/>
          <w:szCs w:val="24"/>
          <w:u w:val="single"/>
        </w:rPr>
      </w:pPr>
      <w:r w:rsidRPr="00493C04">
        <w:rPr>
          <w:rFonts w:ascii="Times New Roman" w:hAnsi="Times New Roman" w:cs="Times New Roman"/>
          <w:sz w:val="24"/>
          <w:szCs w:val="24"/>
          <w:u w:val="single"/>
        </w:rPr>
        <w:t>The facts</w:t>
      </w:r>
    </w:p>
    <w:p w:rsidR="00C9415F" w:rsidRDefault="00C9415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parties entered into an agreement of sale sometime in 2005 wherein the applicant sold, and the respondent purchased Stand 694 of subdivision B of Marshlands of Delft of Hopley</w:t>
      </w:r>
      <w:r w:rsidR="00D268AD">
        <w:rPr>
          <w:rFonts w:ascii="Times New Roman" w:hAnsi="Times New Roman" w:cs="Times New Roman"/>
          <w:sz w:val="24"/>
          <w:szCs w:val="24"/>
        </w:rPr>
        <w:t xml:space="preserve"> (Stand 694)</w:t>
      </w:r>
      <w:r>
        <w:rPr>
          <w:rFonts w:ascii="Times New Roman" w:hAnsi="Times New Roman" w:cs="Times New Roman"/>
          <w:sz w:val="24"/>
          <w:szCs w:val="24"/>
        </w:rPr>
        <w:t xml:space="preserve">. It later </w:t>
      </w:r>
      <w:r w:rsidR="00863DA8">
        <w:rPr>
          <w:rFonts w:ascii="Times New Roman" w:hAnsi="Times New Roman" w:cs="Times New Roman"/>
          <w:sz w:val="24"/>
          <w:szCs w:val="24"/>
        </w:rPr>
        <w:t>became evident</w:t>
      </w:r>
      <w:r>
        <w:rPr>
          <w:rFonts w:ascii="Times New Roman" w:hAnsi="Times New Roman" w:cs="Times New Roman"/>
          <w:sz w:val="24"/>
          <w:szCs w:val="24"/>
        </w:rPr>
        <w:t xml:space="preserve"> that, during the</w:t>
      </w:r>
      <w:r w:rsidR="00863DA8">
        <w:rPr>
          <w:rFonts w:ascii="Times New Roman" w:hAnsi="Times New Roman" w:cs="Times New Roman"/>
          <w:sz w:val="24"/>
          <w:szCs w:val="24"/>
        </w:rPr>
        <w:t xml:space="preserve"> sale</w:t>
      </w:r>
      <w:r>
        <w:rPr>
          <w:rFonts w:ascii="Times New Roman" w:hAnsi="Times New Roman" w:cs="Times New Roman"/>
          <w:sz w:val="24"/>
          <w:szCs w:val="24"/>
        </w:rPr>
        <w:t xml:space="preserve"> transaction, the parties had used a wrong map, rather </w:t>
      </w:r>
      <w:r w:rsidR="00863DA8">
        <w:rPr>
          <w:rFonts w:ascii="Times New Roman" w:hAnsi="Times New Roman" w:cs="Times New Roman"/>
          <w:sz w:val="24"/>
          <w:szCs w:val="24"/>
        </w:rPr>
        <w:t xml:space="preserve">than </w:t>
      </w:r>
      <w:r>
        <w:rPr>
          <w:rFonts w:ascii="Times New Roman" w:hAnsi="Times New Roman" w:cs="Times New Roman"/>
          <w:sz w:val="24"/>
          <w:szCs w:val="24"/>
        </w:rPr>
        <w:t xml:space="preserve">CG 2907, </w:t>
      </w:r>
      <w:r w:rsidR="00D268AD">
        <w:rPr>
          <w:rFonts w:ascii="Times New Roman" w:hAnsi="Times New Roman" w:cs="Times New Roman"/>
          <w:sz w:val="24"/>
          <w:szCs w:val="24"/>
        </w:rPr>
        <w:t xml:space="preserve">which was </w:t>
      </w:r>
      <w:r>
        <w:rPr>
          <w:rFonts w:ascii="Times New Roman" w:hAnsi="Times New Roman" w:cs="Times New Roman"/>
          <w:sz w:val="24"/>
          <w:szCs w:val="24"/>
        </w:rPr>
        <w:t>duly approved by the Surveyor General on 1 November 2003.</w:t>
      </w:r>
      <w:r w:rsidR="00863DA8">
        <w:rPr>
          <w:rFonts w:ascii="Times New Roman" w:hAnsi="Times New Roman" w:cs="Times New Roman"/>
          <w:sz w:val="24"/>
          <w:szCs w:val="24"/>
        </w:rPr>
        <w:t xml:space="preserve"> As a result, </w:t>
      </w:r>
      <w:r w:rsidR="00C72F33">
        <w:rPr>
          <w:rFonts w:ascii="Times New Roman" w:hAnsi="Times New Roman" w:cs="Times New Roman"/>
          <w:sz w:val="24"/>
          <w:szCs w:val="24"/>
        </w:rPr>
        <w:t xml:space="preserve">the </w:t>
      </w:r>
      <w:r w:rsidR="00863DA8">
        <w:rPr>
          <w:rFonts w:ascii="Times New Roman" w:hAnsi="Times New Roman" w:cs="Times New Roman"/>
          <w:sz w:val="24"/>
          <w:szCs w:val="24"/>
        </w:rPr>
        <w:t>respondent in fact purchased a road, stand 694 having become a thoroughfare upon completion of the survey plan by the Surveyor General.</w:t>
      </w:r>
    </w:p>
    <w:p w:rsidR="00863DA8" w:rsidRDefault="00C9415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Efforts to rectify the error </w:t>
      </w:r>
      <w:r w:rsidR="00D268AD">
        <w:rPr>
          <w:rFonts w:ascii="Times New Roman" w:hAnsi="Times New Roman" w:cs="Times New Roman"/>
          <w:sz w:val="24"/>
          <w:szCs w:val="24"/>
        </w:rPr>
        <w:t>were</w:t>
      </w:r>
      <w:r>
        <w:rPr>
          <w:rFonts w:ascii="Times New Roman" w:hAnsi="Times New Roman" w:cs="Times New Roman"/>
          <w:sz w:val="24"/>
          <w:szCs w:val="24"/>
        </w:rPr>
        <w:t xml:space="preserve"> unsuccessful, mostly due to the respondent’s intransigence</w:t>
      </w:r>
      <w:r w:rsidR="00863DA8">
        <w:rPr>
          <w:rFonts w:ascii="Times New Roman" w:hAnsi="Times New Roman" w:cs="Times New Roman"/>
          <w:sz w:val="24"/>
          <w:szCs w:val="24"/>
        </w:rPr>
        <w:t>, who spurned the offer of a replacement stand and cash adjustment or a refund of the purchase price</w:t>
      </w:r>
      <w:r>
        <w:rPr>
          <w:rFonts w:ascii="Times New Roman" w:hAnsi="Times New Roman" w:cs="Times New Roman"/>
          <w:sz w:val="24"/>
          <w:szCs w:val="24"/>
        </w:rPr>
        <w:t>.</w:t>
      </w:r>
      <w:r w:rsidR="00D268AD">
        <w:rPr>
          <w:rFonts w:ascii="Times New Roman" w:hAnsi="Times New Roman" w:cs="Times New Roman"/>
          <w:sz w:val="24"/>
          <w:szCs w:val="24"/>
        </w:rPr>
        <w:t xml:space="preserve"> Ultimately, the respondent approached this court for an order compelling applicant to transfer to him, Stand 694, which was duly done. </w:t>
      </w:r>
      <w:r w:rsidR="00863DA8">
        <w:rPr>
          <w:rFonts w:ascii="Times New Roman" w:hAnsi="Times New Roman" w:cs="Times New Roman"/>
          <w:sz w:val="24"/>
          <w:szCs w:val="24"/>
        </w:rPr>
        <w:t xml:space="preserve">Case number </w:t>
      </w:r>
      <w:r w:rsidR="00D268AD">
        <w:rPr>
          <w:rFonts w:ascii="Times New Roman" w:hAnsi="Times New Roman" w:cs="Times New Roman"/>
          <w:sz w:val="24"/>
          <w:szCs w:val="24"/>
        </w:rPr>
        <w:t>HC 1205/07 and DT502/2011 dated 18 February 2011</w:t>
      </w:r>
      <w:r w:rsidR="00863DA8">
        <w:rPr>
          <w:rFonts w:ascii="Times New Roman" w:hAnsi="Times New Roman" w:cs="Times New Roman"/>
          <w:sz w:val="24"/>
          <w:szCs w:val="24"/>
        </w:rPr>
        <w:t>being apposite</w:t>
      </w:r>
      <w:r w:rsidR="00D268AD">
        <w:rPr>
          <w:rFonts w:ascii="Times New Roman" w:hAnsi="Times New Roman" w:cs="Times New Roman"/>
          <w:sz w:val="24"/>
          <w:szCs w:val="24"/>
        </w:rPr>
        <w:t xml:space="preserve">. </w:t>
      </w:r>
    </w:p>
    <w:p w:rsidR="00D268AD" w:rsidRDefault="00D268A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Thus respondent currently holds title to stand 694</w:t>
      </w:r>
      <w:r w:rsidR="00863DA8">
        <w:rPr>
          <w:rFonts w:ascii="Times New Roman" w:hAnsi="Times New Roman" w:cs="Times New Roman"/>
          <w:sz w:val="24"/>
          <w:szCs w:val="24"/>
        </w:rPr>
        <w:t>.</w:t>
      </w:r>
      <w:r w:rsidR="00863DA8" w:rsidRPr="00863DA8">
        <w:rPr>
          <w:rFonts w:ascii="Times New Roman" w:hAnsi="Times New Roman" w:cs="Times New Roman"/>
          <w:sz w:val="24"/>
          <w:szCs w:val="24"/>
        </w:rPr>
        <w:t xml:space="preserve"> </w:t>
      </w:r>
      <w:r w:rsidR="00863DA8">
        <w:rPr>
          <w:rFonts w:ascii="Times New Roman" w:hAnsi="Times New Roman" w:cs="Times New Roman"/>
          <w:sz w:val="24"/>
          <w:szCs w:val="24"/>
        </w:rPr>
        <w:t>Unfortunately for him, stand 694 is a road in accordance with the properly approved subdivision permit and survey diagram CG2907 aforesaid.</w:t>
      </w:r>
    </w:p>
    <w:p w:rsidR="000D2AD3" w:rsidRDefault="00863DA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subsequently</w:t>
      </w:r>
      <w:r w:rsidR="00D268AD">
        <w:rPr>
          <w:rFonts w:ascii="Times New Roman" w:hAnsi="Times New Roman" w:cs="Times New Roman"/>
          <w:sz w:val="24"/>
          <w:szCs w:val="24"/>
        </w:rPr>
        <w:t xml:space="preserve"> obtained a</w:t>
      </w:r>
      <w:r>
        <w:rPr>
          <w:rFonts w:ascii="Times New Roman" w:hAnsi="Times New Roman" w:cs="Times New Roman"/>
          <w:sz w:val="24"/>
          <w:szCs w:val="24"/>
        </w:rPr>
        <w:t xml:space="preserve">n order from this </w:t>
      </w:r>
      <w:r w:rsidR="00D268AD">
        <w:rPr>
          <w:rFonts w:ascii="Times New Roman" w:hAnsi="Times New Roman" w:cs="Times New Roman"/>
          <w:sz w:val="24"/>
          <w:szCs w:val="24"/>
        </w:rPr>
        <w:t>court</w:t>
      </w:r>
      <w:r>
        <w:rPr>
          <w:rFonts w:ascii="Times New Roman" w:hAnsi="Times New Roman" w:cs="Times New Roman"/>
          <w:sz w:val="24"/>
          <w:szCs w:val="24"/>
        </w:rPr>
        <w:t>, authorising the</w:t>
      </w:r>
      <w:r w:rsidR="00D268AD">
        <w:rPr>
          <w:rFonts w:ascii="Times New Roman" w:hAnsi="Times New Roman" w:cs="Times New Roman"/>
          <w:sz w:val="24"/>
          <w:szCs w:val="24"/>
        </w:rPr>
        <w:t xml:space="preserve"> evict</w:t>
      </w:r>
      <w:r>
        <w:rPr>
          <w:rFonts w:ascii="Times New Roman" w:hAnsi="Times New Roman" w:cs="Times New Roman"/>
          <w:sz w:val="24"/>
          <w:szCs w:val="24"/>
        </w:rPr>
        <w:t>ion of the applicant</w:t>
      </w:r>
      <w:r w:rsidR="00D268AD">
        <w:rPr>
          <w:rFonts w:ascii="Times New Roman" w:hAnsi="Times New Roman" w:cs="Times New Roman"/>
          <w:sz w:val="24"/>
          <w:szCs w:val="24"/>
        </w:rPr>
        <w:t xml:space="preserve"> from stand 694</w:t>
      </w:r>
      <w:r w:rsidR="000D2AD3">
        <w:rPr>
          <w:rFonts w:ascii="Times New Roman" w:hAnsi="Times New Roman" w:cs="Times New Roman"/>
          <w:sz w:val="24"/>
          <w:szCs w:val="24"/>
        </w:rPr>
        <w:t xml:space="preserve"> (</w:t>
      </w:r>
      <w:r>
        <w:rPr>
          <w:rFonts w:ascii="Times New Roman" w:hAnsi="Times New Roman" w:cs="Times New Roman"/>
          <w:sz w:val="24"/>
          <w:szCs w:val="24"/>
        </w:rPr>
        <w:t xml:space="preserve">case number </w:t>
      </w:r>
      <w:r w:rsidR="000D2AD3">
        <w:rPr>
          <w:rFonts w:ascii="Times New Roman" w:hAnsi="Times New Roman" w:cs="Times New Roman"/>
          <w:sz w:val="24"/>
          <w:szCs w:val="24"/>
        </w:rPr>
        <w:t>HC 6804/11 refers)</w:t>
      </w:r>
      <w:r w:rsidR="00D268AD">
        <w:rPr>
          <w:rFonts w:ascii="Times New Roman" w:hAnsi="Times New Roman" w:cs="Times New Roman"/>
          <w:sz w:val="24"/>
          <w:szCs w:val="24"/>
        </w:rPr>
        <w:t xml:space="preserve">. However, </w:t>
      </w:r>
      <w:r w:rsidR="000D2AD3">
        <w:rPr>
          <w:rFonts w:ascii="Times New Roman" w:hAnsi="Times New Roman" w:cs="Times New Roman"/>
          <w:sz w:val="24"/>
          <w:szCs w:val="24"/>
        </w:rPr>
        <w:t xml:space="preserve">quite contrary to the title he holds and the eviction order he obtained, respondent </w:t>
      </w:r>
      <w:r w:rsidR="00D268AD">
        <w:rPr>
          <w:rFonts w:ascii="Times New Roman" w:hAnsi="Times New Roman" w:cs="Times New Roman"/>
          <w:sz w:val="24"/>
          <w:szCs w:val="24"/>
        </w:rPr>
        <w:t xml:space="preserve">went on to evict applicant from the Remainder </w:t>
      </w:r>
      <w:r w:rsidR="000D2AD3">
        <w:rPr>
          <w:rFonts w:ascii="Times New Roman" w:hAnsi="Times New Roman" w:cs="Times New Roman"/>
          <w:sz w:val="24"/>
          <w:szCs w:val="24"/>
        </w:rPr>
        <w:t>using the eviction order granted in respect of Stand 694.</w:t>
      </w:r>
    </w:p>
    <w:p w:rsidR="000D2AD3" w:rsidRDefault="000D2AD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obtaining judgment for </w:t>
      </w:r>
      <w:r w:rsidR="00863DA8">
        <w:rPr>
          <w:rFonts w:ascii="Times New Roman" w:hAnsi="Times New Roman" w:cs="Times New Roman"/>
          <w:sz w:val="24"/>
          <w:szCs w:val="24"/>
        </w:rPr>
        <w:t xml:space="preserve">the </w:t>
      </w:r>
      <w:r>
        <w:rPr>
          <w:rFonts w:ascii="Times New Roman" w:hAnsi="Times New Roman" w:cs="Times New Roman"/>
          <w:sz w:val="24"/>
          <w:szCs w:val="24"/>
        </w:rPr>
        <w:t xml:space="preserve">restoration of </w:t>
      </w:r>
      <w:r w:rsidR="00863DA8">
        <w:rPr>
          <w:rFonts w:ascii="Times New Roman" w:hAnsi="Times New Roman" w:cs="Times New Roman"/>
          <w:sz w:val="24"/>
          <w:szCs w:val="24"/>
        </w:rPr>
        <w:t xml:space="preserve">his </w:t>
      </w:r>
      <w:r>
        <w:rPr>
          <w:rFonts w:ascii="Times New Roman" w:hAnsi="Times New Roman" w:cs="Times New Roman"/>
          <w:sz w:val="24"/>
          <w:szCs w:val="24"/>
        </w:rPr>
        <w:t xml:space="preserve">possession </w:t>
      </w:r>
      <w:r w:rsidR="00863DA8">
        <w:rPr>
          <w:rFonts w:ascii="Times New Roman" w:hAnsi="Times New Roman" w:cs="Times New Roman"/>
          <w:sz w:val="24"/>
          <w:szCs w:val="24"/>
        </w:rPr>
        <w:t xml:space="preserve">in HC9698/17 </w:t>
      </w:r>
      <w:r>
        <w:rPr>
          <w:rFonts w:ascii="Times New Roman" w:hAnsi="Times New Roman" w:cs="Times New Roman"/>
          <w:sz w:val="24"/>
          <w:szCs w:val="24"/>
        </w:rPr>
        <w:t xml:space="preserve">aforesaid, applicant issued a warrant of execution on 20 September 2017. The warrant of attachment with respect to the monetary portion of my judgment was served on the respondent on 25 September 2017, with eviction scheduled for 28 </w:t>
      </w:r>
      <w:r w:rsidR="002C5C5F">
        <w:rPr>
          <w:rFonts w:ascii="Times New Roman" w:hAnsi="Times New Roman" w:cs="Times New Roman"/>
          <w:sz w:val="24"/>
          <w:szCs w:val="24"/>
        </w:rPr>
        <w:t>September</w:t>
      </w:r>
      <w:r>
        <w:rPr>
          <w:rFonts w:ascii="Times New Roman" w:hAnsi="Times New Roman" w:cs="Times New Roman"/>
          <w:sz w:val="24"/>
          <w:szCs w:val="24"/>
        </w:rPr>
        <w:t xml:space="preserve"> 2017. On 27 September 2017 respondent noted an appeal against my judgment which effect was to suspend any execution of the judgment. Consequently, applicant filed, on</w:t>
      </w:r>
      <w:r w:rsidR="001A565E">
        <w:rPr>
          <w:rFonts w:ascii="Times New Roman" w:hAnsi="Times New Roman" w:cs="Times New Roman"/>
          <w:sz w:val="24"/>
          <w:szCs w:val="24"/>
        </w:rPr>
        <w:t xml:space="preserve"> 5 October 2017, </w:t>
      </w:r>
      <w:r>
        <w:rPr>
          <w:rFonts w:ascii="Times New Roman" w:hAnsi="Times New Roman" w:cs="Times New Roman"/>
          <w:sz w:val="24"/>
          <w:szCs w:val="24"/>
        </w:rPr>
        <w:t>this application for leave to execute pending appeal.</w:t>
      </w:r>
    </w:p>
    <w:p w:rsidR="002C5C5F" w:rsidRPr="00493C04" w:rsidRDefault="002C5C5F" w:rsidP="001F7BE4">
      <w:pPr>
        <w:spacing w:after="0" w:line="360" w:lineRule="auto"/>
        <w:ind w:firstLine="720"/>
        <w:jc w:val="both"/>
        <w:rPr>
          <w:rFonts w:ascii="Times New Roman" w:hAnsi="Times New Roman" w:cs="Times New Roman"/>
          <w:sz w:val="24"/>
          <w:szCs w:val="24"/>
          <w:u w:val="single"/>
        </w:rPr>
      </w:pPr>
      <w:r w:rsidRPr="00493C04">
        <w:rPr>
          <w:rFonts w:ascii="Times New Roman" w:hAnsi="Times New Roman" w:cs="Times New Roman"/>
          <w:sz w:val="24"/>
          <w:szCs w:val="24"/>
          <w:u w:val="single"/>
        </w:rPr>
        <w:t>Parties’ submissions</w:t>
      </w:r>
    </w:p>
    <w:p w:rsidR="002C5C5F" w:rsidRDefault="002C5C5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submits that respondent noted the appeal with no </w:t>
      </w:r>
      <w:r w:rsidRPr="002C5C5F">
        <w:rPr>
          <w:rFonts w:ascii="Times New Roman" w:hAnsi="Times New Roman" w:cs="Times New Roman"/>
          <w:i/>
          <w:sz w:val="24"/>
          <w:szCs w:val="24"/>
        </w:rPr>
        <w:t>bona fide</w:t>
      </w:r>
      <w:r>
        <w:rPr>
          <w:rFonts w:ascii="Times New Roman" w:hAnsi="Times New Roman" w:cs="Times New Roman"/>
          <w:sz w:val="24"/>
          <w:szCs w:val="24"/>
        </w:rPr>
        <w:t xml:space="preserve"> intention to test the correctness of </w:t>
      </w:r>
      <w:r w:rsidR="00C54565">
        <w:rPr>
          <w:rFonts w:ascii="Times New Roman" w:hAnsi="Times New Roman" w:cs="Times New Roman"/>
          <w:sz w:val="24"/>
          <w:szCs w:val="24"/>
        </w:rPr>
        <w:t xml:space="preserve">the </w:t>
      </w:r>
      <w:r>
        <w:rPr>
          <w:rFonts w:ascii="Times New Roman" w:hAnsi="Times New Roman" w:cs="Times New Roman"/>
          <w:sz w:val="24"/>
          <w:szCs w:val="24"/>
        </w:rPr>
        <w:t xml:space="preserve">judgment </w:t>
      </w:r>
      <w:r w:rsidR="00C54565">
        <w:rPr>
          <w:rFonts w:ascii="Times New Roman" w:hAnsi="Times New Roman" w:cs="Times New Roman"/>
          <w:sz w:val="24"/>
          <w:szCs w:val="24"/>
        </w:rPr>
        <w:t xml:space="preserve">of the court </w:t>
      </w:r>
      <w:r w:rsidR="00C54565" w:rsidRPr="001628E2">
        <w:rPr>
          <w:rFonts w:ascii="Times New Roman" w:hAnsi="Times New Roman" w:cs="Times New Roman"/>
          <w:i/>
          <w:sz w:val="24"/>
          <w:szCs w:val="24"/>
        </w:rPr>
        <w:t>a quo</w:t>
      </w:r>
      <w:r w:rsidR="00C54565">
        <w:rPr>
          <w:rFonts w:ascii="Times New Roman" w:hAnsi="Times New Roman" w:cs="Times New Roman"/>
          <w:sz w:val="24"/>
          <w:szCs w:val="24"/>
        </w:rPr>
        <w:t xml:space="preserve">, </w:t>
      </w:r>
      <w:r>
        <w:rPr>
          <w:rFonts w:ascii="Times New Roman" w:hAnsi="Times New Roman" w:cs="Times New Roman"/>
          <w:sz w:val="24"/>
          <w:szCs w:val="24"/>
        </w:rPr>
        <w:t>but</w:t>
      </w:r>
      <w:r w:rsidR="001A565E">
        <w:rPr>
          <w:rFonts w:ascii="Times New Roman" w:hAnsi="Times New Roman" w:cs="Times New Roman"/>
          <w:sz w:val="24"/>
          <w:szCs w:val="24"/>
        </w:rPr>
        <w:t xml:space="preserve"> that the appeal i</w:t>
      </w:r>
      <w:r>
        <w:rPr>
          <w:rFonts w:ascii="Times New Roman" w:hAnsi="Times New Roman" w:cs="Times New Roman"/>
          <w:sz w:val="24"/>
          <w:szCs w:val="24"/>
        </w:rPr>
        <w:t>s merely intended to either harass him or buy time for the following reasons:</w:t>
      </w:r>
    </w:p>
    <w:p w:rsidR="002C5C5F" w:rsidRDefault="002C5C5F" w:rsidP="002C5C5F">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fundamentally defective and is likely to be struck off by the superior court;</w:t>
      </w:r>
    </w:p>
    <w:p w:rsidR="002C5C5F" w:rsidRDefault="002C5C5F" w:rsidP="002C5C5F">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grounds of appeal raise no issues at law as no averment is made as to how the court </w:t>
      </w:r>
      <w:r w:rsidRPr="001628E2">
        <w:rPr>
          <w:rFonts w:ascii="Times New Roman" w:hAnsi="Times New Roman" w:cs="Times New Roman"/>
          <w:i/>
          <w:sz w:val="24"/>
          <w:szCs w:val="24"/>
        </w:rPr>
        <w:t>a quo</w:t>
      </w:r>
      <w:r>
        <w:rPr>
          <w:rFonts w:ascii="Times New Roman" w:hAnsi="Times New Roman" w:cs="Times New Roman"/>
          <w:sz w:val="24"/>
          <w:szCs w:val="24"/>
        </w:rPr>
        <w:t xml:space="preserve"> erred at law as respondent avers no rights entitling him to remain in occupation </w:t>
      </w:r>
      <w:r w:rsidR="00165D85">
        <w:rPr>
          <w:rFonts w:ascii="Times New Roman" w:hAnsi="Times New Roman" w:cs="Times New Roman"/>
          <w:sz w:val="24"/>
          <w:szCs w:val="24"/>
        </w:rPr>
        <w:t xml:space="preserve">of the Remainder </w:t>
      </w:r>
      <w:r>
        <w:rPr>
          <w:rFonts w:ascii="Times New Roman" w:hAnsi="Times New Roman" w:cs="Times New Roman"/>
          <w:sz w:val="24"/>
          <w:szCs w:val="24"/>
        </w:rPr>
        <w:t>or why he should continue receiving rentals</w:t>
      </w:r>
      <w:r w:rsidR="00165D85">
        <w:rPr>
          <w:rFonts w:ascii="Times New Roman" w:hAnsi="Times New Roman" w:cs="Times New Roman"/>
          <w:sz w:val="24"/>
          <w:szCs w:val="24"/>
        </w:rPr>
        <w:t xml:space="preserve"> therefrom </w:t>
      </w:r>
      <w:r>
        <w:rPr>
          <w:rFonts w:ascii="Times New Roman" w:hAnsi="Times New Roman" w:cs="Times New Roman"/>
          <w:sz w:val="24"/>
          <w:szCs w:val="24"/>
        </w:rPr>
        <w:t>and should be absolved from making good the same.</w:t>
      </w:r>
    </w:p>
    <w:p w:rsidR="0010006D" w:rsidRDefault="0010006D" w:rsidP="002C5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submits therefore that he stands to suffer</w:t>
      </w:r>
      <w:r w:rsidR="002C5C5F">
        <w:rPr>
          <w:rFonts w:ascii="Times New Roman" w:hAnsi="Times New Roman" w:cs="Times New Roman"/>
          <w:sz w:val="24"/>
          <w:szCs w:val="24"/>
        </w:rPr>
        <w:t xml:space="preserve"> </w:t>
      </w:r>
      <w:r>
        <w:rPr>
          <w:rFonts w:ascii="Times New Roman" w:hAnsi="Times New Roman" w:cs="Times New Roman"/>
          <w:sz w:val="24"/>
          <w:szCs w:val="24"/>
        </w:rPr>
        <w:t>irreparable harm and prejudice if the application for leave to execute is not granted as the respondent will continue to occupy applicant’s property and receiv</w:t>
      </w:r>
      <w:r w:rsidR="001A565E">
        <w:rPr>
          <w:rFonts w:ascii="Times New Roman" w:hAnsi="Times New Roman" w:cs="Times New Roman"/>
          <w:sz w:val="24"/>
          <w:szCs w:val="24"/>
        </w:rPr>
        <w:t>e</w:t>
      </w:r>
      <w:r>
        <w:rPr>
          <w:rFonts w:ascii="Times New Roman" w:hAnsi="Times New Roman" w:cs="Times New Roman"/>
          <w:sz w:val="24"/>
          <w:szCs w:val="24"/>
        </w:rPr>
        <w:t xml:space="preserve"> rentals in circumstances where the appeal is frivolous and vexatious</w:t>
      </w:r>
      <w:r w:rsidR="001A565E">
        <w:rPr>
          <w:rFonts w:ascii="Times New Roman" w:hAnsi="Times New Roman" w:cs="Times New Roman"/>
          <w:sz w:val="24"/>
          <w:szCs w:val="24"/>
        </w:rPr>
        <w:t xml:space="preserve"> and </w:t>
      </w:r>
      <w:r w:rsidR="00C54565">
        <w:rPr>
          <w:rFonts w:ascii="Times New Roman" w:hAnsi="Times New Roman" w:cs="Times New Roman"/>
          <w:sz w:val="24"/>
          <w:szCs w:val="24"/>
        </w:rPr>
        <w:t>hence</w:t>
      </w:r>
      <w:r w:rsidR="001A565E">
        <w:rPr>
          <w:rFonts w:ascii="Times New Roman" w:hAnsi="Times New Roman" w:cs="Times New Roman"/>
          <w:sz w:val="24"/>
          <w:szCs w:val="24"/>
        </w:rPr>
        <w:t xml:space="preserve"> has no</w:t>
      </w:r>
      <w:r w:rsidR="00C54565">
        <w:rPr>
          <w:rFonts w:ascii="Times New Roman" w:hAnsi="Times New Roman" w:cs="Times New Roman"/>
          <w:sz w:val="24"/>
          <w:szCs w:val="24"/>
        </w:rPr>
        <w:t xml:space="preserve"> reasonable</w:t>
      </w:r>
      <w:r w:rsidR="001A565E">
        <w:rPr>
          <w:rFonts w:ascii="Times New Roman" w:hAnsi="Times New Roman" w:cs="Times New Roman"/>
          <w:sz w:val="24"/>
          <w:szCs w:val="24"/>
        </w:rPr>
        <w:t xml:space="preserve"> prospects of success</w:t>
      </w:r>
      <w:r>
        <w:rPr>
          <w:rFonts w:ascii="Times New Roman" w:hAnsi="Times New Roman" w:cs="Times New Roman"/>
          <w:sz w:val="24"/>
          <w:szCs w:val="24"/>
        </w:rPr>
        <w:t>.</w:t>
      </w:r>
    </w:p>
    <w:p w:rsidR="0010006D" w:rsidRDefault="0010006D" w:rsidP="002C5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his part, the respondent submits that</w:t>
      </w:r>
      <w:r w:rsidR="00343148">
        <w:rPr>
          <w:rFonts w:ascii="Times New Roman" w:hAnsi="Times New Roman" w:cs="Times New Roman"/>
          <w:sz w:val="24"/>
          <w:szCs w:val="24"/>
        </w:rPr>
        <w:t xml:space="preserve"> he has good prospect</w:t>
      </w:r>
      <w:r w:rsidR="001A565E">
        <w:rPr>
          <w:rFonts w:ascii="Times New Roman" w:hAnsi="Times New Roman" w:cs="Times New Roman"/>
          <w:sz w:val="24"/>
          <w:szCs w:val="24"/>
        </w:rPr>
        <w:t>s</w:t>
      </w:r>
      <w:r w:rsidR="00343148">
        <w:rPr>
          <w:rFonts w:ascii="Times New Roman" w:hAnsi="Times New Roman" w:cs="Times New Roman"/>
          <w:sz w:val="24"/>
          <w:szCs w:val="24"/>
        </w:rPr>
        <w:t xml:space="preserve"> of success on appeal as the judgment appeal</w:t>
      </w:r>
      <w:r w:rsidR="004E3C91">
        <w:rPr>
          <w:rFonts w:ascii="Times New Roman" w:hAnsi="Times New Roman" w:cs="Times New Roman"/>
          <w:sz w:val="24"/>
          <w:szCs w:val="24"/>
        </w:rPr>
        <w:t>ed</w:t>
      </w:r>
      <w:r w:rsidR="00343148">
        <w:rPr>
          <w:rFonts w:ascii="Times New Roman" w:hAnsi="Times New Roman" w:cs="Times New Roman"/>
          <w:sz w:val="24"/>
          <w:szCs w:val="24"/>
        </w:rPr>
        <w:t xml:space="preserve"> against seeks to reverse previous orders of this court</w:t>
      </w:r>
      <w:r w:rsidR="004E3C91">
        <w:rPr>
          <w:rFonts w:ascii="Times New Roman" w:hAnsi="Times New Roman" w:cs="Times New Roman"/>
          <w:sz w:val="24"/>
          <w:szCs w:val="24"/>
        </w:rPr>
        <w:t xml:space="preserve"> which recognised his title to the property in dispute</w:t>
      </w:r>
      <w:r w:rsidR="00343148">
        <w:rPr>
          <w:rFonts w:ascii="Times New Roman" w:hAnsi="Times New Roman" w:cs="Times New Roman"/>
          <w:sz w:val="24"/>
          <w:szCs w:val="24"/>
        </w:rPr>
        <w:t>. Besides, execution pending appeal should not be lightly granted as that would abrogate his right to appeal.</w:t>
      </w:r>
      <w:r w:rsidR="004E3C91">
        <w:rPr>
          <w:rFonts w:ascii="Times New Roman" w:hAnsi="Times New Roman" w:cs="Times New Roman"/>
          <w:sz w:val="24"/>
          <w:szCs w:val="24"/>
        </w:rPr>
        <w:t xml:space="preserve"> </w:t>
      </w:r>
    </w:p>
    <w:p w:rsidR="004E3C91" w:rsidRDefault="004E3C91" w:rsidP="002C5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respondent further submits, applicant has not demonstrated any special circumstances necessitating execution pending appeal. Therefore the balance of convenience </w:t>
      </w:r>
      <w:r>
        <w:rPr>
          <w:rFonts w:ascii="Times New Roman" w:hAnsi="Times New Roman" w:cs="Times New Roman"/>
          <w:sz w:val="24"/>
          <w:szCs w:val="24"/>
        </w:rPr>
        <w:lastRenderedPageBreak/>
        <w:t xml:space="preserve">favours a freezing of the parties’ positions until the litigation has run its course, particularly since the superior court might come to a different conclusion with regard to the issue of </w:t>
      </w:r>
      <w:r w:rsidRPr="004E3C91">
        <w:rPr>
          <w:rFonts w:ascii="Times New Roman" w:hAnsi="Times New Roman" w:cs="Times New Roman"/>
          <w:i/>
          <w:sz w:val="24"/>
          <w:szCs w:val="24"/>
        </w:rPr>
        <w:t>res judicata</w:t>
      </w:r>
      <w:r>
        <w:rPr>
          <w:rFonts w:ascii="Times New Roman" w:hAnsi="Times New Roman" w:cs="Times New Roman"/>
          <w:sz w:val="24"/>
          <w:szCs w:val="24"/>
        </w:rPr>
        <w:t xml:space="preserve"> and compensation.</w:t>
      </w:r>
    </w:p>
    <w:p w:rsidR="00853D3E" w:rsidRDefault="004E3C91" w:rsidP="002C5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w:t>
      </w:r>
      <w:r w:rsidR="00853D3E">
        <w:rPr>
          <w:rFonts w:ascii="Times New Roman" w:hAnsi="Times New Roman" w:cs="Times New Roman"/>
          <w:sz w:val="24"/>
          <w:szCs w:val="24"/>
        </w:rPr>
        <w:t>seems to suggest in his further submi</w:t>
      </w:r>
      <w:r>
        <w:rPr>
          <w:rFonts w:ascii="Times New Roman" w:hAnsi="Times New Roman" w:cs="Times New Roman"/>
          <w:sz w:val="24"/>
          <w:szCs w:val="24"/>
        </w:rPr>
        <w:t>s</w:t>
      </w:r>
      <w:r w:rsidR="00853D3E">
        <w:rPr>
          <w:rFonts w:ascii="Times New Roman" w:hAnsi="Times New Roman" w:cs="Times New Roman"/>
          <w:sz w:val="24"/>
          <w:szCs w:val="24"/>
        </w:rPr>
        <w:t>sions</w:t>
      </w:r>
      <w:r>
        <w:rPr>
          <w:rFonts w:ascii="Times New Roman" w:hAnsi="Times New Roman" w:cs="Times New Roman"/>
          <w:sz w:val="24"/>
          <w:szCs w:val="24"/>
        </w:rPr>
        <w:t xml:space="preserve"> that because the applicant did not </w:t>
      </w:r>
      <w:r w:rsidR="00853D3E">
        <w:rPr>
          <w:rFonts w:ascii="Times New Roman" w:hAnsi="Times New Roman" w:cs="Times New Roman"/>
          <w:sz w:val="24"/>
          <w:szCs w:val="24"/>
        </w:rPr>
        <w:t xml:space="preserve">mount a </w:t>
      </w:r>
      <w:r>
        <w:rPr>
          <w:rFonts w:ascii="Times New Roman" w:hAnsi="Times New Roman" w:cs="Times New Roman"/>
          <w:sz w:val="24"/>
          <w:szCs w:val="24"/>
        </w:rPr>
        <w:t xml:space="preserve">vigorous defence to his ejectment from stand 694, </w:t>
      </w:r>
      <w:r w:rsidR="00853D3E">
        <w:rPr>
          <w:rFonts w:ascii="Times New Roman" w:hAnsi="Times New Roman" w:cs="Times New Roman"/>
          <w:sz w:val="24"/>
          <w:szCs w:val="24"/>
        </w:rPr>
        <w:t xml:space="preserve">and did not immediately </w:t>
      </w:r>
      <w:r w:rsidR="00C54565">
        <w:rPr>
          <w:rFonts w:ascii="Times New Roman" w:hAnsi="Times New Roman" w:cs="Times New Roman"/>
          <w:sz w:val="24"/>
          <w:szCs w:val="24"/>
        </w:rPr>
        <w:t>institute</w:t>
      </w:r>
      <w:r w:rsidR="00853D3E">
        <w:rPr>
          <w:rFonts w:ascii="Times New Roman" w:hAnsi="Times New Roman" w:cs="Times New Roman"/>
          <w:sz w:val="24"/>
          <w:szCs w:val="24"/>
        </w:rPr>
        <w:t xml:space="preserve"> proceedings challenging such ejectment, that gave respondent rights to the Remainder. </w:t>
      </w:r>
    </w:p>
    <w:p w:rsidR="00853D3E" w:rsidRPr="00493C04" w:rsidRDefault="00853D3E" w:rsidP="002C5C5F">
      <w:pPr>
        <w:spacing w:after="0" w:line="360" w:lineRule="auto"/>
        <w:ind w:firstLine="720"/>
        <w:jc w:val="both"/>
        <w:rPr>
          <w:rFonts w:ascii="Times New Roman" w:hAnsi="Times New Roman" w:cs="Times New Roman"/>
          <w:sz w:val="24"/>
          <w:szCs w:val="24"/>
          <w:u w:val="single"/>
        </w:rPr>
      </w:pPr>
      <w:r w:rsidRPr="00493C04">
        <w:rPr>
          <w:rFonts w:ascii="Times New Roman" w:hAnsi="Times New Roman" w:cs="Times New Roman"/>
          <w:sz w:val="24"/>
          <w:szCs w:val="24"/>
          <w:u w:val="single"/>
        </w:rPr>
        <w:t>The law</w:t>
      </w:r>
    </w:p>
    <w:p w:rsidR="006751AC" w:rsidRDefault="002E0335" w:rsidP="00675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right to appeal is fundamental to justice and is not lightly interfered with</w:t>
      </w:r>
      <w:r w:rsidR="001A565E">
        <w:rPr>
          <w:rFonts w:ascii="Times New Roman" w:hAnsi="Times New Roman" w:cs="Times New Roman"/>
          <w:sz w:val="24"/>
          <w:szCs w:val="24"/>
        </w:rPr>
        <w:t xml:space="preserve"> as a party has the right to test the correctness of a decision of a lower court</w:t>
      </w:r>
      <w:r w:rsidR="00CD773C">
        <w:rPr>
          <w:rStyle w:val="FootnoteReference"/>
          <w:rFonts w:ascii="Times New Roman" w:hAnsi="Times New Roman"/>
          <w:sz w:val="24"/>
          <w:szCs w:val="24"/>
        </w:rPr>
        <w:footnoteReference w:id="1"/>
      </w:r>
      <w:r>
        <w:rPr>
          <w:rFonts w:ascii="Times New Roman" w:hAnsi="Times New Roman" w:cs="Times New Roman"/>
          <w:sz w:val="24"/>
          <w:szCs w:val="24"/>
        </w:rPr>
        <w:t xml:space="preserve">. </w:t>
      </w:r>
      <w:r w:rsidR="006751AC">
        <w:rPr>
          <w:rFonts w:ascii="Times New Roman" w:hAnsi="Times New Roman" w:cs="Times New Roman"/>
          <w:sz w:val="24"/>
          <w:szCs w:val="24"/>
        </w:rPr>
        <w:t xml:space="preserve">Therefore, </w:t>
      </w:r>
      <w:r w:rsidR="00DB1E1F">
        <w:rPr>
          <w:rFonts w:ascii="Times New Roman" w:hAnsi="Times New Roman" w:cs="Times New Roman"/>
          <w:sz w:val="24"/>
          <w:szCs w:val="24"/>
        </w:rPr>
        <w:t>I do agree that the right to appeal is absolute</w:t>
      </w:r>
      <w:r w:rsidR="006751AC">
        <w:rPr>
          <w:rFonts w:ascii="Times New Roman" w:hAnsi="Times New Roman" w:cs="Times New Roman"/>
          <w:sz w:val="24"/>
          <w:szCs w:val="24"/>
        </w:rPr>
        <w:t xml:space="preserve">. </w:t>
      </w:r>
    </w:p>
    <w:p w:rsidR="00F44A1D" w:rsidRDefault="006751AC" w:rsidP="006751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DB1E1F">
        <w:rPr>
          <w:rFonts w:ascii="Times New Roman" w:hAnsi="Times New Roman" w:cs="Times New Roman"/>
          <w:sz w:val="24"/>
          <w:szCs w:val="24"/>
        </w:rPr>
        <w:t>,</w:t>
      </w:r>
      <w:r>
        <w:rPr>
          <w:rFonts w:ascii="Times New Roman" w:hAnsi="Times New Roman" w:cs="Times New Roman"/>
          <w:sz w:val="24"/>
          <w:szCs w:val="24"/>
        </w:rPr>
        <w:t xml:space="preserve"> the consequence of noting an appeal is not </w:t>
      </w:r>
      <w:r w:rsidR="00F44A1D">
        <w:rPr>
          <w:rFonts w:ascii="Times New Roman" w:hAnsi="Times New Roman" w:cs="Times New Roman"/>
          <w:sz w:val="24"/>
          <w:szCs w:val="24"/>
        </w:rPr>
        <w:t>an absolute</w:t>
      </w:r>
      <w:r>
        <w:rPr>
          <w:rFonts w:ascii="Times New Roman" w:hAnsi="Times New Roman" w:cs="Times New Roman"/>
          <w:sz w:val="24"/>
          <w:szCs w:val="24"/>
        </w:rPr>
        <w:t xml:space="preserve"> right to stay of execution pending appeal, </w:t>
      </w:r>
      <w:r w:rsidR="00DB1E1F">
        <w:rPr>
          <w:rFonts w:ascii="Times New Roman" w:hAnsi="Times New Roman" w:cs="Times New Roman"/>
          <w:sz w:val="24"/>
          <w:szCs w:val="24"/>
        </w:rPr>
        <w:t xml:space="preserve">else </w:t>
      </w:r>
      <w:r>
        <w:rPr>
          <w:rFonts w:ascii="Times New Roman" w:hAnsi="Times New Roman" w:cs="Times New Roman"/>
          <w:sz w:val="24"/>
          <w:szCs w:val="24"/>
        </w:rPr>
        <w:t>the law would not grant a litigant the right to apply for</w:t>
      </w:r>
      <w:r w:rsidR="00F44A1D">
        <w:rPr>
          <w:rFonts w:ascii="Times New Roman" w:hAnsi="Times New Roman" w:cs="Times New Roman"/>
          <w:sz w:val="24"/>
          <w:szCs w:val="24"/>
        </w:rPr>
        <w:t xml:space="preserve"> leave to</w:t>
      </w:r>
      <w:r>
        <w:rPr>
          <w:rFonts w:ascii="Times New Roman" w:hAnsi="Times New Roman" w:cs="Times New Roman"/>
          <w:sz w:val="24"/>
          <w:szCs w:val="24"/>
        </w:rPr>
        <w:t xml:space="preserve"> execut</w:t>
      </w:r>
      <w:r w:rsidR="00F44A1D">
        <w:rPr>
          <w:rFonts w:ascii="Times New Roman" w:hAnsi="Times New Roman" w:cs="Times New Roman"/>
          <w:sz w:val="24"/>
          <w:szCs w:val="24"/>
        </w:rPr>
        <w:t xml:space="preserve">e </w:t>
      </w:r>
      <w:r>
        <w:rPr>
          <w:rFonts w:ascii="Times New Roman" w:hAnsi="Times New Roman" w:cs="Times New Roman"/>
          <w:sz w:val="24"/>
          <w:szCs w:val="24"/>
        </w:rPr>
        <w:t>pending appeal</w:t>
      </w:r>
      <w:r w:rsidR="00F44A1D">
        <w:rPr>
          <w:rFonts w:ascii="Times New Roman" w:hAnsi="Times New Roman" w:cs="Times New Roman"/>
          <w:sz w:val="24"/>
          <w:szCs w:val="24"/>
        </w:rPr>
        <w:t>. Further</w:t>
      </w:r>
      <w:r>
        <w:rPr>
          <w:rFonts w:ascii="Times New Roman" w:hAnsi="Times New Roman" w:cs="Times New Roman"/>
          <w:sz w:val="24"/>
          <w:szCs w:val="24"/>
        </w:rPr>
        <w:t>,</w:t>
      </w:r>
      <w:r w:rsidR="00F44A1D">
        <w:rPr>
          <w:rFonts w:ascii="Times New Roman" w:hAnsi="Times New Roman" w:cs="Times New Roman"/>
          <w:sz w:val="24"/>
          <w:szCs w:val="24"/>
        </w:rPr>
        <w:t xml:space="preserve"> the law would not</w:t>
      </w:r>
      <w:r w:rsidR="00DB1E1F">
        <w:rPr>
          <w:rFonts w:ascii="Times New Roman" w:hAnsi="Times New Roman" w:cs="Times New Roman"/>
          <w:sz w:val="24"/>
          <w:szCs w:val="24"/>
        </w:rPr>
        <w:t xml:space="preserve"> </w:t>
      </w:r>
      <w:r w:rsidR="00760252">
        <w:rPr>
          <w:rFonts w:ascii="Times New Roman" w:hAnsi="Times New Roman" w:cs="Times New Roman"/>
          <w:sz w:val="24"/>
          <w:szCs w:val="24"/>
        </w:rPr>
        <w:t xml:space="preserve">grant the </w:t>
      </w:r>
      <w:r w:rsidR="002E0335">
        <w:rPr>
          <w:rFonts w:ascii="Times New Roman" w:hAnsi="Times New Roman" w:cs="Times New Roman"/>
          <w:sz w:val="24"/>
          <w:szCs w:val="24"/>
        </w:rPr>
        <w:t xml:space="preserve">courts </w:t>
      </w:r>
      <w:r w:rsidR="00760252">
        <w:rPr>
          <w:rFonts w:ascii="Times New Roman" w:hAnsi="Times New Roman" w:cs="Times New Roman"/>
          <w:sz w:val="24"/>
          <w:szCs w:val="24"/>
        </w:rPr>
        <w:t>the</w:t>
      </w:r>
      <w:r w:rsidR="002E0335">
        <w:rPr>
          <w:rFonts w:ascii="Times New Roman" w:hAnsi="Times New Roman" w:cs="Times New Roman"/>
          <w:sz w:val="24"/>
          <w:szCs w:val="24"/>
        </w:rPr>
        <w:t xml:space="preserve"> discretion</w:t>
      </w:r>
      <w:r w:rsidR="00760252">
        <w:rPr>
          <w:rFonts w:ascii="Times New Roman" w:hAnsi="Times New Roman" w:cs="Times New Roman"/>
          <w:sz w:val="24"/>
          <w:szCs w:val="24"/>
        </w:rPr>
        <w:t xml:space="preserve"> to allow execution pending appeal where an appellant has no </w:t>
      </w:r>
      <w:r w:rsidR="00760252" w:rsidRPr="00590FB8">
        <w:rPr>
          <w:rFonts w:ascii="Times New Roman" w:hAnsi="Times New Roman" w:cs="Times New Roman"/>
          <w:i/>
          <w:sz w:val="24"/>
          <w:szCs w:val="24"/>
        </w:rPr>
        <w:t>bona fide</w:t>
      </w:r>
      <w:r w:rsidR="00760252">
        <w:rPr>
          <w:rFonts w:ascii="Times New Roman" w:hAnsi="Times New Roman" w:cs="Times New Roman"/>
          <w:sz w:val="24"/>
          <w:szCs w:val="24"/>
        </w:rPr>
        <w:t xml:space="preserve"> intention to test the correctness of the decision of the lower court, but is driven by a desire to frustrate a successful party or to buy time.</w:t>
      </w:r>
      <w:r>
        <w:rPr>
          <w:rFonts w:ascii="Times New Roman" w:hAnsi="Times New Roman" w:cs="Times New Roman"/>
          <w:sz w:val="24"/>
          <w:szCs w:val="24"/>
        </w:rPr>
        <w:t xml:space="preserve"> Therefore the right to </w:t>
      </w:r>
      <w:r w:rsidR="00511673">
        <w:rPr>
          <w:rFonts w:ascii="Times New Roman" w:hAnsi="Times New Roman" w:cs="Times New Roman"/>
          <w:sz w:val="24"/>
          <w:szCs w:val="24"/>
        </w:rPr>
        <w:t xml:space="preserve">stay of execution pending </w:t>
      </w:r>
      <w:r>
        <w:rPr>
          <w:rFonts w:ascii="Times New Roman" w:hAnsi="Times New Roman" w:cs="Times New Roman"/>
          <w:sz w:val="24"/>
          <w:szCs w:val="24"/>
        </w:rPr>
        <w:t xml:space="preserve">appeal is limited to the extent that the courts have the </w:t>
      </w:r>
      <w:r w:rsidR="00F44A1D">
        <w:rPr>
          <w:rFonts w:ascii="Times New Roman" w:hAnsi="Times New Roman" w:cs="Times New Roman"/>
          <w:sz w:val="24"/>
          <w:szCs w:val="24"/>
        </w:rPr>
        <w:t xml:space="preserve">ultimate and wide </w:t>
      </w:r>
      <w:r>
        <w:rPr>
          <w:rFonts w:ascii="Times New Roman" w:hAnsi="Times New Roman" w:cs="Times New Roman"/>
          <w:sz w:val="24"/>
          <w:szCs w:val="24"/>
        </w:rPr>
        <w:t xml:space="preserve">discretion </w:t>
      </w:r>
      <w:r w:rsidR="00F44A1D">
        <w:rPr>
          <w:rFonts w:ascii="Times New Roman" w:hAnsi="Times New Roman" w:cs="Times New Roman"/>
          <w:sz w:val="24"/>
          <w:szCs w:val="24"/>
        </w:rPr>
        <w:t>to grant leave to execute pending</w:t>
      </w:r>
      <w:r w:rsidR="00511673">
        <w:rPr>
          <w:rFonts w:ascii="Times New Roman" w:hAnsi="Times New Roman" w:cs="Times New Roman"/>
          <w:sz w:val="24"/>
          <w:szCs w:val="24"/>
        </w:rPr>
        <w:t xml:space="preserve"> such</w:t>
      </w:r>
      <w:r w:rsidR="00F44A1D">
        <w:rPr>
          <w:rFonts w:ascii="Times New Roman" w:hAnsi="Times New Roman" w:cs="Times New Roman"/>
          <w:sz w:val="24"/>
          <w:szCs w:val="24"/>
        </w:rPr>
        <w:t xml:space="preserve"> appeal</w:t>
      </w:r>
      <w:r w:rsidR="00F44A1D">
        <w:rPr>
          <w:rStyle w:val="FootnoteReference"/>
          <w:rFonts w:ascii="Times New Roman" w:hAnsi="Times New Roman"/>
          <w:sz w:val="24"/>
          <w:szCs w:val="24"/>
        </w:rPr>
        <w:footnoteReference w:id="2"/>
      </w:r>
      <w:r w:rsidR="00F44A1D">
        <w:rPr>
          <w:rFonts w:ascii="Times New Roman" w:hAnsi="Times New Roman" w:cs="Times New Roman"/>
          <w:sz w:val="24"/>
          <w:szCs w:val="24"/>
        </w:rPr>
        <w:t>.</w:t>
      </w:r>
    </w:p>
    <w:p w:rsidR="001A565E" w:rsidRDefault="00511673" w:rsidP="002C5C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court’s discretion to interfere with stay of execution pending appeal can only be exercised within the confines of four fundamental common law principles, the sum total of which is that it is just and equitable to allow execution pending appeal.</w:t>
      </w:r>
      <w:r w:rsidR="00F12F84">
        <w:rPr>
          <w:rStyle w:val="FootnoteReference"/>
          <w:rFonts w:ascii="Times New Roman" w:hAnsi="Times New Roman"/>
          <w:sz w:val="24"/>
          <w:szCs w:val="24"/>
        </w:rPr>
        <w:footnoteReference w:id="3"/>
      </w:r>
      <w:r>
        <w:rPr>
          <w:rFonts w:ascii="Times New Roman" w:hAnsi="Times New Roman" w:cs="Times New Roman"/>
          <w:sz w:val="24"/>
          <w:szCs w:val="24"/>
        </w:rPr>
        <w:t xml:space="preserve"> In t</w:t>
      </w:r>
      <w:r w:rsidR="00760252">
        <w:rPr>
          <w:rFonts w:ascii="Times New Roman" w:hAnsi="Times New Roman" w:cs="Times New Roman"/>
          <w:sz w:val="24"/>
          <w:szCs w:val="24"/>
        </w:rPr>
        <w:t>his regard, jurisprudence</w:t>
      </w:r>
      <w:r w:rsidR="00CD773C">
        <w:rPr>
          <w:rFonts w:ascii="Times New Roman" w:hAnsi="Times New Roman" w:cs="Times New Roman"/>
          <w:sz w:val="24"/>
          <w:szCs w:val="24"/>
        </w:rPr>
        <w:t>, in Zimbabwe,</w:t>
      </w:r>
      <w:r w:rsidR="00760252">
        <w:rPr>
          <w:rFonts w:ascii="Times New Roman" w:hAnsi="Times New Roman" w:cs="Times New Roman"/>
          <w:sz w:val="24"/>
          <w:szCs w:val="24"/>
        </w:rPr>
        <w:t xml:space="preserve"> has identified </w:t>
      </w:r>
      <w:r>
        <w:rPr>
          <w:rFonts w:ascii="Times New Roman" w:hAnsi="Times New Roman" w:cs="Times New Roman"/>
          <w:sz w:val="24"/>
          <w:szCs w:val="24"/>
        </w:rPr>
        <w:t xml:space="preserve">these principles, which </w:t>
      </w:r>
      <w:r w:rsidR="00590FB8">
        <w:rPr>
          <w:rFonts w:ascii="Times New Roman" w:hAnsi="Times New Roman" w:cs="Times New Roman"/>
          <w:sz w:val="24"/>
          <w:szCs w:val="24"/>
        </w:rPr>
        <w:t>I list in no particular order</w:t>
      </w:r>
      <w:r w:rsidR="00CD773C">
        <w:rPr>
          <w:rFonts w:ascii="Times New Roman" w:hAnsi="Times New Roman" w:cs="Times New Roman"/>
          <w:sz w:val="24"/>
          <w:szCs w:val="24"/>
        </w:rPr>
        <w:t xml:space="preserve"> as follows</w:t>
      </w:r>
      <w:r w:rsidR="00760252">
        <w:rPr>
          <w:rFonts w:ascii="Times New Roman" w:hAnsi="Times New Roman" w:cs="Times New Roman"/>
          <w:sz w:val="24"/>
          <w:szCs w:val="24"/>
        </w:rPr>
        <w:t>:</w:t>
      </w:r>
    </w:p>
    <w:p w:rsidR="00760252" w:rsidRDefault="00590FB8" w:rsidP="00760252">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prospects of success on appeal, with special emphasis on whether or not the appeal is frivolous or vexatious or has been noted with no </w:t>
      </w:r>
      <w:r w:rsidRPr="001628E2">
        <w:rPr>
          <w:rFonts w:ascii="Times New Roman" w:hAnsi="Times New Roman" w:cs="Times New Roman"/>
          <w:i/>
          <w:sz w:val="24"/>
          <w:szCs w:val="24"/>
        </w:rPr>
        <w:t>bona fide</w:t>
      </w:r>
      <w:r>
        <w:rPr>
          <w:rFonts w:ascii="Times New Roman" w:hAnsi="Times New Roman" w:cs="Times New Roman"/>
          <w:sz w:val="24"/>
          <w:szCs w:val="24"/>
        </w:rPr>
        <w:t xml:space="preserve"> intention to reverse the judgment but only to buy time or harass the successful party.</w:t>
      </w:r>
    </w:p>
    <w:p w:rsidR="00590FB8" w:rsidRDefault="00590FB8" w:rsidP="00760252">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potentiality of irreparable harm or prejudice to the appellant if leave to execute is granted.</w:t>
      </w:r>
    </w:p>
    <w:p w:rsidR="00590FB8" w:rsidRDefault="00590FB8" w:rsidP="00760252">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potentiality of irreparable harm to the respondent if leave to execute is refused; and</w:t>
      </w:r>
    </w:p>
    <w:p w:rsidR="00590FB8" w:rsidRPr="00760252" w:rsidRDefault="00590FB8" w:rsidP="00760252">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balance of hardship or convenience as the case may be.</w:t>
      </w:r>
      <w:r>
        <w:rPr>
          <w:rStyle w:val="FootnoteReference"/>
          <w:rFonts w:ascii="Times New Roman" w:hAnsi="Times New Roman"/>
          <w:sz w:val="24"/>
          <w:szCs w:val="24"/>
        </w:rPr>
        <w:footnoteReference w:id="4"/>
      </w:r>
    </w:p>
    <w:p w:rsidR="00493C04" w:rsidRDefault="00493C04" w:rsidP="00493C04">
      <w:pPr>
        <w:spacing w:after="0" w:line="240" w:lineRule="auto"/>
        <w:ind w:firstLine="720"/>
        <w:jc w:val="both"/>
        <w:rPr>
          <w:rFonts w:ascii="Times New Roman" w:hAnsi="Times New Roman" w:cs="Times New Roman"/>
          <w:sz w:val="24"/>
          <w:szCs w:val="24"/>
        </w:rPr>
      </w:pPr>
    </w:p>
    <w:p w:rsidR="00F12F84" w:rsidRDefault="00F12F8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in Zimbabwe does not require for “special circumstances” to be established for an application for leave to execute pending appeal to be instituted or granted, outside the principles enunciated above. What the law requires is that a specific application has to be made seeking such leave. Some judgments have termed this a “special application”, but that is as far as the law has gone.</w:t>
      </w:r>
      <w:r>
        <w:rPr>
          <w:rStyle w:val="FootnoteReference"/>
          <w:rFonts w:ascii="Times New Roman" w:hAnsi="Times New Roman"/>
          <w:sz w:val="24"/>
          <w:szCs w:val="24"/>
        </w:rPr>
        <w:footnoteReference w:id="5"/>
      </w:r>
    </w:p>
    <w:p w:rsidR="00B47A9D" w:rsidRDefault="00B47A9D" w:rsidP="001F7BE4">
      <w:pPr>
        <w:spacing w:after="0" w:line="360" w:lineRule="auto"/>
        <w:ind w:firstLine="720"/>
        <w:jc w:val="both"/>
        <w:rPr>
          <w:rFonts w:ascii="Times New Roman" w:hAnsi="Times New Roman" w:cs="Times New Roman"/>
          <w:sz w:val="24"/>
          <w:szCs w:val="24"/>
        </w:rPr>
      </w:pPr>
      <w:r w:rsidRPr="00C72F33">
        <w:rPr>
          <w:rFonts w:ascii="Times New Roman" w:hAnsi="Times New Roman" w:cs="Times New Roman"/>
          <w:sz w:val="24"/>
          <w:szCs w:val="24"/>
        </w:rPr>
        <w:t xml:space="preserve">Finally, while the law is clear that a notice of appeal must be directed at the order of the court </w:t>
      </w:r>
      <w:r w:rsidRPr="001628E2">
        <w:rPr>
          <w:rFonts w:ascii="Times New Roman" w:hAnsi="Times New Roman" w:cs="Times New Roman"/>
          <w:i/>
          <w:sz w:val="24"/>
          <w:szCs w:val="24"/>
        </w:rPr>
        <w:t>a quo</w:t>
      </w:r>
      <w:r w:rsidRPr="00C72F33">
        <w:rPr>
          <w:rFonts w:ascii="Times New Roman" w:hAnsi="Times New Roman" w:cs="Times New Roman"/>
          <w:sz w:val="24"/>
          <w:szCs w:val="24"/>
        </w:rPr>
        <w:t xml:space="preserve"> and not the reasons thereof</w:t>
      </w:r>
      <w:r w:rsidRPr="00C72F33">
        <w:rPr>
          <w:rStyle w:val="FootnoteReference"/>
          <w:rFonts w:ascii="Times New Roman" w:hAnsi="Times New Roman"/>
          <w:sz w:val="24"/>
          <w:szCs w:val="24"/>
        </w:rPr>
        <w:footnoteReference w:id="6"/>
      </w:r>
      <w:r w:rsidRPr="00C72F33">
        <w:rPr>
          <w:rFonts w:ascii="Times New Roman" w:hAnsi="Times New Roman" w:cs="Times New Roman"/>
          <w:sz w:val="24"/>
          <w:szCs w:val="24"/>
        </w:rPr>
        <w:t xml:space="preserve"> , it seems logical to me that the substantive legal grounds for attacking such order must be made. Else, how does a court requested to grant leave to exec</w:t>
      </w:r>
      <w:r>
        <w:rPr>
          <w:rFonts w:ascii="Times New Roman" w:hAnsi="Times New Roman" w:cs="Times New Roman"/>
          <w:sz w:val="24"/>
          <w:szCs w:val="24"/>
        </w:rPr>
        <w:t xml:space="preserve">ute pending appeal, or even the appellate court itself, assess the </w:t>
      </w:r>
      <w:r w:rsidRPr="00B47A9D">
        <w:rPr>
          <w:rFonts w:ascii="Times New Roman" w:hAnsi="Times New Roman" w:cs="Times New Roman"/>
          <w:i/>
          <w:sz w:val="24"/>
          <w:szCs w:val="24"/>
        </w:rPr>
        <w:t>bona fides</w:t>
      </w:r>
      <w:r>
        <w:rPr>
          <w:rFonts w:ascii="Times New Roman" w:hAnsi="Times New Roman" w:cs="Times New Roman"/>
          <w:sz w:val="24"/>
          <w:szCs w:val="24"/>
        </w:rPr>
        <w:t xml:space="preserve"> of the appeal.</w:t>
      </w:r>
    </w:p>
    <w:p w:rsidR="00C72F33" w:rsidRPr="00F12F84" w:rsidRDefault="00C72F3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w:t>
      </w:r>
      <w:r w:rsidRPr="00C72F33">
        <w:rPr>
          <w:rFonts w:ascii="Times New Roman" w:hAnsi="Times New Roman" w:cs="Times New Roman"/>
          <w:i/>
          <w:sz w:val="24"/>
          <w:szCs w:val="24"/>
        </w:rPr>
        <w:t>Chidyausiku  Nyakabambo</w:t>
      </w:r>
      <w:r>
        <w:rPr>
          <w:rFonts w:ascii="Times New Roman" w:hAnsi="Times New Roman" w:cs="Times New Roman"/>
          <w:sz w:val="24"/>
          <w:szCs w:val="24"/>
        </w:rPr>
        <w:t xml:space="preserve"> (supra), which the respondent seeks to rely on, must be read within its own context. Therein, the notice and grounds of appeal had been made against an order rather than a fully reasoned judgment.</w:t>
      </w:r>
    </w:p>
    <w:p w:rsidR="00F6679B" w:rsidRPr="00493C04" w:rsidRDefault="00F6679B" w:rsidP="001F7BE4">
      <w:pPr>
        <w:spacing w:after="0" w:line="360" w:lineRule="auto"/>
        <w:ind w:firstLine="720"/>
        <w:jc w:val="both"/>
        <w:rPr>
          <w:rFonts w:ascii="Times New Roman" w:hAnsi="Times New Roman" w:cs="Times New Roman"/>
          <w:sz w:val="24"/>
          <w:szCs w:val="24"/>
          <w:u w:val="single"/>
        </w:rPr>
      </w:pPr>
      <w:r w:rsidRPr="00493C04">
        <w:rPr>
          <w:rFonts w:ascii="Times New Roman" w:hAnsi="Times New Roman" w:cs="Times New Roman"/>
          <w:sz w:val="24"/>
          <w:szCs w:val="24"/>
          <w:u w:val="single"/>
        </w:rPr>
        <w:t>Analysis</w:t>
      </w:r>
    </w:p>
    <w:p w:rsidR="00C06F22" w:rsidRDefault="002E0335" w:rsidP="001F7BE4">
      <w:pPr>
        <w:spacing w:after="0" w:line="360" w:lineRule="auto"/>
        <w:ind w:firstLine="720"/>
        <w:jc w:val="both"/>
        <w:rPr>
          <w:rFonts w:ascii="Times New Roman" w:hAnsi="Times New Roman" w:cs="Times New Roman"/>
          <w:sz w:val="24"/>
          <w:szCs w:val="24"/>
        </w:rPr>
      </w:pPr>
      <w:r w:rsidRPr="002E0335">
        <w:rPr>
          <w:rFonts w:ascii="Times New Roman" w:hAnsi="Times New Roman" w:cs="Times New Roman"/>
          <w:sz w:val="24"/>
          <w:szCs w:val="24"/>
        </w:rPr>
        <w:t>It is my considered view that the appeal in this case has</w:t>
      </w:r>
      <w:r w:rsidR="00C06F22">
        <w:rPr>
          <w:rFonts w:ascii="Times New Roman" w:hAnsi="Times New Roman" w:cs="Times New Roman"/>
          <w:sz w:val="24"/>
          <w:szCs w:val="24"/>
        </w:rPr>
        <w:t xml:space="preserve"> no </w:t>
      </w:r>
      <w:r w:rsidR="00C54565">
        <w:rPr>
          <w:rFonts w:ascii="Times New Roman" w:hAnsi="Times New Roman" w:cs="Times New Roman"/>
          <w:sz w:val="24"/>
          <w:szCs w:val="24"/>
        </w:rPr>
        <w:t xml:space="preserve">reasonable </w:t>
      </w:r>
      <w:r w:rsidR="00C06F22">
        <w:rPr>
          <w:rFonts w:ascii="Times New Roman" w:hAnsi="Times New Roman" w:cs="Times New Roman"/>
          <w:sz w:val="24"/>
          <w:szCs w:val="24"/>
        </w:rPr>
        <w:t>prospects of success at all.</w:t>
      </w:r>
      <w:r w:rsidRPr="002E0335">
        <w:rPr>
          <w:rFonts w:ascii="Times New Roman" w:hAnsi="Times New Roman" w:cs="Times New Roman"/>
          <w:sz w:val="24"/>
          <w:szCs w:val="24"/>
        </w:rPr>
        <w:t xml:space="preserve"> Th</w:t>
      </w:r>
      <w:r>
        <w:rPr>
          <w:rFonts w:ascii="Times New Roman" w:hAnsi="Times New Roman" w:cs="Times New Roman"/>
          <w:sz w:val="24"/>
          <w:szCs w:val="24"/>
        </w:rPr>
        <w:t xml:space="preserve">is is because, firstly, </w:t>
      </w:r>
      <w:r w:rsidR="00C06F22">
        <w:rPr>
          <w:rFonts w:ascii="Times New Roman" w:hAnsi="Times New Roman" w:cs="Times New Roman"/>
          <w:sz w:val="24"/>
          <w:szCs w:val="24"/>
        </w:rPr>
        <w:t xml:space="preserve">the notice of appeal only attacks two issues in the judgment of the court </w:t>
      </w:r>
      <w:r w:rsidR="00C06F22" w:rsidRPr="001628E2">
        <w:rPr>
          <w:rFonts w:ascii="Times New Roman" w:hAnsi="Times New Roman" w:cs="Times New Roman"/>
          <w:i/>
          <w:sz w:val="24"/>
          <w:szCs w:val="24"/>
        </w:rPr>
        <w:t>a quo</w:t>
      </w:r>
      <w:r w:rsidR="00C06F22">
        <w:rPr>
          <w:rFonts w:ascii="Times New Roman" w:hAnsi="Times New Roman" w:cs="Times New Roman"/>
          <w:sz w:val="24"/>
          <w:szCs w:val="24"/>
        </w:rPr>
        <w:t>: that it erred in granting an order of ejectment and that it erred in granting an order for payment of rental at the rate of $2 380 per month from July 2013 to the date respondent gives vacant possession.</w:t>
      </w:r>
    </w:p>
    <w:p w:rsidR="00C54565" w:rsidRDefault="00C06F2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first place the court a quo did not give an order of ejectment as that was not the relief sought by applicant. Applicant sought and was granted an order restoring his entitlement to possession of the Remainder. In any event, even if an order of ejectment had been given, the grounds of appeal do not specify why such order is wrong at law.</w:t>
      </w:r>
    </w:p>
    <w:p w:rsidR="00C06F22" w:rsidRDefault="00C06F2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second place, </w:t>
      </w:r>
      <w:r w:rsidR="00F33735">
        <w:rPr>
          <w:rFonts w:ascii="Times New Roman" w:hAnsi="Times New Roman" w:cs="Times New Roman"/>
          <w:sz w:val="24"/>
          <w:szCs w:val="24"/>
        </w:rPr>
        <w:t>the notice of appeal attacks the period and amount of rentals that respondent must pay without specifying why, in substance, that order is wrong at law. It seems to me therefore that the grounds of appeal raise no issues, cementing the notion that the appeal has been filed merely to prevent applicant from using his own property.</w:t>
      </w:r>
    </w:p>
    <w:p w:rsidR="002F3EDF" w:rsidRDefault="00C06F2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w:t>
      </w:r>
      <w:r w:rsidR="002E0335">
        <w:rPr>
          <w:rFonts w:ascii="Times New Roman" w:hAnsi="Times New Roman" w:cs="Times New Roman"/>
          <w:sz w:val="24"/>
          <w:szCs w:val="24"/>
        </w:rPr>
        <w:t>the respondent has introduced in his appeal, matters which were not before the court a quo. For instance, Annex</w:t>
      </w:r>
      <w:r w:rsidR="001628E2">
        <w:rPr>
          <w:rFonts w:ascii="Times New Roman" w:hAnsi="Times New Roman" w:cs="Times New Roman"/>
          <w:sz w:val="24"/>
          <w:szCs w:val="24"/>
        </w:rPr>
        <w:t>ure</w:t>
      </w:r>
      <w:r w:rsidR="002E0335">
        <w:rPr>
          <w:rFonts w:ascii="Times New Roman" w:hAnsi="Times New Roman" w:cs="Times New Roman"/>
          <w:sz w:val="24"/>
          <w:szCs w:val="24"/>
        </w:rPr>
        <w:t xml:space="preserve"> C to the opposing affidavit cannot form part of the appeal record as it was never a matter raised at the trial. </w:t>
      </w:r>
      <w:r w:rsidR="002F3EDF">
        <w:rPr>
          <w:rFonts w:ascii="Times New Roman" w:hAnsi="Times New Roman" w:cs="Times New Roman"/>
          <w:sz w:val="24"/>
          <w:szCs w:val="24"/>
        </w:rPr>
        <w:t>It is trite that one can only introduce new evidence with leave of the court, which leave respondent did not seek during this hearing nor has sought for purposes of appeal.</w:t>
      </w:r>
    </w:p>
    <w:p w:rsidR="002E0335" w:rsidRDefault="002E033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even if </w:t>
      </w:r>
      <w:r w:rsidR="002F3EDF">
        <w:rPr>
          <w:rFonts w:ascii="Times New Roman" w:hAnsi="Times New Roman" w:cs="Times New Roman"/>
          <w:sz w:val="24"/>
          <w:szCs w:val="24"/>
        </w:rPr>
        <w:t>he does seek and obtain such leave, Annex</w:t>
      </w:r>
      <w:r w:rsidR="00493C04">
        <w:rPr>
          <w:rFonts w:ascii="Times New Roman" w:hAnsi="Times New Roman" w:cs="Times New Roman"/>
          <w:sz w:val="24"/>
          <w:szCs w:val="24"/>
        </w:rPr>
        <w:t>ure</w:t>
      </w:r>
      <w:r w:rsidR="002F3EDF">
        <w:rPr>
          <w:rFonts w:ascii="Times New Roman" w:hAnsi="Times New Roman" w:cs="Times New Roman"/>
          <w:sz w:val="24"/>
          <w:szCs w:val="24"/>
        </w:rPr>
        <w:t xml:space="preserve"> C</w:t>
      </w:r>
      <w:r>
        <w:rPr>
          <w:rFonts w:ascii="Times New Roman" w:hAnsi="Times New Roman" w:cs="Times New Roman"/>
          <w:sz w:val="24"/>
          <w:szCs w:val="24"/>
        </w:rPr>
        <w:t xml:space="preserve"> would </w:t>
      </w:r>
      <w:r w:rsidR="002F3EDF">
        <w:rPr>
          <w:rFonts w:ascii="Times New Roman" w:hAnsi="Times New Roman" w:cs="Times New Roman"/>
          <w:sz w:val="24"/>
          <w:szCs w:val="24"/>
        </w:rPr>
        <w:t xml:space="preserve">actually </w:t>
      </w:r>
      <w:r>
        <w:rPr>
          <w:rFonts w:ascii="Times New Roman" w:hAnsi="Times New Roman" w:cs="Times New Roman"/>
          <w:sz w:val="24"/>
          <w:szCs w:val="24"/>
        </w:rPr>
        <w:t>vindicate the applicant’s position, that Stand 694, to which the applicant is entitled by virtue of the title deed he holds in his favour</w:t>
      </w:r>
      <w:r w:rsidR="00F14BE5">
        <w:rPr>
          <w:rFonts w:ascii="Times New Roman" w:hAnsi="Times New Roman" w:cs="Times New Roman"/>
          <w:sz w:val="24"/>
          <w:szCs w:val="24"/>
        </w:rPr>
        <w:t>,</w:t>
      </w:r>
      <w:r>
        <w:rPr>
          <w:rFonts w:ascii="Times New Roman" w:hAnsi="Times New Roman" w:cs="Times New Roman"/>
          <w:sz w:val="24"/>
          <w:szCs w:val="24"/>
        </w:rPr>
        <w:t xml:space="preserve"> is in fact not</w:t>
      </w:r>
      <w:r w:rsidR="002A4503">
        <w:rPr>
          <w:rFonts w:ascii="Times New Roman" w:hAnsi="Times New Roman" w:cs="Times New Roman"/>
          <w:sz w:val="24"/>
          <w:szCs w:val="24"/>
        </w:rPr>
        <w:t xml:space="preserve"> part of the R</w:t>
      </w:r>
      <w:r>
        <w:rPr>
          <w:rFonts w:ascii="Times New Roman" w:hAnsi="Times New Roman" w:cs="Times New Roman"/>
          <w:sz w:val="24"/>
          <w:szCs w:val="24"/>
        </w:rPr>
        <w:t>emainder</w:t>
      </w:r>
      <w:r w:rsidR="002A4503">
        <w:rPr>
          <w:rFonts w:ascii="Times New Roman" w:hAnsi="Times New Roman" w:cs="Times New Roman"/>
          <w:sz w:val="24"/>
          <w:szCs w:val="24"/>
        </w:rPr>
        <w:t>, and further that respondent</w:t>
      </w:r>
      <w:r w:rsidR="00165D85">
        <w:rPr>
          <w:rFonts w:ascii="Times New Roman" w:hAnsi="Times New Roman" w:cs="Times New Roman"/>
          <w:sz w:val="24"/>
          <w:szCs w:val="24"/>
        </w:rPr>
        <w:t>’</w:t>
      </w:r>
      <w:r w:rsidR="002A4503">
        <w:rPr>
          <w:rFonts w:ascii="Times New Roman" w:hAnsi="Times New Roman" w:cs="Times New Roman"/>
          <w:sz w:val="24"/>
          <w:szCs w:val="24"/>
        </w:rPr>
        <w:t>s ground of appeal that the applicant does not hold title to the Remainder is in fact baseless.</w:t>
      </w:r>
    </w:p>
    <w:p w:rsidR="002F3EDF" w:rsidRDefault="002A450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issue of compensation </w:t>
      </w:r>
      <w:r w:rsidR="002F3EDF">
        <w:rPr>
          <w:rFonts w:ascii="Times New Roman" w:hAnsi="Times New Roman" w:cs="Times New Roman"/>
          <w:sz w:val="24"/>
          <w:szCs w:val="24"/>
        </w:rPr>
        <w:t xml:space="preserve">for the buildings constructed by respondent on the Remainder </w:t>
      </w:r>
      <w:r>
        <w:rPr>
          <w:rFonts w:ascii="Times New Roman" w:hAnsi="Times New Roman" w:cs="Times New Roman"/>
          <w:sz w:val="24"/>
          <w:szCs w:val="24"/>
        </w:rPr>
        <w:t>cannot be subject of appeal</w:t>
      </w:r>
      <w:r w:rsidR="00F33735">
        <w:rPr>
          <w:rFonts w:ascii="Times New Roman" w:hAnsi="Times New Roman" w:cs="Times New Roman"/>
          <w:sz w:val="24"/>
          <w:szCs w:val="24"/>
        </w:rPr>
        <w:t xml:space="preserve"> as it has not been raised in the grounds of appeal</w:t>
      </w:r>
      <w:r>
        <w:rPr>
          <w:rFonts w:ascii="Times New Roman" w:hAnsi="Times New Roman" w:cs="Times New Roman"/>
          <w:sz w:val="24"/>
          <w:szCs w:val="24"/>
        </w:rPr>
        <w:t xml:space="preserve">. </w:t>
      </w:r>
      <w:r w:rsidR="00F33735">
        <w:rPr>
          <w:rFonts w:ascii="Times New Roman" w:hAnsi="Times New Roman" w:cs="Times New Roman"/>
          <w:sz w:val="24"/>
          <w:szCs w:val="24"/>
        </w:rPr>
        <w:t>This is precisely because i</w:t>
      </w:r>
      <w:r>
        <w:rPr>
          <w:rFonts w:ascii="Times New Roman" w:hAnsi="Times New Roman" w:cs="Times New Roman"/>
          <w:sz w:val="24"/>
          <w:szCs w:val="24"/>
        </w:rPr>
        <w:t xml:space="preserve">t was never a claim before the court </w:t>
      </w:r>
      <w:r w:rsidRPr="001628E2">
        <w:rPr>
          <w:rFonts w:ascii="Times New Roman" w:hAnsi="Times New Roman" w:cs="Times New Roman"/>
          <w:i/>
          <w:sz w:val="24"/>
          <w:szCs w:val="24"/>
        </w:rPr>
        <w:t>a quo</w:t>
      </w:r>
      <w:r>
        <w:rPr>
          <w:rFonts w:ascii="Times New Roman" w:hAnsi="Times New Roman" w:cs="Times New Roman"/>
          <w:sz w:val="24"/>
          <w:szCs w:val="24"/>
        </w:rPr>
        <w:t>, and in any case, there is no admission, tacit or otherwise, on the trial record, that applicant was prepared to pay compensation for any buildin</w:t>
      </w:r>
      <w:r w:rsidR="00165D85">
        <w:rPr>
          <w:rFonts w:ascii="Times New Roman" w:hAnsi="Times New Roman" w:cs="Times New Roman"/>
          <w:sz w:val="24"/>
          <w:szCs w:val="24"/>
        </w:rPr>
        <w:t>gs put up by respondent on the R</w:t>
      </w:r>
      <w:r>
        <w:rPr>
          <w:rFonts w:ascii="Times New Roman" w:hAnsi="Times New Roman" w:cs="Times New Roman"/>
          <w:sz w:val="24"/>
          <w:szCs w:val="24"/>
        </w:rPr>
        <w:t xml:space="preserve">emainder without applicant’s consent. </w:t>
      </w:r>
      <w:r w:rsidR="002F3EDF">
        <w:rPr>
          <w:rFonts w:ascii="Times New Roman" w:hAnsi="Times New Roman" w:cs="Times New Roman"/>
          <w:sz w:val="24"/>
          <w:szCs w:val="24"/>
        </w:rPr>
        <w:t xml:space="preserve">In any case, any purported offer of compensation was made on a without prejudice basis, and at the behest of the court to facilitate an equitable settlement. </w:t>
      </w:r>
    </w:p>
    <w:p w:rsidR="00F14BE5" w:rsidRDefault="00F14BE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the record will show that, in the face of defendant spurning any offer of </w:t>
      </w:r>
      <w:r w:rsidR="00C54565">
        <w:rPr>
          <w:rFonts w:ascii="Times New Roman" w:hAnsi="Times New Roman" w:cs="Times New Roman"/>
          <w:sz w:val="24"/>
          <w:szCs w:val="24"/>
        </w:rPr>
        <w:t>a replacement stand or refund of the purchase price</w:t>
      </w:r>
      <w:r>
        <w:rPr>
          <w:rFonts w:ascii="Times New Roman" w:hAnsi="Times New Roman" w:cs="Times New Roman"/>
          <w:sz w:val="24"/>
          <w:szCs w:val="24"/>
        </w:rPr>
        <w:t>, applicant specifically withdrew any offer of compensation he might have made.</w:t>
      </w:r>
      <w:r w:rsidR="002F3EDF">
        <w:rPr>
          <w:rFonts w:ascii="Times New Roman" w:hAnsi="Times New Roman" w:cs="Times New Roman"/>
          <w:sz w:val="24"/>
          <w:szCs w:val="24"/>
        </w:rPr>
        <w:t xml:space="preserve"> </w:t>
      </w:r>
    </w:p>
    <w:p w:rsidR="002A4503" w:rsidRDefault="00F14BE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w:t>
      </w:r>
      <w:r w:rsidR="002A4503">
        <w:rPr>
          <w:rFonts w:ascii="Times New Roman" w:hAnsi="Times New Roman" w:cs="Times New Roman"/>
          <w:sz w:val="24"/>
          <w:szCs w:val="24"/>
        </w:rPr>
        <w:t xml:space="preserve">hat the City of Harare may have approved the </w:t>
      </w:r>
      <w:r>
        <w:rPr>
          <w:rFonts w:ascii="Times New Roman" w:hAnsi="Times New Roman" w:cs="Times New Roman"/>
          <w:sz w:val="24"/>
          <w:szCs w:val="24"/>
        </w:rPr>
        <w:t xml:space="preserve">respondent’s building </w:t>
      </w:r>
      <w:r w:rsidR="002A4503">
        <w:rPr>
          <w:rFonts w:ascii="Times New Roman" w:hAnsi="Times New Roman" w:cs="Times New Roman"/>
          <w:sz w:val="24"/>
          <w:szCs w:val="24"/>
        </w:rPr>
        <w:t>plans, or received rates payments from the respondent,</w:t>
      </w:r>
      <w:r>
        <w:rPr>
          <w:rFonts w:ascii="Times New Roman" w:hAnsi="Times New Roman" w:cs="Times New Roman"/>
          <w:sz w:val="24"/>
          <w:szCs w:val="24"/>
        </w:rPr>
        <w:t xml:space="preserve"> does not give title to the R</w:t>
      </w:r>
      <w:r w:rsidR="002A4503">
        <w:rPr>
          <w:rFonts w:ascii="Times New Roman" w:hAnsi="Times New Roman" w:cs="Times New Roman"/>
          <w:sz w:val="24"/>
          <w:szCs w:val="24"/>
        </w:rPr>
        <w:t>emainder to respondent.</w:t>
      </w:r>
      <w:r w:rsidR="00C54565">
        <w:rPr>
          <w:rFonts w:ascii="Times New Roman" w:hAnsi="Times New Roman" w:cs="Times New Roman"/>
          <w:sz w:val="24"/>
          <w:szCs w:val="24"/>
        </w:rPr>
        <w:t xml:space="preserve"> It is also neither here nor there </w:t>
      </w:r>
      <w:r w:rsidR="00CC5E15">
        <w:rPr>
          <w:rFonts w:ascii="Times New Roman" w:hAnsi="Times New Roman" w:cs="Times New Roman"/>
          <w:sz w:val="24"/>
          <w:szCs w:val="24"/>
        </w:rPr>
        <w:t>that applicant did</w:t>
      </w:r>
      <w:r w:rsidR="00C54565">
        <w:rPr>
          <w:rFonts w:ascii="Times New Roman" w:hAnsi="Times New Roman" w:cs="Times New Roman"/>
          <w:sz w:val="24"/>
          <w:szCs w:val="24"/>
        </w:rPr>
        <w:t xml:space="preserve"> not vigorously mount a defence to his eviction from Stand 694. There was absolutely no reason for him to do so since he acknowledged selling that stand to respondent and was not in occupation thereof</w:t>
      </w:r>
      <w:r w:rsidR="00CC5E15">
        <w:rPr>
          <w:rFonts w:ascii="Times New Roman" w:hAnsi="Times New Roman" w:cs="Times New Roman"/>
          <w:sz w:val="24"/>
          <w:szCs w:val="24"/>
        </w:rPr>
        <w:t>, besides which it was a road anyway.</w:t>
      </w:r>
    </w:p>
    <w:p w:rsidR="002A4503" w:rsidRDefault="002A450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93C04">
        <w:rPr>
          <w:rFonts w:ascii="Times New Roman" w:hAnsi="Times New Roman" w:cs="Times New Roman"/>
          <w:sz w:val="24"/>
          <w:szCs w:val="24"/>
        </w:rPr>
        <w:t>c</w:t>
      </w:r>
      <w:r>
        <w:rPr>
          <w:rFonts w:ascii="Times New Roman" w:hAnsi="Times New Roman" w:cs="Times New Roman"/>
          <w:sz w:val="24"/>
          <w:szCs w:val="24"/>
        </w:rPr>
        <w:t xml:space="preserve">ourt </w:t>
      </w:r>
      <w:r w:rsidRPr="00493C04">
        <w:rPr>
          <w:rFonts w:ascii="Times New Roman" w:hAnsi="Times New Roman" w:cs="Times New Roman"/>
          <w:i/>
          <w:sz w:val="24"/>
          <w:szCs w:val="24"/>
        </w:rPr>
        <w:t>a quo</w:t>
      </w:r>
      <w:r>
        <w:rPr>
          <w:rFonts w:ascii="Times New Roman" w:hAnsi="Times New Roman" w:cs="Times New Roman"/>
          <w:sz w:val="24"/>
          <w:szCs w:val="24"/>
        </w:rPr>
        <w:t xml:space="preserve"> only dealt with two issues, predicated on the court’s finding that applicant’s claim was in fact an action for </w:t>
      </w:r>
      <w:r w:rsidRPr="002A4503">
        <w:rPr>
          <w:rFonts w:ascii="Times New Roman" w:hAnsi="Times New Roman" w:cs="Times New Roman"/>
          <w:i/>
          <w:sz w:val="24"/>
          <w:szCs w:val="24"/>
        </w:rPr>
        <w:t>rei vindicatio</w:t>
      </w:r>
      <w:r>
        <w:rPr>
          <w:rFonts w:ascii="Times New Roman" w:hAnsi="Times New Roman" w:cs="Times New Roman"/>
          <w:sz w:val="24"/>
          <w:szCs w:val="24"/>
        </w:rPr>
        <w:t xml:space="preserve">: </w:t>
      </w:r>
      <w:r w:rsidR="00F14BE5" w:rsidRPr="00493C04">
        <w:rPr>
          <w:rFonts w:ascii="Times New Roman" w:hAnsi="Times New Roman" w:cs="Times New Roman"/>
          <w:i/>
          <w:sz w:val="24"/>
          <w:szCs w:val="24"/>
        </w:rPr>
        <w:t>viz</w:t>
      </w:r>
      <w:r w:rsidR="00F14BE5">
        <w:rPr>
          <w:rFonts w:ascii="Times New Roman" w:hAnsi="Times New Roman" w:cs="Times New Roman"/>
          <w:sz w:val="24"/>
          <w:szCs w:val="24"/>
        </w:rPr>
        <w:t xml:space="preserve">; </w:t>
      </w:r>
      <w:r>
        <w:rPr>
          <w:rFonts w:ascii="Times New Roman" w:hAnsi="Times New Roman" w:cs="Times New Roman"/>
          <w:sz w:val="24"/>
          <w:szCs w:val="24"/>
        </w:rPr>
        <w:t xml:space="preserve">whether respondent had any entitlement to </w:t>
      </w:r>
      <w:r w:rsidR="00F14BE5">
        <w:rPr>
          <w:rFonts w:ascii="Times New Roman" w:hAnsi="Times New Roman" w:cs="Times New Roman"/>
          <w:sz w:val="24"/>
          <w:szCs w:val="24"/>
        </w:rPr>
        <w:t xml:space="preserve">keep possession of </w:t>
      </w:r>
      <w:r>
        <w:rPr>
          <w:rFonts w:ascii="Times New Roman" w:hAnsi="Times New Roman" w:cs="Times New Roman"/>
          <w:sz w:val="24"/>
          <w:szCs w:val="24"/>
        </w:rPr>
        <w:t xml:space="preserve">the Remainder, and if not, whether he should be ordered to refund the rentals he has received for the Remainder. Applicant was therefore only required </w:t>
      </w:r>
      <w:r w:rsidR="00165D85">
        <w:rPr>
          <w:rFonts w:ascii="Times New Roman" w:hAnsi="Times New Roman" w:cs="Times New Roman"/>
          <w:sz w:val="24"/>
          <w:szCs w:val="24"/>
        </w:rPr>
        <w:lastRenderedPageBreak/>
        <w:t>to prove his ownership of the R</w:t>
      </w:r>
      <w:r>
        <w:rPr>
          <w:rFonts w:ascii="Times New Roman" w:hAnsi="Times New Roman" w:cs="Times New Roman"/>
          <w:sz w:val="24"/>
          <w:szCs w:val="24"/>
        </w:rPr>
        <w:t>emainder</w:t>
      </w:r>
      <w:r w:rsidR="00F14BE5">
        <w:rPr>
          <w:rFonts w:ascii="Times New Roman" w:hAnsi="Times New Roman" w:cs="Times New Roman"/>
          <w:sz w:val="24"/>
          <w:szCs w:val="24"/>
        </w:rPr>
        <w:t>, thus disentitling respondent thereto;</w:t>
      </w:r>
      <w:r>
        <w:rPr>
          <w:rFonts w:ascii="Times New Roman" w:hAnsi="Times New Roman" w:cs="Times New Roman"/>
          <w:sz w:val="24"/>
          <w:szCs w:val="24"/>
        </w:rPr>
        <w:t xml:space="preserve"> and that respondent was in occupation thereof</w:t>
      </w:r>
      <w:r w:rsidR="00F14BE5">
        <w:rPr>
          <w:rFonts w:ascii="Times New Roman" w:hAnsi="Times New Roman" w:cs="Times New Roman"/>
          <w:sz w:val="24"/>
          <w:szCs w:val="24"/>
        </w:rPr>
        <w:t xml:space="preserve"> and collecting rentals therefrom</w:t>
      </w:r>
      <w:r>
        <w:rPr>
          <w:rFonts w:ascii="Times New Roman" w:hAnsi="Times New Roman" w:cs="Times New Roman"/>
          <w:sz w:val="24"/>
          <w:szCs w:val="24"/>
        </w:rPr>
        <w:t>, which he did to the Court’s satisfaction.</w:t>
      </w:r>
    </w:p>
    <w:p w:rsidR="002A4503" w:rsidRDefault="002A4503"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the Court’s finding was that applicant was wrongfully ejected from </w:t>
      </w:r>
      <w:r w:rsidR="003B5E7F">
        <w:rPr>
          <w:rFonts w:ascii="Times New Roman" w:hAnsi="Times New Roman" w:cs="Times New Roman"/>
          <w:sz w:val="24"/>
          <w:szCs w:val="24"/>
        </w:rPr>
        <w:t>the Remainder, which property he</w:t>
      </w:r>
      <w:r>
        <w:rPr>
          <w:rFonts w:ascii="Times New Roman" w:hAnsi="Times New Roman" w:cs="Times New Roman"/>
          <w:sz w:val="24"/>
          <w:szCs w:val="24"/>
        </w:rPr>
        <w:t xml:space="preserve"> owned</w:t>
      </w:r>
      <w:r w:rsidR="003B5E7F">
        <w:rPr>
          <w:rFonts w:ascii="Times New Roman" w:hAnsi="Times New Roman" w:cs="Times New Roman"/>
          <w:sz w:val="24"/>
          <w:szCs w:val="24"/>
        </w:rPr>
        <w:t>,</w:t>
      </w:r>
      <w:r>
        <w:rPr>
          <w:rFonts w:ascii="Times New Roman" w:hAnsi="Times New Roman" w:cs="Times New Roman"/>
          <w:sz w:val="24"/>
          <w:szCs w:val="24"/>
        </w:rPr>
        <w:t xml:space="preserve"> on the basis of an </w:t>
      </w:r>
      <w:r w:rsidR="003B5E7F">
        <w:rPr>
          <w:rFonts w:ascii="Times New Roman" w:hAnsi="Times New Roman" w:cs="Times New Roman"/>
          <w:sz w:val="24"/>
          <w:szCs w:val="24"/>
        </w:rPr>
        <w:t>order relating to Stand 694. And further that Respondent was residing, and building on the Remainder, as well as collecting rental therefrom, in circumstances where he held no title thereto.</w:t>
      </w:r>
    </w:p>
    <w:p w:rsidR="003B5E7F" w:rsidRDefault="003B5E7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finding is unassailable and respondent has absolutely no prospects of success thereon.</w:t>
      </w:r>
    </w:p>
    <w:p w:rsidR="00077B29" w:rsidRDefault="003B5E7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F33735">
        <w:rPr>
          <w:rFonts w:ascii="Times New Roman" w:hAnsi="Times New Roman" w:cs="Times New Roman"/>
          <w:sz w:val="24"/>
          <w:szCs w:val="24"/>
        </w:rPr>
        <w:t xml:space="preserve">the issue of </w:t>
      </w:r>
      <w:r w:rsidR="00F33735" w:rsidRPr="00F33735">
        <w:rPr>
          <w:rFonts w:ascii="Times New Roman" w:hAnsi="Times New Roman" w:cs="Times New Roman"/>
          <w:i/>
          <w:sz w:val="24"/>
          <w:szCs w:val="24"/>
        </w:rPr>
        <w:t>res judicata</w:t>
      </w:r>
      <w:r w:rsidR="00F33735">
        <w:rPr>
          <w:rFonts w:ascii="Times New Roman" w:hAnsi="Times New Roman" w:cs="Times New Roman"/>
          <w:sz w:val="24"/>
          <w:szCs w:val="24"/>
        </w:rPr>
        <w:t xml:space="preserve"> has also not been raised in the grounds of appeal. Besides, </w:t>
      </w:r>
      <w:r>
        <w:rPr>
          <w:rFonts w:ascii="Times New Roman" w:hAnsi="Times New Roman" w:cs="Times New Roman"/>
          <w:sz w:val="24"/>
          <w:szCs w:val="24"/>
        </w:rPr>
        <w:t xml:space="preserve">save to state that HC 5728/13 was not dealt with on the merits and cannot therefore be regarded as having disposed of the </w:t>
      </w:r>
      <w:r w:rsidR="00077B29">
        <w:rPr>
          <w:rFonts w:ascii="Times New Roman" w:hAnsi="Times New Roman" w:cs="Times New Roman"/>
          <w:sz w:val="24"/>
          <w:szCs w:val="24"/>
        </w:rPr>
        <w:t>rights of the parties to the Remainder t</w:t>
      </w:r>
      <w:r>
        <w:rPr>
          <w:rFonts w:ascii="Times New Roman" w:hAnsi="Times New Roman" w:cs="Times New Roman"/>
          <w:sz w:val="24"/>
          <w:szCs w:val="24"/>
        </w:rPr>
        <w:t xml:space="preserve">o merit the </w:t>
      </w:r>
      <w:r w:rsidR="00077B29">
        <w:rPr>
          <w:rFonts w:ascii="Times New Roman" w:hAnsi="Times New Roman" w:cs="Times New Roman"/>
          <w:sz w:val="24"/>
          <w:szCs w:val="24"/>
        </w:rPr>
        <w:t xml:space="preserve">respondent’s resort </w:t>
      </w:r>
      <w:r>
        <w:rPr>
          <w:rFonts w:ascii="Times New Roman" w:hAnsi="Times New Roman" w:cs="Times New Roman"/>
          <w:sz w:val="24"/>
          <w:szCs w:val="24"/>
        </w:rPr>
        <w:t xml:space="preserve">to </w:t>
      </w:r>
      <w:r w:rsidRPr="003B5E7F">
        <w:rPr>
          <w:rFonts w:ascii="Times New Roman" w:hAnsi="Times New Roman" w:cs="Times New Roman"/>
          <w:i/>
          <w:sz w:val="24"/>
          <w:szCs w:val="24"/>
        </w:rPr>
        <w:t>res-judicata</w:t>
      </w:r>
      <w:r>
        <w:rPr>
          <w:rFonts w:ascii="Times New Roman" w:hAnsi="Times New Roman" w:cs="Times New Roman"/>
          <w:i/>
          <w:sz w:val="24"/>
          <w:szCs w:val="24"/>
        </w:rPr>
        <w:t xml:space="preserve"> </w:t>
      </w:r>
      <w:r>
        <w:rPr>
          <w:rFonts w:ascii="Times New Roman" w:hAnsi="Times New Roman" w:cs="Times New Roman"/>
          <w:sz w:val="24"/>
          <w:szCs w:val="24"/>
        </w:rPr>
        <w:t xml:space="preserve">the court </w:t>
      </w:r>
      <w:r w:rsidRPr="001628E2">
        <w:rPr>
          <w:rFonts w:ascii="Times New Roman" w:hAnsi="Times New Roman" w:cs="Times New Roman"/>
          <w:i/>
          <w:sz w:val="24"/>
          <w:szCs w:val="24"/>
        </w:rPr>
        <w:t>a quo</w:t>
      </w:r>
      <w:r>
        <w:rPr>
          <w:rFonts w:ascii="Times New Roman" w:hAnsi="Times New Roman" w:cs="Times New Roman"/>
          <w:sz w:val="24"/>
          <w:szCs w:val="24"/>
        </w:rPr>
        <w:t xml:space="preserve"> did not interfere with or set aside any previous judgments of the court. </w:t>
      </w:r>
    </w:p>
    <w:p w:rsidR="003B5E7F" w:rsidRDefault="00077B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particular, the court </w:t>
      </w:r>
      <w:r w:rsidRPr="001628E2">
        <w:rPr>
          <w:rFonts w:ascii="Times New Roman" w:hAnsi="Times New Roman" w:cs="Times New Roman"/>
          <w:i/>
          <w:sz w:val="24"/>
          <w:szCs w:val="24"/>
        </w:rPr>
        <w:t>a quo</w:t>
      </w:r>
      <w:r>
        <w:rPr>
          <w:rFonts w:ascii="Times New Roman" w:hAnsi="Times New Roman" w:cs="Times New Roman"/>
          <w:sz w:val="24"/>
          <w:szCs w:val="24"/>
        </w:rPr>
        <w:t xml:space="preserve"> was careful to note that </w:t>
      </w:r>
      <w:r w:rsidR="003B5E7F">
        <w:rPr>
          <w:rFonts w:ascii="Times New Roman" w:hAnsi="Times New Roman" w:cs="Times New Roman"/>
          <w:sz w:val="24"/>
          <w:szCs w:val="24"/>
        </w:rPr>
        <w:t xml:space="preserve">HC 1205/07, </w:t>
      </w:r>
      <w:r w:rsidR="00F14BE5">
        <w:rPr>
          <w:rFonts w:ascii="Times New Roman" w:hAnsi="Times New Roman" w:cs="Times New Roman"/>
          <w:sz w:val="24"/>
          <w:szCs w:val="24"/>
        </w:rPr>
        <w:t xml:space="preserve">HC </w:t>
      </w:r>
      <w:r w:rsidR="003B5E7F">
        <w:rPr>
          <w:rFonts w:ascii="Times New Roman" w:hAnsi="Times New Roman" w:cs="Times New Roman"/>
          <w:sz w:val="24"/>
          <w:szCs w:val="24"/>
        </w:rPr>
        <w:t>3900/11 and HC 6804/11 being matters dealing with rights to Stand 694</w:t>
      </w:r>
      <w:r w:rsidR="00C54565">
        <w:rPr>
          <w:rFonts w:ascii="Times New Roman" w:hAnsi="Times New Roman" w:cs="Times New Roman"/>
          <w:sz w:val="24"/>
          <w:szCs w:val="24"/>
        </w:rPr>
        <w:t xml:space="preserve">, </w:t>
      </w:r>
      <w:r>
        <w:rPr>
          <w:rFonts w:ascii="Times New Roman" w:hAnsi="Times New Roman" w:cs="Times New Roman"/>
          <w:sz w:val="24"/>
          <w:szCs w:val="24"/>
        </w:rPr>
        <w:t>had nothing to do with the matter before it; being a matter requiring resolution to the parties</w:t>
      </w:r>
      <w:r w:rsidR="00F14BE5">
        <w:rPr>
          <w:rFonts w:ascii="Times New Roman" w:hAnsi="Times New Roman" w:cs="Times New Roman"/>
          <w:sz w:val="24"/>
          <w:szCs w:val="24"/>
        </w:rPr>
        <w:t>’</w:t>
      </w:r>
      <w:r>
        <w:rPr>
          <w:rFonts w:ascii="Times New Roman" w:hAnsi="Times New Roman" w:cs="Times New Roman"/>
          <w:sz w:val="24"/>
          <w:szCs w:val="24"/>
        </w:rPr>
        <w:t xml:space="preserve"> rights to the Remainder.</w:t>
      </w:r>
    </w:p>
    <w:p w:rsidR="00077B29" w:rsidRDefault="00077B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any appeal on this basis is spurious and </w:t>
      </w:r>
      <w:r w:rsidR="00961072">
        <w:rPr>
          <w:rFonts w:ascii="Times New Roman" w:hAnsi="Times New Roman" w:cs="Times New Roman"/>
          <w:sz w:val="24"/>
          <w:szCs w:val="24"/>
        </w:rPr>
        <w:t>has no reasonable prospects of success.</w:t>
      </w:r>
    </w:p>
    <w:p w:rsidR="00077B29" w:rsidRDefault="00077B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 am also mindful of the fact that lack of </w:t>
      </w:r>
      <w:r w:rsidR="00961072">
        <w:rPr>
          <w:rFonts w:ascii="Times New Roman" w:hAnsi="Times New Roman" w:cs="Times New Roman"/>
          <w:sz w:val="24"/>
          <w:szCs w:val="24"/>
        </w:rPr>
        <w:t xml:space="preserve">reasonable </w:t>
      </w:r>
      <w:r>
        <w:rPr>
          <w:rFonts w:ascii="Times New Roman" w:hAnsi="Times New Roman" w:cs="Times New Roman"/>
          <w:sz w:val="24"/>
          <w:szCs w:val="24"/>
        </w:rPr>
        <w:t xml:space="preserve">prospects of success on appeal alone is not enough to allow a </w:t>
      </w:r>
      <w:r w:rsidR="00961072">
        <w:rPr>
          <w:rFonts w:ascii="Times New Roman" w:hAnsi="Times New Roman" w:cs="Times New Roman"/>
          <w:sz w:val="24"/>
          <w:szCs w:val="24"/>
        </w:rPr>
        <w:t xml:space="preserve">court to grant a </w:t>
      </w:r>
      <w:r>
        <w:rPr>
          <w:rFonts w:ascii="Times New Roman" w:hAnsi="Times New Roman" w:cs="Times New Roman"/>
          <w:sz w:val="24"/>
          <w:szCs w:val="24"/>
        </w:rPr>
        <w:t xml:space="preserve">party </w:t>
      </w:r>
      <w:r w:rsidR="00961072">
        <w:rPr>
          <w:rFonts w:ascii="Times New Roman" w:hAnsi="Times New Roman" w:cs="Times New Roman"/>
          <w:sz w:val="24"/>
          <w:szCs w:val="24"/>
        </w:rPr>
        <w:t xml:space="preserve">leave </w:t>
      </w:r>
      <w:r>
        <w:rPr>
          <w:rFonts w:ascii="Times New Roman" w:hAnsi="Times New Roman" w:cs="Times New Roman"/>
          <w:sz w:val="24"/>
          <w:szCs w:val="24"/>
        </w:rPr>
        <w:t xml:space="preserve">to execute pending appeal. It is also important to look at the balance of convenience or hardship that may befall a party if execution is permitted. In this case I find it difficult to find anything in favour of the respondent. </w:t>
      </w:r>
    </w:p>
    <w:p w:rsidR="00077B29" w:rsidRDefault="00077B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Rather, the applicant is an owner of property, whose enjoyment he has </w:t>
      </w:r>
      <w:r w:rsidR="000449EF">
        <w:rPr>
          <w:rFonts w:ascii="Times New Roman" w:hAnsi="Times New Roman" w:cs="Times New Roman"/>
          <w:sz w:val="24"/>
          <w:szCs w:val="24"/>
        </w:rPr>
        <w:t>been wrongfully</w:t>
      </w:r>
      <w:r>
        <w:rPr>
          <w:rFonts w:ascii="Times New Roman" w:hAnsi="Times New Roman" w:cs="Times New Roman"/>
          <w:sz w:val="24"/>
          <w:szCs w:val="24"/>
        </w:rPr>
        <w:t xml:space="preserve"> deprived of since </w:t>
      </w:r>
      <w:r w:rsidR="004A0E26">
        <w:rPr>
          <w:rFonts w:ascii="Times New Roman" w:hAnsi="Times New Roman" w:cs="Times New Roman"/>
          <w:sz w:val="24"/>
          <w:szCs w:val="24"/>
        </w:rPr>
        <w:t xml:space="preserve">10 July </w:t>
      </w:r>
      <w:r>
        <w:rPr>
          <w:rFonts w:ascii="Times New Roman" w:hAnsi="Times New Roman" w:cs="Times New Roman"/>
          <w:sz w:val="24"/>
          <w:szCs w:val="24"/>
        </w:rPr>
        <w:t>2013, and which income respondent has been benefiting from unlawfully since then. Clearly, the balance of co</w:t>
      </w:r>
      <w:r w:rsidR="000449EF">
        <w:rPr>
          <w:rFonts w:ascii="Times New Roman" w:hAnsi="Times New Roman" w:cs="Times New Roman"/>
          <w:sz w:val="24"/>
          <w:szCs w:val="24"/>
        </w:rPr>
        <w:t>nvenience favours the applicant, especially since the courts are loath to be used by parties to perpetuate clearly illegal activities.</w:t>
      </w:r>
    </w:p>
    <w:p w:rsidR="000449EF" w:rsidRDefault="000449E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applicant stands to suffer more irreparable harm should he continue to be deprived of execution on property for which respondent has no</w:t>
      </w:r>
      <w:r w:rsidR="00961072">
        <w:rPr>
          <w:rFonts w:ascii="Times New Roman" w:hAnsi="Times New Roman" w:cs="Times New Roman"/>
          <w:sz w:val="24"/>
          <w:szCs w:val="24"/>
        </w:rPr>
        <w:t xml:space="preserve"> </w:t>
      </w:r>
      <w:r w:rsidR="002F606F">
        <w:rPr>
          <w:rFonts w:ascii="Times New Roman" w:hAnsi="Times New Roman" w:cs="Times New Roman"/>
          <w:sz w:val="24"/>
          <w:szCs w:val="24"/>
        </w:rPr>
        <w:t>reasonable prospects</w:t>
      </w:r>
      <w:r>
        <w:rPr>
          <w:rFonts w:ascii="Times New Roman" w:hAnsi="Times New Roman" w:cs="Times New Roman"/>
          <w:sz w:val="24"/>
          <w:szCs w:val="24"/>
        </w:rPr>
        <w:t xml:space="preserve"> of success on appeal. In the unlikely event that respondent succeeds on appeal, he would have lost (in his own estimation) only about twelve (12)</w:t>
      </w:r>
      <w:r w:rsidR="00F14BE5">
        <w:rPr>
          <w:rFonts w:ascii="Times New Roman" w:hAnsi="Times New Roman" w:cs="Times New Roman"/>
          <w:sz w:val="24"/>
          <w:szCs w:val="24"/>
        </w:rPr>
        <w:t xml:space="preserve"> months</w:t>
      </w:r>
      <w:r>
        <w:rPr>
          <w:rFonts w:ascii="Times New Roman" w:hAnsi="Times New Roman" w:cs="Times New Roman"/>
          <w:sz w:val="24"/>
          <w:szCs w:val="24"/>
        </w:rPr>
        <w:t xml:space="preserve"> o</w:t>
      </w:r>
      <w:r w:rsidR="00F14BE5">
        <w:rPr>
          <w:rFonts w:ascii="Times New Roman" w:hAnsi="Times New Roman" w:cs="Times New Roman"/>
          <w:sz w:val="24"/>
          <w:szCs w:val="24"/>
        </w:rPr>
        <w:t>f</w:t>
      </w:r>
      <w:r>
        <w:rPr>
          <w:rFonts w:ascii="Times New Roman" w:hAnsi="Times New Roman" w:cs="Times New Roman"/>
          <w:sz w:val="24"/>
          <w:szCs w:val="24"/>
        </w:rPr>
        <w:t xml:space="preserve"> rental income, whereas </w:t>
      </w:r>
      <w:r>
        <w:rPr>
          <w:rFonts w:ascii="Times New Roman" w:hAnsi="Times New Roman" w:cs="Times New Roman"/>
          <w:sz w:val="24"/>
          <w:szCs w:val="24"/>
        </w:rPr>
        <w:lastRenderedPageBreak/>
        <w:t>applicant has lost almost 10 years of income. On balance therefore, applicant stands to suffer more prejudice tha</w:t>
      </w:r>
      <w:r w:rsidR="00F14BE5">
        <w:rPr>
          <w:rFonts w:ascii="Times New Roman" w:hAnsi="Times New Roman" w:cs="Times New Roman"/>
          <w:sz w:val="24"/>
          <w:szCs w:val="24"/>
        </w:rPr>
        <w:t>n</w:t>
      </w:r>
      <w:r>
        <w:rPr>
          <w:rFonts w:ascii="Times New Roman" w:hAnsi="Times New Roman" w:cs="Times New Roman"/>
          <w:sz w:val="24"/>
          <w:szCs w:val="24"/>
        </w:rPr>
        <w:t xml:space="preserve"> respondent.</w:t>
      </w:r>
    </w:p>
    <w:p w:rsidR="004A0E26" w:rsidRDefault="004A0E2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more so since the record shows that respondent did not put in issue, and actually admitted, during the trial, that he continues to occupy property that he is not entitled to</w:t>
      </w:r>
      <w:r w:rsidR="00961072">
        <w:rPr>
          <w:rFonts w:ascii="Times New Roman" w:hAnsi="Times New Roman" w:cs="Times New Roman"/>
          <w:sz w:val="24"/>
          <w:szCs w:val="24"/>
        </w:rPr>
        <w:t>;</w:t>
      </w:r>
      <w:r>
        <w:rPr>
          <w:rFonts w:ascii="Times New Roman" w:hAnsi="Times New Roman" w:cs="Times New Roman"/>
          <w:sz w:val="24"/>
          <w:szCs w:val="24"/>
        </w:rPr>
        <w:t xml:space="preserve"> that he </w:t>
      </w:r>
      <w:r w:rsidR="00961072">
        <w:rPr>
          <w:rFonts w:ascii="Times New Roman" w:hAnsi="Times New Roman" w:cs="Times New Roman"/>
          <w:sz w:val="24"/>
          <w:szCs w:val="24"/>
        </w:rPr>
        <w:t>continues</w:t>
      </w:r>
      <w:r>
        <w:rPr>
          <w:rFonts w:ascii="Times New Roman" w:hAnsi="Times New Roman" w:cs="Times New Roman"/>
          <w:sz w:val="24"/>
          <w:szCs w:val="24"/>
        </w:rPr>
        <w:t xml:space="preserve"> to collect rentals in respect of buildings he neither built </w:t>
      </w:r>
      <w:r w:rsidR="002F3EDF">
        <w:rPr>
          <w:rFonts w:ascii="Times New Roman" w:hAnsi="Times New Roman" w:cs="Times New Roman"/>
          <w:sz w:val="24"/>
          <w:szCs w:val="24"/>
        </w:rPr>
        <w:t>n</w:t>
      </w:r>
      <w:r>
        <w:rPr>
          <w:rFonts w:ascii="Times New Roman" w:hAnsi="Times New Roman" w:cs="Times New Roman"/>
          <w:sz w:val="24"/>
          <w:szCs w:val="24"/>
        </w:rPr>
        <w:t>or is entitled to</w:t>
      </w:r>
      <w:r w:rsidR="00961072">
        <w:rPr>
          <w:rFonts w:ascii="Times New Roman" w:hAnsi="Times New Roman" w:cs="Times New Roman"/>
          <w:sz w:val="24"/>
          <w:szCs w:val="24"/>
        </w:rPr>
        <w:t>;</w:t>
      </w:r>
      <w:r>
        <w:rPr>
          <w:rFonts w:ascii="Times New Roman" w:hAnsi="Times New Roman" w:cs="Times New Roman"/>
          <w:sz w:val="24"/>
          <w:szCs w:val="24"/>
        </w:rPr>
        <w:t xml:space="preserve"> and that he is continuing to construct on the Remainder notwithstanding the institution of litigation.</w:t>
      </w:r>
    </w:p>
    <w:p w:rsidR="00F54FDE" w:rsidRDefault="00961072" w:rsidP="001F7BE4">
      <w:pPr>
        <w:spacing w:after="0" w:line="360" w:lineRule="auto"/>
        <w:ind w:firstLine="720"/>
        <w:jc w:val="both"/>
        <w:rPr>
          <w:rFonts w:ascii="Times New Roman" w:hAnsi="Times New Roman" w:cs="Times New Roman"/>
          <w:sz w:val="24"/>
          <w:szCs w:val="24"/>
        </w:rPr>
      </w:pPr>
      <w:r w:rsidRPr="00F54FDE">
        <w:rPr>
          <w:rFonts w:ascii="Times New Roman" w:hAnsi="Times New Roman" w:cs="Times New Roman"/>
          <w:sz w:val="24"/>
          <w:szCs w:val="24"/>
        </w:rPr>
        <w:t xml:space="preserve">Finally, the applicant substantiated his submission that the appeal is not </w:t>
      </w:r>
      <w:r w:rsidRPr="00F54FDE">
        <w:rPr>
          <w:rFonts w:ascii="Times New Roman" w:hAnsi="Times New Roman" w:cs="Times New Roman"/>
          <w:i/>
          <w:sz w:val="24"/>
          <w:szCs w:val="24"/>
        </w:rPr>
        <w:t>bona fide</w:t>
      </w:r>
      <w:r w:rsidRPr="00F54FDE">
        <w:rPr>
          <w:rFonts w:ascii="Times New Roman" w:hAnsi="Times New Roman" w:cs="Times New Roman"/>
          <w:sz w:val="24"/>
          <w:szCs w:val="24"/>
        </w:rPr>
        <w:t xml:space="preserve"> by the fact that respondent has not paid any security for costs in respect of the appeal to show his seriousness in the prosecution thereof</w:t>
      </w:r>
      <w:r w:rsidR="00EC3ABC" w:rsidRPr="00F54FDE">
        <w:rPr>
          <w:rFonts w:ascii="Times New Roman" w:hAnsi="Times New Roman" w:cs="Times New Roman"/>
          <w:sz w:val="24"/>
          <w:szCs w:val="24"/>
        </w:rPr>
        <w:t>, nor paid for the preparation of the appeal record</w:t>
      </w:r>
      <w:r w:rsidRPr="00F54FDE">
        <w:rPr>
          <w:rFonts w:ascii="Times New Roman" w:hAnsi="Times New Roman" w:cs="Times New Roman"/>
          <w:sz w:val="24"/>
          <w:szCs w:val="24"/>
        </w:rPr>
        <w:t xml:space="preserve">. Respondent </w:t>
      </w:r>
      <w:r w:rsidR="00165D85">
        <w:rPr>
          <w:rFonts w:ascii="Times New Roman" w:hAnsi="Times New Roman" w:cs="Times New Roman"/>
          <w:sz w:val="24"/>
          <w:szCs w:val="24"/>
        </w:rPr>
        <w:t>argued that he</w:t>
      </w:r>
      <w:r w:rsidR="00EC3ABC" w:rsidRPr="00F54FDE">
        <w:rPr>
          <w:rFonts w:ascii="Times New Roman" w:hAnsi="Times New Roman" w:cs="Times New Roman"/>
          <w:sz w:val="24"/>
          <w:szCs w:val="24"/>
        </w:rPr>
        <w:t xml:space="preserve"> had tendered security for costs, but did not proffer any proof of such tender neither did he indicate the amount of the tender. Further, save to move from the bar</w:t>
      </w:r>
      <w:r w:rsidR="00165D85">
        <w:rPr>
          <w:rFonts w:ascii="Times New Roman" w:hAnsi="Times New Roman" w:cs="Times New Roman"/>
          <w:sz w:val="24"/>
          <w:szCs w:val="24"/>
        </w:rPr>
        <w:t>,</w:t>
      </w:r>
      <w:r w:rsidR="00EC3ABC" w:rsidRPr="00F54FDE">
        <w:rPr>
          <w:rFonts w:ascii="Times New Roman" w:hAnsi="Times New Roman" w:cs="Times New Roman"/>
          <w:sz w:val="24"/>
          <w:szCs w:val="24"/>
        </w:rPr>
        <w:t xml:space="preserve"> oral evidence that correspondence from the Supreme Court show that the appeal is being prosecuted, respondent neither tendered copies of such correspondence nor made any submissions at all with </w:t>
      </w:r>
      <w:r w:rsidRPr="00F54FDE">
        <w:rPr>
          <w:rFonts w:ascii="Times New Roman" w:hAnsi="Times New Roman" w:cs="Times New Roman"/>
          <w:sz w:val="24"/>
          <w:szCs w:val="24"/>
        </w:rPr>
        <w:t>regard</w:t>
      </w:r>
      <w:r w:rsidR="00EC3ABC" w:rsidRPr="00F54FDE">
        <w:rPr>
          <w:rFonts w:ascii="Times New Roman" w:hAnsi="Times New Roman" w:cs="Times New Roman"/>
          <w:sz w:val="24"/>
          <w:szCs w:val="24"/>
        </w:rPr>
        <w:t xml:space="preserve"> to payment for the preparation of the appeal record</w:t>
      </w:r>
      <w:r w:rsidRPr="00F54FDE">
        <w:rPr>
          <w:rFonts w:ascii="Times New Roman" w:hAnsi="Times New Roman" w:cs="Times New Roman"/>
          <w:sz w:val="24"/>
          <w:szCs w:val="24"/>
        </w:rPr>
        <w:t>.</w:t>
      </w:r>
      <w:r>
        <w:rPr>
          <w:rFonts w:ascii="Times New Roman" w:hAnsi="Times New Roman" w:cs="Times New Roman"/>
          <w:sz w:val="24"/>
          <w:szCs w:val="24"/>
        </w:rPr>
        <w:t xml:space="preserve"> </w:t>
      </w:r>
    </w:p>
    <w:p w:rsidR="00EC3ABC" w:rsidRDefault="00F54FD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ultimately, the issues of security for costs and costs for the preparation of the appeal record are issues for the Supreme Court to consider and decide, the lack of any proof before me that any efforts have been made to pay them does create the impression that the appeal is not </w:t>
      </w:r>
      <w:r w:rsidRPr="00F54FDE">
        <w:rPr>
          <w:rFonts w:ascii="Times New Roman" w:hAnsi="Times New Roman" w:cs="Times New Roman"/>
          <w:i/>
          <w:sz w:val="24"/>
          <w:szCs w:val="24"/>
        </w:rPr>
        <w:t>bona fide.</w:t>
      </w:r>
      <w:r>
        <w:rPr>
          <w:rFonts w:ascii="Times New Roman" w:hAnsi="Times New Roman" w:cs="Times New Roman"/>
          <w:sz w:val="24"/>
          <w:szCs w:val="24"/>
        </w:rPr>
        <w:t xml:space="preserve"> </w:t>
      </w:r>
    </w:p>
    <w:p w:rsidR="00961072" w:rsidRDefault="00EC3AB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w:t>
      </w:r>
      <w:r w:rsidR="00961072">
        <w:rPr>
          <w:rFonts w:ascii="Times New Roman" w:hAnsi="Times New Roman" w:cs="Times New Roman"/>
          <w:sz w:val="24"/>
          <w:szCs w:val="24"/>
        </w:rPr>
        <w:t xml:space="preserve">I am therefore inclined to believe that the </w:t>
      </w:r>
      <w:r w:rsidR="006F6176">
        <w:rPr>
          <w:rFonts w:ascii="Times New Roman" w:hAnsi="Times New Roman" w:cs="Times New Roman"/>
          <w:sz w:val="24"/>
          <w:szCs w:val="24"/>
        </w:rPr>
        <w:t xml:space="preserve">intended </w:t>
      </w:r>
      <w:r w:rsidR="00961072">
        <w:rPr>
          <w:rFonts w:ascii="Times New Roman" w:hAnsi="Times New Roman" w:cs="Times New Roman"/>
          <w:sz w:val="24"/>
          <w:szCs w:val="24"/>
        </w:rPr>
        <w:t xml:space="preserve">appeal </w:t>
      </w:r>
      <w:r w:rsidR="006F6176">
        <w:rPr>
          <w:rFonts w:ascii="Times New Roman" w:hAnsi="Times New Roman" w:cs="Times New Roman"/>
          <w:sz w:val="24"/>
          <w:szCs w:val="24"/>
        </w:rPr>
        <w:t>is indeed meant to buy time and frustrate the applicant.</w:t>
      </w:r>
      <w:r w:rsidR="00F54FDE">
        <w:rPr>
          <w:rFonts w:ascii="Times New Roman" w:hAnsi="Times New Roman" w:cs="Times New Roman"/>
          <w:sz w:val="24"/>
          <w:szCs w:val="24"/>
        </w:rPr>
        <w:t xml:space="preserve"> On balance therefore, it is my view that applicant has discharged his onus that the balance of hardship or convenience is in his favour.</w:t>
      </w:r>
    </w:p>
    <w:p w:rsidR="004A0E26" w:rsidRDefault="004A0E2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r w:rsidR="00961072">
        <w:rPr>
          <w:rFonts w:ascii="Times New Roman" w:hAnsi="Times New Roman" w:cs="Times New Roman"/>
          <w:sz w:val="24"/>
          <w:szCs w:val="24"/>
        </w:rPr>
        <w:t xml:space="preserve">I find </w:t>
      </w:r>
      <w:r>
        <w:rPr>
          <w:rFonts w:ascii="Times New Roman" w:hAnsi="Times New Roman" w:cs="Times New Roman"/>
          <w:sz w:val="24"/>
          <w:szCs w:val="24"/>
        </w:rPr>
        <w:t>it</w:t>
      </w:r>
      <w:r w:rsidR="00961072">
        <w:rPr>
          <w:rFonts w:ascii="Times New Roman" w:hAnsi="Times New Roman" w:cs="Times New Roman"/>
          <w:sz w:val="24"/>
          <w:szCs w:val="24"/>
        </w:rPr>
        <w:t xml:space="preserve"> to be</w:t>
      </w:r>
      <w:r>
        <w:rPr>
          <w:rFonts w:ascii="Times New Roman" w:hAnsi="Times New Roman" w:cs="Times New Roman"/>
          <w:sz w:val="24"/>
          <w:szCs w:val="24"/>
        </w:rPr>
        <w:t xml:space="preserve"> just and equitable that leave to execute pending appeal be allowed</w:t>
      </w:r>
      <w:r w:rsidR="00961072">
        <w:rPr>
          <w:rFonts w:ascii="Times New Roman" w:hAnsi="Times New Roman" w:cs="Times New Roman"/>
          <w:sz w:val="24"/>
          <w:szCs w:val="24"/>
        </w:rPr>
        <w:t xml:space="preserve">. </w:t>
      </w:r>
    </w:p>
    <w:p w:rsidR="003B229A" w:rsidRPr="00600AF2" w:rsidRDefault="003B229A" w:rsidP="001F7BE4">
      <w:pPr>
        <w:spacing w:after="0" w:line="360" w:lineRule="auto"/>
        <w:ind w:firstLine="720"/>
        <w:jc w:val="both"/>
        <w:rPr>
          <w:rFonts w:ascii="Times New Roman" w:hAnsi="Times New Roman" w:cs="Times New Roman"/>
          <w:sz w:val="24"/>
          <w:szCs w:val="24"/>
          <w:u w:val="single"/>
        </w:rPr>
      </w:pPr>
      <w:r w:rsidRPr="00600AF2">
        <w:rPr>
          <w:rFonts w:ascii="Times New Roman" w:hAnsi="Times New Roman" w:cs="Times New Roman"/>
          <w:sz w:val="24"/>
          <w:szCs w:val="24"/>
          <w:u w:val="single"/>
        </w:rPr>
        <w:t>Costs</w:t>
      </w:r>
    </w:p>
    <w:p w:rsidR="000449EF" w:rsidRPr="003B5E7F" w:rsidRDefault="000449E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I agree with the applicant that the appeal is spurious and merely meant to harass the applicant or to buy time. In my estimation, it is a classic case of abuse of court process with no </w:t>
      </w:r>
      <w:r w:rsidRPr="006F6176">
        <w:rPr>
          <w:rFonts w:ascii="Times New Roman" w:hAnsi="Times New Roman" w:cs="Times New Roman"/>
          <w:i/>
          <w:sz w:val="24"/>
          <w:szCs w:val="24"/>
        </w:rPr>
        <w:t>bona fide</w:t>
      </w:r>
      <w:r>
        <w:rPr>
          <w:rFonts w:ascii="Times New Roman" w:hAnsi="Times New Roman" w:cs="Times New Roman"/>
          <w:sz w:val="24"/>
          <w:szCs w:val="24"/>
        </w:rPr>
        <w:t xml:space="preserve"> intention to test the correctness of the decision appealed against. This is particularly evidenced by </w:t>
      </w:r>
      <w:r w:rsidR="006F6176">
        <w:rPr>
          <w:rFonts w:ascii="Times New Roman" w:hAnsi="Times New Roman" w:cs="Times New Roman"/>
          <w:sz w:val="24"/>
          <w:szCs w:val="24"/>
        </w:rPr>
        <w:t xml:space="preserve">the respondent </w:t>
      </w:r>
      <w:r>
        <w:rPr>
          <w:rFonts w:ascii="Times New Roman" w:hAnsi="Times New Roman" w:cs="Times New Roman"/>
          <w:sz w:val="24"/>
          <w:szCs w:val="24"/>
        </w:rPr>
        <w:t>bringing into issue matters which are not germane to the application before the court</w:t>
      </w:r>
      <w:r w:rsidR="006F6176">
        <w:rPr>
          <w:rFonts w:ascii="Times New Roman" w:hAnsi="Times New Roman" w:cs="Times New Roman"/>
          <w:sz w:val="24"/>
          <w:szCs w:val="24"/>
        </w:rPr>
        <w:t>;</w:t>
      </w:r>
      <w:r w:rsidR="003B229A">
        <w:rPr>
          <w:rFonts w:ascii="Times New Roman" w:hAnsi="Times New Roman" w:cs="Times New Roman"/>
          <w:sz w:val="24"/>
          <w:szCs w:val="24"/>
        </w:rPr>
        <w:t xml:space="preserve"> bringing up documents which were not before the court </w:t>
      </w:r>
      <w:r w:rsidR="003B229A" w:rsidRPr="00600AF2">
        <w:rPr>
          <w:rFonts w:ascii="Times New Roman" w:hAnsi="Times New Roman" w:cs="Times New Roman"/>
          <w:i/>
          <w:sz w:val="24"/>
          <w:szCs w:val="24"/>
        </w:rPr>
        <w:t>a quo</w:t>
      </w:r>
      <w:r w:rsidR="006F6176">
        <w:rPr>
          <w:rFonts w:ascii="Times New Roman" w:hAnsi="Times New Roman" w:cs="Times New Roman"/>
          <w:sz w:val="24"/>
          <w:szCs w:val="24"/>
        </w:rPr>
        <w:t>;</w:t>
      </w:r>
      <w:r>
        <w:rPr>
          <w:rFonts w:ascii="Times New Roman" w:hAnsi="Times New Roman" w:cs="Times New Roman"/>
          <w:sz w:val="24"/>
          <w:szCs w:val="24"/>
        </w:rPr>
        <w:t xml:space="preserve"> </w:t>
      </w:r>
      <w:r w:rsidR="006F6176">
        <w:rPr>
          <w:rFonts w:ascii="Times New Roman" w:hAnsi="Times New Roman" w:cs="Times New Roman"/>
          <w:sz w:val="24"/>
          <w:szCs w:val="24"/>
        </w:rPr>
        <w:t>filing grounds of appeal which make</w:t>
      </w:r>
      <w:r>
        <w:rPr>
          <w:rFonts w:ascii="Times New Roman" w:hAnsi="Times New Roman" w:cs="Times New Roman"/>
          <w:sz w:val="24"/>
          <w:szCs w:val="24"/>
        </w:rPr>
        <w:t xml:space="preserve"> no attempt to attac</w:t>
      </w:r>
      <w:r w:rsidR="006F6176">
        <w:rPr>
          <w:rFonts w:ascii="Times New Roman" w:hAnsi="Times New Roman" w:cs="Times New Roman"/>
          <w:sz w:val="24"/>
          <w:szCs w:val="24"/>
        </w:rPr>
        <w:t>k</w:t>
      </w:r>
      <w:r>
        <w:rPr>
          <w:rFonts w:ascii="Times New Roman" w:hAnsi="Times New Roman" w:cs="Times New Roman"/>
          <w:sz w:val="24"/>
          <w:szCs w:val="24"/>
        </w:rPr>
        <w:t xml:space="preserve"> the </w:t>
      </w:r>
      <w:r w:rsidR="006F6176">
        <w:rPr>
          <w:rFonts w:ascii="Times New Roman" w:hAnsi="Times New Roman" w:cs="Times New Roman"/>
          <w:sz w:val="24"/>
          <w:szCs w:val="24"/>
        </w:rPr>
        <w:t xml:space="preserve">legal </w:t>
      </w:r>
      <w:r>
        <w:rPr>
          <w:rFonts w:ascii="Times New Roman" w:hAnsi="Times New Roman" w:cs="Times New Roman"/>
          <w:sz w:val="24"/>
          <w:szCs w:val="24"/>
        </w:rPr>
        <w:t>rationale behind the judgment appealed against</w:t>
      </w:r>
      <w:r w:rsidR="006F6176">
        <w:rPr>
          <w:rFonts w:ascii="Times New Roman" w:hAnsi="Times New Roman" w:cs="Times New Roman"/>
          <w:sz w:val="24"/>
          <w:szCs w:val="24"/>
        </w:rPr>
        <w:t xml:space="preserve">; </w:t>
      </w:r>
      <w:r w:rsidR="009D4942">
        <w:rPr>
          <w:rFonts w:ascii="Times New Roman" w:hAnsi="Times New Roman" w:cs="Times New Roman"/>
          <w:sz w:val="24"/>
          <w:szCs w:val="24"/>
        </w:rPr>
        <w:t xml:space="preserve">attempting to smuggle in grounds of appeal which are not on the notice of appeal as well as </w:t>
      </w:r>
      <w:r w:rsidR="006F6176">
        <w:rPr>
          <w:rFonts w:ascii="Times New Roman" w:hAnsi="Times New Roman" w:cs="Times New Roman"/>
          <w:sz w:val="24"/>
          <w:szCs w:val="24"/>
        </w:rPr>
        <w:t>attempting to</w:t>
      </w:r>
      <w:r>
        <w:rPr>
          <w:rFonts w:ascii="Times New Roman" w:hAnsi="Times New Roman" w:cs="Times New Roman"/>
          <w:sz w:val="24"/>
          <w:szCs w:val="24"/>
        </w:rPr>
        <w:t xml:space="preserve"> obfuscat</w:t>
      </w:r>
      <w:r w:rsidR="006F6176">
        <w:rPr>
          <w:rFonts w:ascii="Times New Roman" w:hAnsi="Times New Roman" w:cs="Times New Roman"/>
          <w:sz w:val="24"/>
          <w:szCs w:val="24"/>
        </w:rPr>
        <w:t xml:space="preserve">e the basis of the </w:t>
      </w:r>
      <w:r w:rsidR="006F6176">
        <w:rPr>
          <w:rFonts w:ascii="Times New Roman" w:hAnsi="Times New Roman" w:cs="Times New Roman"/>
          <w:sz w:val="24"/>
          <w:szCs w:val="24"/>
        </w:rPr>
        <w:lastRenderedPageBreak/>
        <w:t>decisions in</w:t>
      </w:r>
      <w:r>
        <w:rPr>
          <w:rFonts w:ascii="Times New Roman" w:hAnsi="Times New Roman" w:cs="Times New Roman"/>
          <w:sz w:val="24"/>
          <w:szCs w:val="24"/>
        </w:rPr>
        <w:t xml:space="preserve"> HC 1205/07, 6804/11 and 5728/13</w:t>
      </w:r>
      <w:r w:rsidR="006F6176">
        <w:rPr>
          <w:rFonts w:ascii="Times New Roman" w:hAnsi="Times New Roman" w:cs="Times New Roman"/>
          <w:sz w:val="24"/>
          <w:szCs w:val="24"/>
        </w:rPr>
        <w:t>; and failing to pay security for costs of the appeal</w:t>
      </w:r>
      <w:r>
        <w:rPr>
          <w:rFonts w:ascii="Times New Roman" w:hAnsi="Times New Roman" w:cs="Times New Roman"/>
          <w:sz w:val="24"/>
          <w:szCs w:val="24"/>
        </w:rPr>
        <w:t>.</w:t>
      </w:r>
      <w:r w:rsidR="003B229A">
        <w:rPr>
          <w:rFonts w:ascii="Times New Roman" w:hAnsi="Times New Roman" w:cs="Times New Roman"/>
          <w:sz w:val="24"/>
          <w:szCs w:val="24"/>
        </w:rPr>
        <w:t xml:space="preserve"> For these reasons, I am of the view that applicant is entitled to costs on the higher scale.</w:t>
      </w:r>
    </w:p>
    <w:p w:rsidR="00E8667E" w:rsidRPr="001628E2" w:rsidRDefault="00E8667E" w:rsidP="001F7BE4">
      <w:pPr>
        <w:spacing w:after="0" w:line="360" w:lineRule="auto"/>
        <w:ind w:firstLine="720"/>
        <w:jc w:val="both"/>
        <w:rPr>
          <w:rFonts w:ascii="Times New Roman" w:hAnsi="Times New Roman" w:cs="Times New Roman"/>
          <w:sz w:val="24"/>
          <w:szCs w:val="24"/>
          <w:u w:val="single"/>
        </w:rPr>
      </w:pPr>
      <w:r w:rsidRPr="001628E2">
        <w:rPr>
          <w:rFonts w:ascii="Times New Roman" w:hAnsi="Times New Roman" w:cs="Times New Roman"/>
          <w:sz w:val="24"/>
          <w:szCs w:val="24"/>
          <w:u w:val="single"/>
        </w:rPr>
        <w:t>Disposition</w:t>
      </w:r>
    </w:p>
    <w:p w:rsidR="00E8667E" w:rsidRDefault="00E8667E" w:rsidP="00853D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w:t>
      </w:r>
      <w:r w:rsidR="00853D3E">
        <w:rPr>
          <w:rFonts w:ascii="Times New Roman" w:hAnsi="Times New Roman" w:cs="Times New Roman"/>
          <w:sz w:val="24"/>
          <w:szCs w:val="24"/>
        </w:rPr>
        <w:t xml:space="preserve"> be and is hereby ordered that leave to execute pending appeal be a</w:t>
      </w:r>
      <w:r w:rsidR="002E0335">
        <w:rPr>
          <w:rFonts w:ascii="Times New Roman" w:hAnsi="Times New Roman" w:cs="Times New Roman"/>
          <w:sz w:val="24"/>
          <w:szCs w:val="24"/>
        </w:rPr>
        <w:t>nd is hereby granted with costs on an attorney client scale.</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B74FFC"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Chatsanga &amp; Partners</w:t>
      </w:r>
      <w:r w:rsidR="00D611EB" w:rsidRPr="00D611EB">
        <w:rPr>
          <w:rFonts w:ascii="Times New Roman" w:hAnsi="Times New Roman" w:cs="Times New Roman"/>
          <w:sz w:val="24"/>
          <w:szCs w:val="24"/>
        </w:rPr>
        <w:t xml:space="preserve">, </w:t>
      </w:r>
      <w:r>
        <w:rPr>
          <w:rFonts w:ascii="Times New Roman" w:hAnsi="Times New Roman" w:cs="Times New Roman"/>
          <w:sz w:val="24"/>
          <w:szCs w:val="24"/>
        </w:rPr>
        <w:t>applicant</w:t>
      </w:r>
      <w:r w:rsidR="00D611EB" w:rsidRPr="00D611EB">
        <w:rPr>
          <w:rFonts w:ascii="Times New Roman" w:hAnsi="Times New Roman" w:cs="Times New Roman"/>
          <w:sz w:val="24"/>
          <w:szCs w:val="24"/>
        </w:rPr>
        <w:t>’s legal practitioners</w:t>
      </w:r>
    </w:p>
    <w:p w:rsidR="001916DB" w:rsidRPr="00B74FFC" w:rsidRDefault="00B74FFC"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Wintertons</w:t>
      </w:r>
      <w:r w:rsidR="001916DB">
        <w:rPr>
          <w:rFonts w:ascii="Times New Roman" w:hAnsi="Times New Roman" w:cs="Times New Roman"/>
          <w:i/>
          <w:sz w:val="24"/>
          <w:szCs w:val="24"/>
        </w:rPr>
        <w:t xml:space="preserve">, </w:t>
      </w:r>
      <w:r w:rsidRPr="00B74FFC">
        <w:rPr>
          <w:rFonts w:ascii="Times New Roman" w:hAnsi="Times New Roman" w:cs="Times New Roman"/>
          <w:sz w:val="24"/>
          <w:szCs w:val="24"/>
        </w:rPr>
        <w:t>respondent’s</w:t>
      </w:r>
      <w:r w:rsidR="001916DB" w:rsidRPr="00B74FFC">
        <w:rPr>
          <w:rFonts w:ascii="Times New Roman" w:hAnsi="Times New Roman" w:cs="Times New Roman"/>
          <w:sz w:val="24"/>
          <w:szCs w:val="24"/>
        </w:rPr>
        <w:t xml:space="preserve"> legal practitioners</w:t>
      </w:r>
    </w:p>
    <w:sectPr w:rsidR="001916DB" w:rsidRPr="00B74FF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4AD" w:rsidRDefault="000774AD" w:rsidP="00A5344D">
      <w:pPr>
        <w:spacing w:after="0" w:line="240" w:lineRule="auto"/>
      </w:pPr>
      <w:r>
        <w:separator/>
      </w:r>
    </w:p>
  </w:endnote>
  <w:endnote w:type="continuationSeparator" w:id="0">
    <w:p w:rsidR="000774AD" w:rsidRDefault="000774AD"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4AD" w:rsidRDefault="000774AD" w:rsidP="00A5344D">
      <w:pPr>
        <w:spacing w:after="0" w:line="240" w:lineRule="auto"/>
      </w:pPr>
      <w:r>
        <w:separator/>
      </w:r>
    </w:p>
  </w:footnote>
  <w:footnote w:type="continuationSeparator" w:id="0">
    <w:p w:rsidR="000774AD" w:rsidRDefault="000774AD" w:rsidP="00A5344D">
      <w:pPr>
        <w:spacing w:after="0" w:line="240" w:lineRule="auto"/>
      </w:pPr>
      <w:r>
        <w:continuationSeparator/>
      </w:r>
    </w:p>
  </w:footnote>
  <w:footnote w:id="1">
    <w:p w:rsidR="00CD773C" w:rsidRPr="00CD773C" w:rsidRDefault="00CD773C">
      <w:pPr>
        <w:pStyle w:val="FootnoteText"/>
        <w:rPr>
          <w:lang w:val="en-ZW"/>
        </w:rPr>
      </w:pPr>
      <w:r>
        <w:rPr>
          <w:rStyle w:val="FootnoteReference"/>
        </w:rPr>
        <w:footnoteRef/>
      </w:r>
      <w:r>
        <w:t xml:space="preserve"> </w:t>
      </w:r>
      <w:r>
        <w:rPr>
          <w:lang w:val="en-ZW"/>
        </w:rPr>
        <w:t xml:space="preserve">See </w:t>
      </w:r>
      <w:r w:rsidRPr="00DB1E1F">
        <w:rPr>
          <w:i/>
          <w:lang w:val="en-ZW"/>
        </w:rPr>
        <w:t>Zimbabwe Mining Development Corporation v African Consolidated Resources PLC &amp; Ors</w:t>
      </w:r>
      <w:r>
        <w:rPr>
          <w:lang w:val="en-ZW"/>
        </w:rPr>
        <w:t xml:space="preserve"> SC 1/10</w:t>
      </w:r>
    </w:p>
  </w:footnote>
  <w:footnote w:id="2">
    <w:p w:rsidR="00F44A1D" w:rsidRPr="00F44A1D" w:rsidRDefault="00F44A1D">
      <w:pPr>
        <w:pStyle w:val="FootnoteText"/>
      </w:pPr>
      <w:r>
        <w:rPr>
          <w:rStyle w:val="FootnoteReference"/>
        </w:rPr>
        <w:footnoteRef/>
      </w:r>
      <w:r>
        <w:t xml:space="preserve"> See </w:t>
      </w:r>
      <w:r w:rsidRPr="00F44A1D">
        <w:rPr>
          <w:i/>
        </w:rPr>
        <w:t>Arches (Pvt) Ltd v Guthrie Holdings (Pvt) Ltd</w:t>
      </w:r>
      <w:r>
        <w:t xml:space="preserve"> 1989 (1) ZLR 152(HC)</w:t>
      </w:r>
    </w:p>
  </w:footnote>
  <w:footnote w:id="3">
    <w:p w:rsidR="00F12F84" w:rsidRPr="00F12F84" w:rsidRDefault="00F12F84">
      <w:pPr>
        <w:pStyle w:val="FootnoteText"/>
      </w:pPr>
      <w:r>
        <w:rPr>
          <w:rStyle w:val="FootnoteReference"/>
        </w:rPr>
        <w:footnoteRef/>
      </w:r>
      <w:r>
        <w:t xml:space="preserve"> See </w:t>
      </w:r>
      <w:r w:rsidRPr="00CD773C">
        <w:rPr>
          <w:i/>
        </w:rPr>
        <w:t>South Cape Corporation (Pty) Ltd v Engineering Management Services (Pty) Ltd</w:t>
      </w:r>
      <w:r>
        <w:t xml:space="preserve"> 1977 (3) SA 534 (A) @ 545</w:t>
      </w:r>
    </w:p>
  </w:footnote>
  <w:footnote w:id="4">
    <w:p w:rsidR="00590FB8" w:rsidRPr="00590FB8" w:rsidRDefault="00590FB8">
      <w:pPr>
        <w:pStyle w:val="FootnoteText"/>
        <w:rPr>
          <w:lang w:val="en-ZW"/>
        </w:rPr>
      </w:pPr>
      <w:r>
        <w:rPr>
          <w:rStyle w:val="FootnoteReference"/>
        </w:rPr>
        <w:footnoteRef/>
      </w:r>
      <w:r>
        <w:t xml:space="preserve"> </w:t>
      </w:r>
      <w:r w:rsidR="00CD773C">
        <w:t xml:space="preserve">See </w:t>
      </w:r>
      <w:r w:rsidR="004A4EDA" w:rsidRPr="004A4EDA">
        <w:rPr>
          <w:i/>
        </w:rPr>
        <w:t>Whata v Whata</w:t>
      </w:r>
      <w:r w:rsidR="004A4EDA">
        <w:t xml:space="preserve"> 1994 (2) ZLR 277 (S) @ 281 B. See also </w:t>
      </w:r>
      <w:r w:rsidR="00F12F84">
        <w:rPr>
          <w:i/>
        </w:rPr>
        <w:t>Net O</w:t>
      </w:r>
      <w:r w:rsidR="00F12F84" w:rsidRPr="00F12F84">
        <w:rPr>
          <w:i/>
        </w:rPr>
        <w:t>ne</w:t>
      </w:r>
      <w:r w:rsidR="00511673" w:rsidRPr="00F12F84">
        <w:rPr>
          <w:i/>
        </w:rPr>
        <w:t xml:space="preserve"> Cellular (Pvt) Ltd v Net One Employees &amp; Anor</w:t>
      </w:r>
      <w:r w:rsidR="00511673">
        <w:t xml:space="preserve"> 2005(1) ZLR 275 (S) @ 281 B-D. </w:t>
      </w:r>
    </w:p>
  </w:footnote>
  <w:footnote w:id="5">
    <w:p w:rsidR="00F12F84" w:rsidRPr="00F12F84" w:rsidRDefault="00F12F84">
      <w:pPr>
        <w:pStyle w:val="FootnoteText"/>
        <w:rPr>
          <w:lang w:val="en-ZW"/>
        </w:rPr>
      </w:pPr>
      <w:r>
        <w:rPr>
          <w:rStyle w:val="FootnoteReference"/>
        </w:rPr>
        <w:footnoteRef/>
      </w:r>
      <w:r>
        <w:t xml:space="preserve"> </w:t>
      </w:r>
      <w:r w:rsidRPr="00F44A1D">
        <w:rPr>
          <w:i/>
        </w:rPr>
        <w:t>Arches (Pvt) Ltd v Guthrie Holdings (Pvt) Ltd</w:t>
      </w:r>
      <w:r>
        <w:rPr>
          <w:lang w:val="en-ZW"/>
        </w:rPr>
        <w:t xml:space="preserve"> (supra)</w:t>
      </w:r>
      <w:r w:rsidR="006E6FE7">
        <w:rPr>
          <w:lang w:val="en-ZW"/>
        </w:rPr>
        <w:t>. See also</w:t>
      </w:r>
      <w:r w:rsidR="006E6FE7" w:rsidRPr="006E6FE7">
        <w:rPr>
          <w:i/>
        </w:rPr>
        <w:t xml:space="preserve"> </w:t>
      </w:r>
      <w:r w:rsidR="006E6FE7">
        <w:rPr>
          <w:i/>
        </w:rPr>
        <w:t>Net O</w:t>
      </w:r>
      <w:r w:rsidR="006E6FE7" w:rsidRPr="00F12F84">
        <w:rPr>
          <w:i/>
        </w:rPr>
        <w:t>ne Cellular (Pvt) Ltd v Net One Employees &amp; Anor</w:t>
      </w:r>
      <w:r w:rsidR="006E6FE7" w:rsidRPr="006E6FE7">
        <w:t>@280F</w:t>
      </w:r>
      <w:r w:rsidR="006E6FE7" w:rsidRPr="00CD773C">
        <w:rPr>
          <w:i/>
        </w:rPr>
        <w:t xml:space="preserve"> </w:t>
      </w:r>
      <w:r w:rsidR="006E6FE7" w:rsidRPr="006E6FE7">
        <w:t>which cite</w:t>
      </w:r>
      <w:r w:rsidR="006E6FE7">
        <w:t>d</w:t>
      </w:r>
      <w:r w:rsidR="006E6FE7" w:rsidRPr="006E6FE7">
        <w:t xml:space="preserve"> with approval </w:t>
      </w:r>
      <w:r w:rsidR="006E6FE7" w:rsidRPr="00CD773C">
        <w:rPr>
          <w:i/>
        </w:rPr>
        <w:t>South Cape Corporation (Pty) Ltd v Engineering Management Services (Pty) Ltd</w:t>
      </w:r>
      <w:r w:rsidR="006E6FE7">
        <w:rPr>
          <w:i/>
        </w:rPr>
        <w:t>(supra)@ 544H-545H</w:t>
      </w:r>
    </w:p>
  </w:footnote>
  <w:footnote w:id="6">
    <w:p w:rsidR="00B47A9D" w:rsidRPr="00B47A9D" w:rsidRDefault="00B47A9D">
      <w:pPr>
        <w:pStyle w:val="FootnoteText"/>
        <w:rPr>
          <w:lang w:val="en-ZW"/>
        </w:rPr>
      </w:pPr>
      <w:r>
        <w:rPr>
          <w:rStyle w:val="FootnoteReference"/>
        </w:rPr>
        <w:footnoteRef/>
      </w:r>
      <w:r>
        <w:t xml:space="preserve"> </w:t>
      </w:r>
      <w:r w:rsidRPr="00B47A9D">
        <w:rPr>
          <w:i/>
          <w:lang w:val="en-ZW"/>
        </w:rPr>
        <w:t xml:space="preserve">Chidyausiku v Nyakabambo </w:t>
      </w:r>
      <w:r>
        <w:rPr>
          <w:lang w:val="en-ZW"/>
        </w:rPr>
        <w:t>1987(2) ZLR 119 (SC)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EF355C">
          <w:rPr>
            <w:noProof/>
          </w:rPr>
          <w:t>1</w:t>
        </w:r>
        <w:r>
          <w:rPr>
            <w:noProof/>
          </w:rPr>
          <w:fldChar w:fldCharType="end"/>
        </w:r>
      </w:p>
      <w:p w:rsidR="001A7735" w:rsidRDefault="001A7735">
        <w:pPr>
          <w:pStyle w:val="Header"/>
          <w:jc w:val="right"/>
          <w:rPr>
            <w:noProof/>
          </w:rPr>
        </w:pPr>
        <w:r>
          <w:rPr>
            <w:noProof/>
          </w:rPr>
          <w:t>HH</w:t>
        </w:r>
        <w:r w:rsidR="00D44ED3">
          <w:rPr>
            <w:noProof/>
          </w:rPr>
          <w:t xml:space="preserve"> </w:t>
        </w:r>
        <w:r w:rsidR="00AB3FDB">
          <w:rPr>
            <w:noProof/>
          </w:rPr>
          <w:t>212-18</w:t>
        </w:r>
      </w:p>
      <w:p w:rsidR="002B7E9A" w:rsidRDefault="00AD30D7">
        <w:pPr>
          <w:pStyle w:val="Header"/>
          <w:jc w:val="right"/>
          <w:rPr>
            <w:noProof/>
          </w:rPr>
        </w:pPr>
        <w:r>
          <w:rPr>
            <w:noProof/>
          </w:rPr>
          <w:t>HC</w:t>
        </w:r>
        <w:r w:rsidR="005F5D5C">
          <w:rPr>
            <w:noProof/>
          </w:rPr>
          <w:t xml:space="preserve"> </w:t>
        </w:r>
        <w:r w:rsidR="00B74FFC">
          <w:rPr>
            <w:noProof/>
          </w:rPr>
          <w:t>9295</w:t>
        </w:r>
        <w:r w:rsidR="00673887">
          <w:rPr>
            <w:noProof/>
          </w:rPr>
          <w:t>/17</w:t>
        </w:r>
      </w:p>
      <w:p w:rsidR="00AD30D7" w:rsidRDefault="000774AD"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6390A34"/>
    <w:multiLevelType w:val="hybridMultilevel"/>
    <w:tmpl w:val="FECEAD6E"/>
    <w:lvl w:ilvl="0" w:tplc="DBFA98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BFF2E6C"/>
    <w:multiLevelType w:val="hybridMultilevel"/>
    <w:tmpl w:val="513CC528"/>
    <w:lvl w:ilvl="0" w:tplc="74EABEA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18"/>
  </w:num>
  <w:num w:numId="5">
    <w:abstractNumId w:val="20"/>
  </w:num>
  <w:num w:numId="6">
    <w:abstractNumId w:val="22"/>
  </w:num>
  <w:num w:numId="7">
    <w:abstractNumId w:val="7"/>
  </w:num>
  <w:num w:numId="8">
    <w:abstractNumId w:val="13"/>
  </w:num>
  <w:num w:numId="9">
    <w:abstractNumId w:val="17"/>
  </w:num>
  <w:num w:numId="10">
    <w:abstractNumId w:val="4"/>
  </w:num>
  <w:num w:numId="11">
    <w:abstractNumId w:val="15"/>
  </w:num>
  <w:num w:numId="12">
    <w:abstractNumId w:val="6"/>
  </w:num>
  <w:num w:numId="13">
    <w:abstractNumId w:val="12"/>
  </w:num>
  <w:num w:numId="14">
    <w:abstractNumId w:val="16"/>
  </w:num>
  <w:num w:numId="15">
    <w:abstractNumId w:val="21"/>
  </w:num>
  <w:num w:numId="16">
    <w:abstractNumId w:val="10"/>
  </w:num>
  <w:num w:numId="17">
    <w:abstractNumId w:val="2"/>
  </w:num>
  <w:num w:numId="18">
    <w:abstractNumId w:val="0"/>
  </w:num>
  <w:num w:numId="19">
    <w:abstractNumId w:val="9"/>
  </w:num>
  <w:num w:numId="20">
    <w:abstractNumId w:val="8"/>
  </w:num>
  <w:num w:numId="21">
    <w:abstractNumId w:val="11"/>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1033C"/>
    <w:rsid w:val="00012D36"/>
    <w:rsid w:val="000147B5"/>
    <w:rsid w:val="00020429"/>
    <w:rsid w:val="00036056"/>
    <w:rsid w:val="000449EF"/>
    <w:rsid w:val="00047385"/>
    <w:rsid w:val="00051357"/>
    <w:rsid w:val="000657F4"/>
    <w:rsid w:val="00065992"/>
    <w:rsid w:val="00072CCD"/>
    <w:rsid w:val="00074CFF"/>
    <w:rsid w:val="000774AD"/>
    <w:rsid w:val="00077B29"/>
    <w:rsid w:val="000807CC"/>
    <w:rsid w:val="00080C6C"/>
    <w:rsid w:val="0008185F"/>
    <w:rsid w:val="00083CFF"/>
    <w:rsid w:val="00090BBF"/>
    <w:rsid w:val="00096727"/>
    <w:rsid w:val="000B46C2"/>
    <w:rsid w:val="000C02B4"/>
    <w:rsid w:val="000C1585"/>
    <w:rsid w:val="000C65B2"/>
    <w:rsid w:val="000D2AD3"/>
    <w:rsid w:val="000E4F4E"/>
    <w:rsid w:val="000F6C31"/>
    <w:rsid w:val="0010006D"/>
    <w:rsid w:val="001015A9"/>
    <w:rsid w:val="00122EC5"/>
    <w:rsid w:val="00123797"/>
    <w:rsid w:val="00123FD7"/>
    <w:rsid w:val="0013647D"/>
    <w:rsid w:val="00144F54"/>
    <w:rsid w:val="0014648F"/>
    <w:rsid w:val="00153236"/>
    <w:rsid w:val="0016137A"/>
    <w:rsid w:val="001628E2"/>
    <w:rsid w:val="00165726"/>
    <w:rsid w:val="00165A09"/>
    <w:rsid w:val="00165D85"/>
    <w:rsid w:val="00174FCA"/>
    <w:rsid w:val="00183D71"/>
    <w:rsid w:val="00190755"/>
    <w:rsid w:val="00191489"/>
    <w:rsid w:val="001916DB"/>
    <w:rsid w:val="00192891"/>
    <w:rsid w:val="001A562F"/>
    <w:rsid w:val="001A565E"/>
    <w:rsid w:val="001A7735"/>
    <w:rsid w:val="001C5AA9"/>
    <w:rsid w:val="001E0BDC"/>
    <w:rsid w:val="001E416C"/>
    <w:rsid w:val="001F0CCD"/>
    <w:rsid w:val="001F2230"/>
    <w:rsid w:val="001F492F"/>
    <w:rsid w:val="001F7BE4"/>
    <w:rsid w:val="002020BF"/>
    <w:rsid w:val="00202A27"/>
    <w:rsid w:val="00216B3D"/>
    <w:rsid w:val="00226660"/>
    <w:rsid w:val="00226AF2"/>
    <w:rsid w:val="002319D6"/>
    <w:rsid w:val="002405FA"/>
    <w:rsid w:val="00242E6F"/>
    <w:rsid w:val="0025507C"/>
    <w:rsid w:val="0025531A"/>
    <w:rsid w:val="002564A8"/>
    <w:rsid w:val="0026135C"/>
    <w:rsid w:val="00264214"/>
    <w:rsid w:val="00273F92"/>
    <w:rsid w:val="002831A9"/>
    <w:rsid w:val="00293728"/>
    <w:rsid w:val="002A1BDC"/>
    <w:rsid w:val="002A4503"/>
    <w:rsid w:val="002A6D8A"/>
    <w:rsid w:val="002B7E9A"/>
    <w:rsid w:val="002C5C5F"/>
    <w:rsid w:val="002D4F0D"/>
    <w:rsid w:val="002D62E1"/>
    <w:rsid w:val="002E0335"/>
    <w:rsid w:val="002E5B08"/>
    <w:rsid w:val="002E7C2E"/>
    <w:rsid w:val="002F3DB8"/>
    <w:rsid w:val="002F3EDF"/>
    <w:rsid w:val="002F606F"/>
    <w:rsid w:val="003071B4"/>
    <w:rsid w:val="00320282"/>
    <w:rsid w:val="0032298B"/>
    <w:rsid w:val="00342680"/>
    <w:rsid w:val="00343148"/>
    <w:rsid w:val="0034675B"/>
    <w:rsid w:val="00355C36"/>
    <w:rsid w:val="00382D16"/>
    <w:rsid w:val="00390E7B"/>
    <w:rsid w:val="00397B6F"/>
    <w:rsid w:val="003B20BF"/>
    <w:rsid w:val="003B229A"/>
    <w:rsid w:val="003B5E7F"/>
    <w:rsid w:val="003C2681"/>
    <w:rsid w:val="003C5EE9"/>
    <w:rsid w:val="003D0FEC"/>
    <w:rsid w:val="003D3E83"/>
    <w:rsid w:val="003D670B"/>
    <w:rsid w:val="003E3361"/>
    <w:rsid w:val="003F2824"/>
    <w:rsid w:val="003F3A45"/>
    <w:rsid w:val="003F643B"/>
    <w:rsid w:val="0040093B"/>
    <w:rsid w:val="004203A1"/>
    <w:rsid w:val="00437D7D"/>
    <w:rsid w:val="004445DA"/>
    <w:rsid w:val="004475E6"/>
    <w:rsid w:val="004500CB"/>
    <w:rsid w:val="00451135"/>
    <w:rsid w:val="004512E7"/>
    <w:rsid w:val="00453BC6"/>
    <w:rsid w:val="00460D28"/>
    <w:rsid w:val="00460F6B"/>
    <w:rsid w:val="004639FA"/>
    <w:rsid w:val="00471446"/>
    <w:rsid w:val="00472D5B"/>
    <w:rsid w:val="004735E9"/>
    <w:rsid w:val="00482DE2"/>
    <w:rsid w:val="00483ECA"/>
    <w:rsid w:val="00485DC3"/>
    <w:rsid w:val="00491066"/>
    <w:rsid w:val="00493C04"/>
    <w:rsid w:val="004A06CC"/>
    <w:rsid w:val="004A0E26"/>
    <w:rsid w:val="004A4EDA"/>
    <w:rsid w:val="004C78B7"/>
    <w:rsid w:val="004C7B4C"/>
    <w:rsid w:val="004D4139"/>
    <w:rsid w:val="004D6946"/>
    <w:rsid w:val="004E3C91"/>
    <w:rsid w:val="004E4BA6"/>
    <w:rsid w:val="004E6CC3"/>
    <w:rsid w:val="004F118D"/>
    <w:rsid w:val="005023C5"/>
    <w:rsid w:val="00503A3D"/>
    <w:rsid w:val="005066B5"/>
    <w:rsid w:val="0051094F"/>
    <w:rsid w:val="00511673"/>
    <w:rsid w:val="005213E9"/>
    <w:rsid w:val="00521501"/>
    <w:rsid w:val="0053181F"/>
    <w:rsid w:val="00532124"/>
    <w:rsid w:val="00542B0B"/>
    <w:rsid w:val="005432BC"/>
    <w:rsid w:val="00550CAB"/>
    <w:rsid w:val="00553215"/>
    <w:rsid w:val="00553418"/>
    <w:rsid w:val="00556EB9"/>
    <w:rsid w:val="00557E46"/>
    <w:rsid w:val="00566A1F"/>
    <w:rsid w:val="0057413E"/>
    <w:rsid w:val="00587660"/>
    <w:rsid w:val="00590FB8"/>
    <w:rsid w:val="00592B58"/>
    <w:rsid w:val="00595F6A"/>
    <w:rsid w:val="005A2C1C"/>
    <w:rsid w:val="005A63D6"/>
    <w:rsid w:val="005A6410"/>
    <w:rsid w:val="005C3F5C"/>
    <w:rsid w:val="005D2DFA"/>
    <w:rsid w:val="005D41DC"/>
    <w:rsid w:val="005D6AE9"/>
    <w:rsid w:val="005E1FC3"/>
    <w:rsid w:val="005F5D5C"/>
    <w:rsid w:val="005F63AD"/>
    <w:rsid w:val="00600AF2"/>
    <w:rsid w:val="00610D6E"/>
    <w:rsid w:val="00613729"/>
    <w:rsid w:val="00617093"/>
    <w:rsid w:val="00623987"/>
    <w:rsid w:val="006247B8"/>
    <w:rsid w:val="0062597B"/>
    <w:rsid w:val="006302DD"/>
    <w:rsid w:val="006343F5"/>
    <w:rsid w:val="0064067B"/>
    <w:rsid w:val="00640901"/>
    <w:rsid w:val="00651153"/>
    <w:rsid w:val="00654C9B"/>
    <w:rsid w:val="006651EB"/>
    <w:rsid w:val="00673887"/>
    <w:rsid w:val="006751AC"/>
    <w:rsid w:val="00676928"/>
    <w:rsid w:val="006802A1"/>
    <w:rsid w:val="0068380A"/>
    <w:rsid w:val="00697D53"/>
    <w:rsid w:val="006A02F3"/>
    <w:rsid w:val="006A05B9"/>
    <w:rsid w:val="006A2509"/>
    <w:rsid w:val="006A2875"/>
    <w:rsid w:val="006A65B3"/>
    <w:rsid w:val="006B3F67"/>
    <w:rsid w:val="006B7F5C"/>
    <w:rsid w:val="006D6E91"/>
    <w:rsid w:val="006D7AEF"/>
    <w:rsid w:val="006E6FE7"/>
    <w:rsid w:val="006F6176"/>
    <w:rsid w:val="006F7DF0"/>
    <w:rsid w:val="00700560"/>
    <w:rsid w:val="00705117"/>
    <w:rsid w:val="007079A8"/>
    <w:rsid w:val="007204EB"/>
    <w:rsid w:val="00720544"/>
    <w:rsid w:val="0072318E"/>
    <w:rsid w:val="0072321F"/>
    <w:rsid w:val="007275F2"/>
    <w:rsid w:val="0073687C"/>
    <w:rsid w:val="007455BE"/>
    <w:rsid w:val="0074620D"/>
    <w:rsid w:val="00753C5C"/>
    <w:rsid w:val="00760252"/>
    <w:rsid w:val="0076341D"/>
    <w:rsid w:val="00766DB1"/>
    <w:rsid w:val="007703F9"/>
    <w:rsid w:val="00774C0E"/>
    <w:rsid w:val="00775EC9"/>
    <w:rsid w:val="00783C63"/>
    <w:rsid w:val="007A0ADB"/>
    <w:rsid w:val="007A13DA"/>
    <w:rsid w:val="007A2882"/>
    <w:rsid w:val="007A3773"/>
    <w:rsid w:val="007B4B62"/>
    <w:rsid w:val="007B4B9D"/>
    <w:rsid w:val="007B6BCE"/>
    <w:rsid w:val="007B7D1C"/>
    <w:rsid w:val="007C2219"/>
    <w:rsid w:val="007D7A7A"/>
    <w:rsid w:val="007D7E4B"/>
    <w:rsid w:val="0080069A"/>
    <w:rsid w:val="00800D9E"/>
    <w:rsid w:val="00804275"/>
    <w:rsid w:val="00811906"/>
    <w:rsid w:val="00821DBB"/>
    <w:rsid w:val="00831025"/>
    <w:rsid w:val="00831370"/>
    <w:rsid w:val="00843C2C"/>
    <w:rsid w:val="00853D3E"/>
    <w:rsid w:val="00862C84"/>
    <w:rsid w:val="0086329F"/>
    <w:rsid w:val="00863DA8"/>
    <w:rsid w:val="00864E52"/>
    <w:rsid w:val="00866036"/>
    <w:rsid w:val="0086651B"/>
    <w:rsid w:val="00890585"/>
    <w:rsid w:val="008A7603"/>
    <w:rsid w:val="008B04F7"/>
    <w:rsid w:val="008B0512"/>
    <w:rsid w:val="008B7F1F"/>
    <w:rsid w:val="008C48D1"/>
    <w:rsid w:val="008C6468"/>
    <w:rsid w:val="008D51A3"/>
    <w:rsid w:val="008D5B14"/>
    <w:rsid w:val="009049A6"/>
    <w:rsid w:val="009160A2"/>
    <w:rsid w:val="00921972"/>
    <w:rsid w:val="00924F5C"/>
    <w:rsid w:val="00930208"/>
    <w:rsid w:val="00935391"/>
    <w:rsid w:val="00936404"/>
    <w:rsid w:val="00940045"/>
    <w:rsid w:val="00943046"/>
    <w:rsid w:val="00944AE6"/>
    <w:rsid w:val="00954F68"/>
    <w:rsid w:val="00961072"/>
    <w:rsid w:val="009616C9"/>
    <w:rsid w:val="00964A1D"/>
    <w:rsid w:val="00992A46"/>
    <w:rsid w:val="00996296"/>
    <w:rsid w:val="009A1665"/>
    <w:rsid w:val="009B4612"/>
    <w:rsid w:val="009B6C41"/>
    <w:rsid w:val="009D4942"/>
    <w:rsid w:val="009E3F68"/>
    <w:rsid w:val="00A21E6F"/>
    <w:rsid w:val="00A224BE"/>
    <w:rsid w:val="00A2642B"/>
    <w:rsid w:val="00A32902"/>
    <w:rsid w:val="00A33497"/>
    <w:rsid w:val="00A42911"/>
    <w:rsid w:val="00A43EE6"/>
    <w:rsid w:val="00A465F8"/>
    <w:rsid w:val="00A46FB7"/>
    <w:rsid w:val="00A5344D"/>
    <w:rsid w:val="00A620DB"/>
    <w:rsid w:val="00A63DCC"/>
    <w:rsid w:val="00A66595"/>
    <w:rsid w:val="00A70274"/>
    <w:rsid w:val="00A71BC1"/>
    <w:rsid w:val="00A72477"/>
    <w:rsid w:val="00A74CDA"/>
    <w:rsid w:val="00A820E4"/>
    <w:rsid w:val="00A91397"/>
    <w:rsid w:val="00AA75D1"/>
    <w:rsid w:val="00AB3FDB"/>
    <w:rsid w:val="00AB411A"/>
    <w:rsid w:val="00AB6264"/>
    <w:rsid w:val="00AB6AD1"/>
    <w:rsid w:val="00AC368F"/>
    <w:rsid w:val="00AC5598"/>
    <w:rsid w:val="00AD30D7"/>
    <w:rsid w:val="00AE1630"/>
    <w:rsid w:val="00B00361"/>
    <w:rsid w:val="00B13657"/>
    <w:rsid w:val="00B2441C"/>
    <w:rsid w:val="00B3468F"/>
    <w:rsid w:val="00B37BD6"/>
    <w:rsid w:val="00B47A9D"/>
    <w:rsid w:val="00B51190"/>
    <w:rsid w:val="00B6195C"/>
    <w:rsid w:val="00B61EB9"/>
    <w:rsid w:val="00B7393D"/>
    <w:rsid w:val="00B74FFC"/>
    <w:rsid w:val="00B83556"/>
    <w:rsid w:val="00B92437"/>
    <w:rsid w:val="00BB1D1B"/>
    <w:rsid w:val="00BB24DC"/>
    <w:rsid w:val="00BB2C2C"/>
    <w:rsid w:val="00BC5EBB"/>
    <w:rsid w:val="00BE25F4"/>
    <w:rsid w:val="00BF3061"/>
    <w:rsid w:val="00BF6A37"/>
    <w:rsid w:val="00C0508F"/>
    <w:rsid w:val="00C06F22"/>
    <w:rsid w:val="00C104A1"/>
    <w:rsid w:val="00C210AF"/>
    <w:rsid w:val="00C347AB"/>
    <w:rsid w:val="00C36767"/>
    <w:rsid w:val="00C372D4"/>
    <w:rsid w:val="00C54565"/>
    <w:rsid w:val="00C63838"/>
    <w:rsid w:val="00C65A52"/>
    <w:rsid w:val="00C65B1F"/>
    <w:rsid w:val="00C66194"/>
    <w:rsid w:val="00C71BB3"/>
    <w:rsid w:val="00C72F33"/>
    <w:rsid w:val="00C773D1"/>
    <w:rsid w:val="00C84DF1"/>
    <w:rsid w:val="00C9415F"/>
    <w:rsid w:val="00CC0F35"/>
    <w:rsid w:val="00CC5E15"/>
    <w:rsid w:val="00CD1665"/>
    <w:rsid w:val="00CD773C"/>
    <w:rsid w:val="00CE58C2"/>
    <w:rsid w:val="00CF106B"/>
    <w:rsid w:val="00CF6279"/>
    <w:rsid w:val="00D12F8B"/>
    <w:rsid w:val="00D1434C"/>
    <w:rsid w:val="00D268AD"/>
    <w:rsid w:val="00D3143A"/>
    <w:rsid w:val="00D3509E"/>
    <w:rsid w:val="00D37968"/>
    <w:rsid w:val="00D40A47"/>
    <w:rsid w:val="00D43339"/>
    <w:rsid w:val="00D44ED3"/>
    <w:rsid w:val="00D51414"/>
    <w:rsid w:val="00D54499"/>
    <w:rsid w:val="00D55DD3"/>
    <w:rsid w:val="00D611EB"/>
    <w:rsid w:val="00D71A82"/>
    <w:rsid w:val="00D7717B"/>
    <w:rsid w:val="00D828DE"/>
    <w:rsid w:val="00D87187"/>
    <w:rsid w:val="00D96EF2"/>
    <w:rsid w:val="00D97910"/>
    <w:rsid w:val="00DB1CBD"/>
    <w:rsid w:val="00DB1E1F"/>
    <w:rsid w:val="00DB5BB1"/>
    <w:rsid w:val="00DC6B9A"/>
    <w:rsid w:val="00DC77DA"/>
    <w:rsid w:val="00DD77FF"/>
    <w:rsid w:val="00DE793E"/>
    <w:rsid w:val="00DF7AE0"/>
    <w:rsid w:val="00E04C72"/>
    <w:rsid w:val="00E15273"/>
    <w:rsid w:val="00E16D07"/>
    <w:rsid w:val="00E35E50"/>
    <w:rsid w:val="00E5163E"/>
    <w:rsid w:val="00E5797F"/>
    <w:rsid w:val="00E66010"/>
    <w:rsid w:val="00E70AD0"/>
    <w:rsid w:val="00E81695"/>
    <w:rsid w:val="00E84641"/>
    <w:rsid w:val="00E85705"/>
    <w:rsid w:val="00E8667E"/>
    <w:rsid w:val="00E90BDA"/>
    <w:rsid w:val="00E90CDA"/>
    <w:rsid w:val="00EB605A"/>
    <w:rsid w:val="00EC3ABC"/>
    <w:rsid w:val="00EE147D"/>
    <w:rsid w:val="00EE1B58"/>
    <w:rsid w:val="00EE22C4"/>
    <w:rsid w:val="00EE412F"/>
    <w:rsid w:val="00EF355C"/>
    <w:rsid w:val="00EF3939"/>
    <w:rsid w:val="00EF3A9B"/>
    <w:rsid w:val="00F00E80"/>
    <w:rsid w:val="00F12F84"/>
    <w:rsid w:val="00F14BE5"/>
    <w:rsid w:val="00F33735"/>
    <w:rsid w:val="00F41839"/>
    <w:rsid w:val="00F44250"/>
    <w:rsid w:val="00F44A1D"/>
    <w:rsid w:val="00F52AD4"/>
    <w:rsid w:val="00F53C8A"/>
    <w:rsid w:val="00F54FDE"/>
    <w:rsid w:val="00F634F8"/>
    <w:rsid w:val="00F6679B"/>
    <w:rsid w:val="00F7027B"/>
    <w:rsid w:val="00F74C5F"/>
    <w:rsid w:val="00FA5BAB"/>
    <w:rsid w:val="00FA6187"/>
    <w:rsid w:val="00FB5E36"/>
    <w:rsid w:val="00FC5220"/>
    <w:rsid w:val="00FD7503"/>
    <w:rsid w:val="00FE218C"/>
    <w:rsid w:val="00FE34F2"/>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E0134-3118-44E2-BFCA-8BC54227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3A57-B0F0-4BA4-A125-3F53AFAC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2018-04-23T19:53:00Z</cp:lastPrinted>
  <dcterms:created xsi:type="dcterms:W3CDTF">2018-05-07T06:28:00Z</dcterms:created>
  <dcterms:modified xsi:type="dcterms:W3CDTF">2018-05-07T06:28:00Z</dcterms:modified>
</cp:coreProperties>
</file>