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076BC" w14:textId="56F164E5" w:rsidR="003649CC" w:rsidRPr="001C5CE1" w:rsidRDefault="009A1D39"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HERITAGE INSURANCE GROUP</w:t>
      </w:r>
      <w:r w:rsidR="00E215A0">
        <w:rPr>
          <w:rFonts w:ascii="Times New Roman" w:hAnsi="Times New Roman" w:cs="Times New Roman"/>
          <w:sz w:val="24"/>
          <w:szCs w:val="24"/>
        </w:rPr>
        <w:t xml:space="preserve"> LIMITED</w:t>
      </w:r>
    </w:p>
    <w:p w14:paraId="6F07EF4C" w14:textId="77777777"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49CC" w:rsidRPr="001C5CE1">
        <w:rPr>
          <w:rFonts w:ascii="Times New Roman" w:hAnsi="Times New Roman" w:cs="Times New Roman"/>
          <w:sz w:val="24"/>
          <w:szCs w:val="24"/>
        </w:rPr>
        <w:t>ersus</w:t>
      </w:r>
    </w:p>
    <w:p w14:paraId="1E74311F" w14:textId="77777777" w:rsidR="003649CC" w:rsidRDefault="009A1D39"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JOSEPHINE MATSIKA</w:t>
      </w:r>
    </w:p>
    <w:p w14:paraId="43D6965E" w14:textId="6CBAAACD" w:rsidR="001C5CE1" w:rsidRDefault="001C5CE1" w:rsidP="001C5CE1">
      <w:pPr>
        <w:spacing w:after="0" w:line="240" w:lineRule="auto"/>
        <w:jc w:val="both"/>
        <w:rPr>
          <w:rFonts w:ascii="Times New Roman" w:hAnsi="Times New Roman" w:cs="Times New Roman"/>
          <w:sz w:val="24"/>
          <w:szCs w:val="24"/>
        </w:rPr>
      </w:pPr>
    </w:p>
    <w:p w14:paraId="50377E32" w14:textId="77777777" w:rsidR="00861133" w:rsidRDefault="00861133" w:rsidP="001C5CE1">
      <w:pPr>
        <w:spacing w:after="0" w:line="240" w:lineRule="auto"/>
        <w:jc w:val="both"/>
        <w:rPr>
          <w:rFonts w:ascii="Times New Roman" w:hAnsi="Times New Roman" w:cs="Times New Roman"/>
          <w:sz w:val="24"/>
          <w:szCs w:val="24"/>
        </w:rPr>
      </w:pPr>
      <w:bookmarkStart w:id="0" w:name="_GoBack"/>
      <w:bookmarkEnd w:id="0"/>
    </w:p>
    <w:p w14:paraId="1A536825" w14:textId="77777777"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CCF1EAC" w14:textId="77777777"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14:paraId="5344937B" w14:textId="77777777" w:rsidR="0007374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A122E">
        <w:rPr>
          <w:rFonts w:ascii="Times New Roman" w:hAnsi="Times New Roman" w:cs="Times New Roman"/>
          <w:sz w:val="24"/>
          <w:szCs w:val="24"/>
        </w:rPr>
        <w:t xml:space="preserve">, </w:t>
      </w:r>
      <w:r w:rsidR="000C7390">
        <w:rPr>
          <w:rFonts w:ascii="Times New Roman" w:hAnsi="Times New Roman" w:cs="Times New Roman"/>
          <w:sz w:val="24"/>
          <w:szCs w:val="24"/>
        </w:rPr>
        <w:t>30,</w:t>
      </w:r>
      <w:r w:rsidR="00073741">
        <w:rPr>
          <w:rFonts w:ascii="Times New Roman" w:hAnsi="Times New Roman" w:cs="Times New Roman"/>
          <w:sz w:val="24"/>
          <w:szCs w:val="24"/>
        </w:rPr>
        <w:t xml:space="preserve"> 31 March</w:t>
      </w:r>
      <w:r w:rsidR="000C7390">
        <w:rPr>
          <w:rFonts w:ascii="Times New Roman" w:hAnsi="Times New Roman" w:cs="Times New Roman"/>
          <w:sz w:val="24"/>
          <w:szCs w:val="24"/>
        </w:rPr>
        <w:t>,</w:t>
      </w:r>
      <w:r w:rsidR="00073741">
        <w:rPr>
          <w:rFonts w:ascii="Times New Roman" w:hAnsi="Times New Roman" w:cs="Times New Roman"/>
          <w:sz w:val="24"/>
          <w:szCs w:val="24"/>
        </w:rPr>
        <w:t xml:space="preserve"> </w:t>
      </w:r>
      <w:r w:rsidR="000C7390">
        <w:rPr>
          <w:rFonts w:ascii="Times New Roman" w:hAnsi="Times New Roman" w:cs="Times New Roman"/>
          <w:sz w:val="24"/>
          <w:szCs w:val="24"/>
        </w:rPr>
        <w:t>1 April,</w:t>
      </w:r>
      <w:r w:rsidR="00073741">
        <w:rPr>
          <w:rFonts w:ascii="Times New Roman" w:hAnsi="Times New Roman" w:cs="Times New Roman"/>
          <w:sz w:val="24"/>
          <w:szCs w:val="24"/>
        </w:rPr>
        <w:t xml:space="preserve"> </w:t>
      </w:r>
      <w:r w:rsidR="000C7390">
        <w:rPr>
          <w:rFonts w:ascii="Times New Roman" w:hAnsi="Times New Roman" w:cs="Times New Roman"/>
          <w:sz w:val="24"/>
          <w:szCs w:val="24"/>
        </w:rPr>
        <w:t>28,</w:t>
      </w:r>
      <w:r w:rsidR="00073741">
        <w:rPr>
          <w:rFonts w:ascii="Times New Roman" w:hAnsi="Times New Roman" w:cs="Times New Roman"/>
          <w:sz w:val="24"/>
          <w:szCs w:val="24"/>
        </w:rPr>
        <w:t xml:space="preserve"> </w:t>
      </w:r>
      <w:r w:rsidR="000C7390">
        <w:rPr>
          <w:rFonts w:ascii="Times New Roman" w:hAnsi="Times New Roman" w:cs="Times New Roman"/>
          <w:sz w:val="24"/>
          <w:szCs w:val="24"/>
        </w:rPr>
        <w:t xml:space="preserve">29 April </w:t>
      </w:r>
    </w:p>
    <w:p w14:paraId="0A0299BB" w14:textId="08DAAB41" w:rsidR="001C5CE1" w:rsidRDefault="000C7390"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&amp;</w:t>
      </w:r>
      <w:r w:rsidR="00EA5F1E">
        <w:rPr>
          <w:rFonts w:ascii="Times New Roman" w:hAnsi="Times New Roman" w:cs="Times New Roman"/>
          <w:sz w:val="24"/>
          <w:szCs w:val="24"/>
        </w:rPr>
        <w:t xml:space="preserve"> 9</w:t>
      </w:r>
      <w:r>
        <w:rPr>
          <w:rFonts w:ascii="Times New Roman" w:hAnsi="Times New Roman" w:cs="Times New Roman"/>
          <w:sz w:val="24"/>
          <w:szCs w:val="24"/>
        </w:rPr>
        <w:t xml:space="preserve"> September 2021</w:t>
      </w:r>
    </w:p>
    <w:p w14:paraId="4C8A3413" w14:textId="29334886" w:rsidR="00812444" w:rsidRDefault="00812444" w:rsidP="001C5CE1">
      <w:pPr>
        <w:spacing w:after="0" w:line="240" w:lineRule="auto"/>
        <w:jc w:val="both"/>
        <w:rPr>
          <w:rFonts w:ascii="Times New Roman" w:hAnsi="Times New Roman" w:cs="Times New Roman"/>
          <w:sz w:val="24"/>
          <w:szCs w:val="24"/>
        </w:rPr>
      </w:pPr>
    </w:p>
    <w:p w14:paraId="2F7211A6" w14:textId="77777777" w:rsidR="00861133" w:rsidRPr="001C5CE1" w:rsidRDefault="00861133" w:rsidP="001C5CE1">
      <w:pPr>
        <w:spacing w:after="0" w:line="240" w:lineRule="auto"/>
        <w:jc w:val="both"/>
        <w:rPr>
          <w:rFonts w:ascii="Times New Roman" w:hAnsi="Times New Roman" w:cs="Times New Roman"/>
          <w:sz w:val="24"/>
          <w:szCs w:val="24"/>
        </w:rPr>
      </w:pPr>
    </w:p>
    <w:p w14:paraId="091B2986" w14:textId="0B84EB96" w:rsidR="00812444" w:rsidRDefault="000C7390" w:rsidP="00812444">
      <w:pPr>
        <w:jc w:val="both"/>
        <w:rPr>
          <w:rFonts w:ascii="Times New Roman" w:hAnsi="Times New Roman" w:cs="Times New Roman"/>
          <w:b/>
          <w:sz w:val="24"/>
          <w:szCs w:val="24"/>
        </w:rPr>
      </w:pPr>
      <w:r>
        <w:rPr>
          <w:rFonts w:ascii="Times New Roman" w:hAnsi="Times New Roman" w:cs="Times New Roman"/>
          <w:b/>
          <w:sz w:val="24"/>
          <w:szCs w:val="24"/>
        </w:rPr>
        <w:t>Civil Trial</w:t>
      </w:r>
    </w:p>
    <w:p w14:paraId="054E899A" w14:textId="77777777" w:rsidR="00861133" w:rsidRDefault="00861133" w:rsidP="00812444">
      <w:pPr>
        <w:jc w:val="both"/>
        <w:rPr>
          <w:rFonts w:ascii="Times New Roman" w:hAnsi="Times New Roman" w:cs="Times New Roman"/>
          <w:b/>
          <w:sz w:val="24"/>
          <w:szCs w:val="24"/>
        </w:rPr>
      </w:pPr>
    </w:p>
    <w:p w14:paraId="2578FB81" w14:textId="0BDFDC72" w:rsidR="000C7390" w:rsidRPr="000C7390" w:rsidRDefault="00073741" w:rsidP="00861133">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D </w:t>
      </w:r>
      <w:r w:rsidR="000C7390" w:rsidRPr="000C7390">
        <w:rPr>
          <w:rFonts w:ascii="Times New Roman" w:hAnsi="Times New Roman" w:cs="Times New Roman"/>
          <w:bCs/>
          <w:i/>
          <w:iCs/>
          <w:sz w:val="24"/>
          <w:szCs w:val="24"/>
        </w:rPr>
        <w:t>Sanhanga</w:t>
      </w:r>
      <w:r w:rsidR="000C7390">
        <w:rPr>
          <w:rFonts w:ascii="Times New Roman" w:hAnsi="Times New Roman" w:cs="Times New Roman"/>
          <w:bCs/>
          <w:i/>
          <w:iCs/>
          <w:sz w:val="24"/>
          <w:szCs w:val="24"/>
        </w:rPr>
        <w:t>,</w:t>
      </w:r>
      <w:r w:rsidR="000C7390" w:rsidRPr="000C7390">
        <w:rPr>
          <w:rFonts w:ascii="Times New Roman" w:hAnsi="Times New Roman" w:cs="Times New Roman"/>
          <w:bCs/>
          <w:sz w:val="24"/>
          <w:szCs w:val="24"/>
        </w:rPr>
        <w:t xml:space="preserve"> for the plaintiff</w:t>
      </w:r>
    </w:p>
    <w:p w14:paraId="492E060E" w14:textId="41BA1A54" w:rsidR="001C5CE1" w:rsidRDefault="000C7390" w:rsidP="00861133">
      <w:pPr>
        <w:spacing w:line="240" w:lineRule="auto"/>
        <w:jc w:val="both"/>
        <w:rPr>
          <w:rFonts w:ascii="Times New Roman" w:hAnsi="Times New Roman" w:cs="Times New Roman"/>
          <w:bCs/>
          <w:sz w:val="24"/>
          <w:szCs w:val="24"/>
        </w:rPr>
      </w:pPr>
      <w:r w:rsidRPr="000C7390">
        <w:rPr>
          <w:rFonts w:ascii="Times New Roman" w:hAnsi="Times New Roman" w:cs="Times New Roman"/>
          <w:bCs/>
          <w:i/>
          <w:iCs/>
          <w:sz w:val="24"/>
          <w:szCs w:val="24"/>
        </w:rPr>
        <w:t>R</w:t>
      </w:r>
      <w:r w:rsidR="00073741">
        <w:rPr>
          <w:rFonts w:ascii="Times New Roman" w:hAnsi="Times New Roman" w:cs="Times New Roman"/>
          <w:bCs/>
          <w:i/>
          <w:iCs/>
          <w:sz w:val="24"/>
          <w:szCs w:val="24"/>
        </w:rPr>
        <w:t xml:space="preserve"> </w:t>
      </w:r>
      <w:r w:rsidRPr="000C7390">
        <w:rPr>
          <w:rFonts w:ascii="Times New Roman" w:hAnsi="Times New Roman" w:cs="Times New Roman"/>
          <w:bCs/>
          <w:i/>
          <w:iCs/>
          <w:sz w:val="24"/>
          <w:szCs w:val="24"/>
        </w:rPr>
        <w:t>T Mutero</w:t>
      </w:r>
      <w:r>
        <w:rPr>
          <w:rFonts w:ascii="Times New Roman" w:hAnsi="Times New Roman" w:cs="Times New Roman"/>
          <w:bCs/>
          <w:i/>
          <w:iCs/>
          <w:sz w:val="24"/>
          <w:szCs w:val="24"/>
        </w:rPr>
        <w:t>,</w:t>
      </w:r>
      <w:r w:rsidRPr="000C7390">
        <w:rPr>
          <w:rFonts w:ascii="Times New Roman" w:hAnsi="Times New Roman" w:cs="Times New Roman"/>
          <w:bCs/>
          <w:sz w:val="24"/>
          <w:szCs w:val="24"/>
        </w:rPr>
        <w:t xml:space="preserve"> for the defendant</w:t>
      </w:r>
    </w:p>
    <w:p w14:paraId="1B90E056" w14:textId="77777777" w:rsidR="00861133" w:rsidRPr="00812444" w:rsidRDefault="00861133" w:rsidP="00812444">
      <w:pPr>
        <w:jc w:val="both"/>
        <w:rPr>
          <w:rFonts w:ascii="Times New Roman" w:hAnsi="Times New Roman" w:cs="Times New Roman"/>
          <w:bCs/>
          <w:sz w:val="24"/>
          <w:szCs w:val="24"/>
        </w:rPr>
      </w:pPr>
    </w:p>
    <w:p w14:paraId="05AB147E" w14:textId="3BCC10C1" w:rsidR="00B86915" w:rsidRDefault="004F2529" w:rsidP="009A1D39">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MUZOFA J. </w:t>
      </w:r>
      <w:r w:rsidR="009A1D39">
        <w:rPr>
          <w:rFonts w:ascii="Times New Roman" w:hAnsi="Times New Roman" w:cs="Times New Roman"/>
          <w:sz w:val="24"/>
          <w:szCs w:val="24"/>
        </w:rPr>
        <w:t>The plaintiff issued out summons against the defendant claiming</w:t>
      </w:r>
      <w:r w:rsidR="0046334F">
        <w:rPr>
          <w:rFonts w:ascii="Times New Roman" w:hAnsi="Times New Roman" w:cs="Times New Roman"/>
          <w:sz w:val="24"/>
          <w:szCs w:val="24"/>
        </w:rPr>
        <w:t xml:space="preserve"> the following</w:t>
      </w:r>
      <w:r w:rsidR="00B437BA">
        <w:rPr>
          <w:rFonts w:ascii="Times New Roman" w:hAnsi="Times New Roman" w:cs="Times New Roman"/>
          <w:sz w:val="24"/>
          <w:szCs w:val="24"/>
        </w:rPr>
        <w:t xml:space="preserve"> relief:</w:t>
      </w:r>
    </w:p>
    <w:p w14:paraId="0F3DCB3E" w14:textId="77777777" w:rsidR="009A1D39" w:rsidRP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sidRPr="009A1D39">
        <w:rPr>
          <w:rFonts w:ascii="Times New Roman" w:hAnsi="Times New Roman" w:cs="Times New Roman"/>
          <w:sz w:val="24"/>
          <w:szCs w:val="24"/>
        </w:rPr>
        <w:t xml:space="preserve">US$25 000 being salaries the defendant unlawfully awarded herself </w:t>
      </w:r>
    </w:p>
    <w:p w14:paraId="50AAB61B" w14:textId="77777777" w:rsid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$3 956.85 unlawfully encashed leave days</w:t>
      </w:r>
    </w:p>
    <w:p w14:paraId="40190692" w14:textId="77777777" w:rsid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$11 688 excess school fees claimed by the defendant</w:t>
      </w:r>
    </w:p>
    <w:p w14:paraId="1B1DE3EF" w14:textId="77777777" w:rsid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$5 000 school fees claimed for a child no longer in school. </w:t>
      </w:r>
    </w:p>
    <w:p w14:paraId="64BE19F2" w14:textId="77777777" w:rsid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Return of a motor vehicle a Nissan Captiva registration number ACC 3926 that defendant illegally sold to herself </w:t>
      </w:r>
    </w:p>
    <w:p w14:paraId="6BF635BF" w14:textId="6CF0AF63" w:rsidR="009A1D39" w:rsidRDefault="009A1D39" w:rsidP="009A1D3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Return of a laptop illegally taken from plaintiff by the </w:t>
      </w:r>
      <w:r w:rsidR="0046334F">
        <w:rPr>
          <w:rFonts w:ascii="Times New Roman" w:hAnsi="Times New Roman" w:cs="Times New Roman"/>
          <w:sz w:val="24"/>
          <w:szCs w:val="24"/>
        </w:rPr>
        <w:t>applicant.</w:t>
      </w:r>
    </w:p>
    <w:p w14:paraId="3BA79268" w14:textId="5E408979" w:rsidR="0046334F" w:rsidRPr="0046334F" w:rsidRDefault="0046334F" w:rsidP="00463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also claimed interest on the amounts at the prescribed rate from the date of issue of summons to the date of full payment and costs of suit on an attorney and client scale.</w:t>
      </w:r>
    </w:p>
    <w:p w14:paraId="428717C1" w14:textId="234D728E" w:rsidR="00F31A1C" w:rsidRDefault="009A1D39" w:rsidP="004633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6334F">
        <w:rPr>
          <w:rFonts w:ascii="Times New Roman" w:hAnsi="Times New Roman" w:cs="Times New Roman"/>
          <w:sz w:val="24"/>
          <w:szCs w:val="24"/>
        </w:rPr>
        <w:t>n her plea, the defendant denied</w:t>
      </w:r>
      <w:r>
        <w:rPr>
          <w:rFonts w:ascii="Times New Roman" w:hAnsi="Times New Roman" w:cs="Times New Roman"/>
          <w:sz w:val="24"/>
          <w:szCs w:val="24"/>
        </w:rPr>
        <w:t xml:space="preserve"> the </w:t>
      </w:r>
      <w:r w:rsidR="00B437BA">
        <w:rPr>
          <w:rFonts w:ascii="Times New Roman" w:hAnsi="Times New Roman" w:cs="Times New Roman"/>
          <w:sz w:val="24"/>
          <w:szCs w:val="24"/>
        </w:rPr>
        <w:t>claim and</w:t>
      </w:r>
      <w:r w:rsidR="0046334F">
        <w:rPr>
          <w:rFonts w:ascii="Times New Roman" w:hAnsi="Times New Roman" w:cs="Times New Roman"/>
          <w:sz w:val="24"/>
          <w:szCs w:val="24"/>
        </w:rPr>
        <w:t xml:space="preserve"> averred that </w:t>
      </w:r>
      <w:r>
        <w:rPr>
          <w:rFonts w:ascii="Times New Roman" w:hAnsi="Times New Roman" w:cs="Times New Roman"/>
          <w:sz w:val="24"/>
          <w:szCs w:val="24"/>
        </w:rPr>
        <w:t xml:space="preserve">the salary </w:t>
      </w:r>
      <w:r w:rsidR="00463C97">
        <w:rPr>
          <w:rFonts w:ascii="Times New Roman" w:hAnsi="Times New Roman" w:cs="Times New Roman"/>
          <w:sz w:val="24"/>
          <w:szCs w:val="24"/>
        </w:rPr>
        <w:t>increments,</w:t>
      </w:r>
      <w:r>
        <w:rPr>
          <w:rFonts w:ascii="Times New Roman" w:hAnsi="Times New Roman" w:cs="Times New Roman"/>
          <w:sz w:val="24"/>
          <w:szCs w:val="24"/>
        </w:rPr>
        <w:t xml:space="preserve"> and the school </w:t>
      </w:r>
      <w:r w:rsidR="00B437BA">
        <w:rPr>
          <w:rFonts w:ascii="Times New Roman" w:hAnsi="Times New Roman" w:cs="Times New Roman"/>
          <w:sz w:val="24"/>
          <w:szCs w:val="24"/>
        </w:rPr>
        <w:t xml:space="preserve">fees </w:t>
      </w:r>
      <w:r>
        <w:rPr>
          <w:rFonts w:ascii="Times New Roman" w:hAnsi="Times New Roman" w:cs="Times New Roman"/>
          <w:sz w:val="24"/>
          <w:szCs w:val="24"/>
        </w:rPr>
        <w:t>were approved by the plaintiff. Similarly, the</w:t>
      </w:r>
      <w:r w:rsidR="00463C97">
        <w:rPr>
          <w:rFonts w:ascii="Times New Roman" w:hAnsi="Times New Roman" w:cs="Times New Roman"/>
          <w:sz w:val="24"/>
          <w:szCs w:val="24"/>
        </w:rPr>
        <w:t xml:space="preserve"> plaintiff sold the motor</w:t>
      </w:r>
      <w:r>
        <w:rPr>
          <w:rFonts w:ascii="Times New Roman" w:hAnsi="Times New Roman" w:cs="Times New Roman"/>
          <w:sz w:val="24"/>
          <w:szCs w:val="24"/>
        </w:rPr>
        <w:t xml:space="preserve"> vehicle </w:t>
      </w:r>
      <w:r w:rsidR="00463C97">
        <w:rPr>
          <w:rFonts w:ascii="Times New Roman" w:hAnsi="Times New Roman" w:cs="Times New Roman"/>
          <w:sz w:val="24"/>
          <w:szCs w:val="24"/>
        </w:rPr>
        <w:t>to her.</w:t>
      </w:r>
    </w:p>
    <w:p w14:paraId="6812496D" w14:textId="675C7DC9" w:rsidR="00F31A1C" w:rsidRDefault="00F31A1C" w:rsidP="000C7390">
      <w:pPr>
        <w:spacing w:after="0" w:line="360" w:lineRule="auto"/>
        <w:ind w:firstLine="142"/>
        <w:jc w:val="both"/>
        <w:rPr>
          <w:rFonts w:ascii="Times New Roman" w:hAnsi="Times New Roman" w:cs="Times New Roman"/>
          <w:sz w:val="24"/>
          <w:szCs w:val="24"/>
        </w:rPr>
      </w:pPr>
      <w:r>
        <w:rPr>
          <w:rFonts w:ascii="Times New Roman" w:hAnsi="Times New Roman" w:cs="Times New Roman"/>
          <w:sz w:val="24"/>
          <w:szCs w:val="24"/>
        </w:rPr>
        <w:t>At the pre - trial conference the following issues were referred to trial,</w:t>
      </w:r>
    </w:p>
    <w:p w14:paraId="5366FB87" w14:textId="45BF5920" w:rsidR="00F31A1C" w:rsidRDefault="00F31A1C" w:rsidP="00F31A1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he defendant returned the laptop upon demand</w:t>
      </w:r>
      <w:r w:rsidR="00661728">
        <w:rPr>
          <w:rFonts w:ascii="Times New Roman" w:hAnsi="Times New Roman" w:cs="Times New Roman"/>
          <w:sz w:val="24"/>
          <w:szCs w:val="24"/>
        </w:rPr>
        <w:t>?</w:t>
      </w:r>
    </w:p>
    <w:p w14:paraId="62526B13" w14:textId="7D4820CA" w:rsidR="00F31A1C" w:rsidRDefault="00F31A1C" w:rsidP="00F31A1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 wrongfully and illegally sold </w:t>
      </w:r>
      <w:r w:rsidR="00187F9C">
        <w:rPr>
          <w:rFonts w:ascii="Times New Roman" w:hAnsi="Times New Roman" w:cs="Times New Roman"/>
          <w:sz w:val="24"/>
          <w:szCs w:val="24"/>
        </w:rPr>
        <w:t xml:space="preserve">to herself the Chevrolet Captiva motor vehicle? If so, what </w:t>
      </w:r>
      <w:r w:rsidR="00661728">
        <w:rPr>
          <w:rFonts w:ascii="Times New Roman" w:hAnsi="Times New Roman" w:cs="Times New Roman"/>
          <w:sz w:val="24"/>
          <w:szCs w:val="24"/>
        </w:rPr>
        <w:t>is the appropriate remedy?</w:t>
      </w:r>
      <w:r>
        <w:rPr>
          <w:rFonts w:ascii="Times New Roman" w:hAnsi="Times New Roman" w:cs="Times New Roman"/>
          <w:sz w:val="24"/>
          <w:szCs w:val="24"/>
        </w:rPr>
        <w:t xml:space="preserve"> </w:t>
      </w:r>
    </w:p>
    <w:p w14:paraId="4D537BAA" w14:textId="09906E51" w:rsidR="00661728" w:rsidRDefault="00661728" w:rsidP="00F31A1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defendant, in collusion with the Chief Executive Officer, improperly, unlawfully and fraudulently allocated herself salary increments? If so, what is the extent of the financial prejudice to the Plaintiff?</w:t>
      </w:r>
    </w:p>
    <w:p w14:paraId="04E4D67F" w14:textId="70CF1B84" w:rsidR="00661728" w:rsidRDefault="00661728" w:rsidP="00F31A1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encashed her leave days at the incorrect salary rate? If so, what is the extent of the financial prejudice to the plaintiff?</w:t>
      </w:r>
    </w:p>
    <w:p w14:paraId="545F8E17" w14:textId="665D5E6C" w:rsidR="00661728" w:rsidRDefault="00661728" w:rsidP="00F31A1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improperly, unlawfully and illegally acquired or fraudulently claimed school fees allowances from the plaintiff. If so, what is the extent of the financial prejudice to the plaintiff?</w:t>
      </w:r>
    </w:p>
    <w:p w14:paraId="3B9A6F30" w14:textId="13077DAA" w:rsidR="009A1D39" w:rsidRPr="00CC4BF0" w:rsidRDefault="00CC4BF0" w:rsidP="00CC4B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iv.</w:t>
      </w:r>
      <w:r>
        <w:rPr>
          <w:rFonts w:ascii="Times New Roman" w:hAnsi="Times New Roman" w:cs="Times New Roman"/>
          <w:sz w:val="24"/>
          <w:szCs w:val="24"/>
        </w:rPr>
        <w:tab/>
      </w:r>
      <w:r w:rsidR="00661728" w:rsidRPr="00CC4BF0">
        <w:rPr>
          <w:rFonts w:ascii="Times New Roman" w:hAnsi="Times New Roman" w:cs="Times New Roman"/>
          <w:sz w:val="24"/>
          <w:szCs w:val="24"/>
        </w:rPr>
        <w:t>Whether or not the defendant improperly, unlawfully and illegally acquired or fraudulently claimed school fees allow</w:t>
      </w:r>
      <w:r w:rsidR="00073741">
        <w:rPr>
          <w:rFonts w:ascii="Times New Roman" w:hAnsi="Times New Roman" w:cs="Times New Roman"/>
          <w:sz w:val="24"/>
          <w:szCs w:val="24"/>
        </w:rPr>
        <w:t>ances from the plaintiff. If so</w:t>
      </w:r>
      <w:r w:rsidR="00661728" w:rsidRPr="00CC4BF0">
        <w:rPr>
          <w:rFonts w:ascii="Times New Roman" w:hAnsi="Times New Roman" w:cs="Times New Roman"/>
          <w:sz w:val="24"/>
          <w:szCs w:val="24"/>
        </w:rPr>
        <w:t>,</w:t>
      </w:r>
      <w:r w:rsidR="00073741">
        <w:rPr>
          <w:rFonts w:ascii="Times New Roman" w:hAnsi="Times New Roman" w:cs="Times New Roman"/>
          <w:sz w:val="24"/>
          <w:szCs w:val="24"/>
        </w:rPr>
        <w:t xml:space="preserve"> </w:t>
      </w:r>
      <w:r w:rsidR="00661728" w:rsidRPr="00CC4BF0">
        <w:rPr>
          <w:rFonts w:ascii="Times New Roman" w:hAnsi="Times New Roman" w:cs="Times New Roman"/>
          <w:sz w:val="24"/>
          <w:szCs w:val="24"/>
        </w:rPr>
        <w:t>what is the extent of the financial prejudice to the plaintiff?</w:t>
      </w:r>
      <w:r w:rsidR="009A1D39" w:rsidRPr="00CC4BF0">
        <w:rPr>
          <w:rFonts w:ascii="Times New Roman" w:hAnsi="Times New Roman" w:cs="Times New Roman"/>
          <w:sz w:val="24"/>
          <w:szCs w:val="24"/>
        </w:rPr>
        <w:t xml:space="preserve"> </w:t>
      </w:r>
    </w:p>
    <w:p w14:paraId="2EA84939" w14:textId="77777777" w:rsidR="009A1D39" w:rsidRDefault="009A1D39" w:rsidP="009A1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w:t>
      </w:r>
    </w:p>
    <w:p w14:paraId="63E728BB" w14:textId="2735DBAD" w:rsidR="00B437BA" w:rsidRDefault="009A1D39" w:rsidP="009A1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called one witness Trueworth Kapamara</w:t>
      </w:r>
      <w:r w:rsidR="00463C97">
        <w:rPr>
          <w:rFonts w:ascii="Times New Roman" w:hAnsi="Times New Roman" w:cs="Times New Roman"/>
          <w:sz w:val="24"/>
          <w:szCs w:val="24"/>
        </w:rPr>
        <w:t xml:space="preserve"> ‘hereinafter referred to as </w:t>
      </w:r>
      <w:r w:rsidR="0046334F">
        <w:rPr>
          <w:rFonts w:ascii="Times New Roman" w:hAnsi="Times New Roman" w:cs="Times New Roman"/>
          <w:sz w:val="24"/>
          <w:szCs w:val="24"/>
        </w:rPr>
        <w:t xml:space="preserve">Trueworth, the </w:t>
      </w:r>
      <w:r w:rsidR="00E215A0">
        <w:rPr>
          <w:rFonts w:ascii="Times New Roman" w:hAnsi="Times New Roman" w:cs="Times New Roman"/>
          <w:sz w:val="24"/>
          <w:szCs w:val="24"/>
        </w:rPr>
        <w:t>acting</w:t>
      </w:r>
      <w:r>
        <w:rPr>
          <w:rFonts w:ascii="Times New Roman" w:hAnsi="Times New Roman" w:cs="Times New Roman"/>
          <w:sz w:val="24"/>
          <w:szCs w:val="24"/>
        </w:rPr>
        <w:t xml:space="preserve"> Managing </w:t>
      </w:r>
      <w:r w:rsidR="00E215A0">
        <w:rPr>
          <w:rFonts w:ascii="Times New Roman" w:hAnsi="Times New Roman" w:cs="Times New Roman"/>
          <w:sz w:val="24"/>
          <w:szCs w:val="24"/>
        </w:rPr>
        <w:t>Director. His evidence was as follows. The</w:t>
      </w:r>
      <w:r w:rsidR="00F1085A">
        <w:rPr>
          <w:rFonts w:ascii="Times New Roman" w:hAnsi="Times New Roman" w:cs="Times New Roman"/>
          <w:sz w:val="24"/>
          <w:szCs w:val="24"/>
        </w:rPr>
        <w:t xml:space="preserve"> plaintiff is a </w:t>
      </w:r>
      <w:r w:rsidR="00B437BA">
        <w:rPr>
          <w:rFonts w:ascii="Times New Roman" w:hAnsi="Times New Roman" w:cs="Times New Roman"/>
          <w:sz w:val="24"/>
          <w:szCs w:val="24"/>
        </w:rPr>
        <w:t xml:space="preserve">group/ </w:t>
      </w:r>
      <w:r w:rsidR="00F1085A">
        <w:rPr>
          <w:rFonts w:ascii="Times New Roman" w:hAnsi="Times New Roman" w:cs="Times New Roman"/>
          <w:sz w:val="24"/>
          <w:szCs w:val="24"/>
        </w:rPr>
        <w:t xml:space="preserve">holding </w:t>
      </w:r>
      <w:r w:rsidR="00E215A0">
        <w:rPr>
          <w:rFonts w:ascii="Times New Roman" w:hAnsi="Times New Roman" w:cs="Times New Roman"/>
          <w:sz w:val="24"/>
          <w:szCs w:val="24"/>
        </w:rPr>
        <w:t xml:space="preserve">company whose subsidiaries are </w:t>
      </w:r>
      <w:r w:rsidR="00F1085A">
        <w:rPr>
          <w:rFonts w:ascii="Times New Roman" w:hAnsi="Times New Roman" w:cs="Times New Roman"/>
          <w:sz w:val="24"/>
          <w:szCs w:val="24"/>
        </w:rPr>
        <w:t>Heritage Insurance Company ‘HIC’, Heritage Life Ltd ‘HLL’ and Heritage Health Fund ‘HHF’. The plaintiff has no substantive business, but it hire</w:t>
      </w:r>
      <w:r w:rsidR="00E215A0">
        <w:rPr>
          <w:rFonts w:ascii="Times New Roman" w:hAnsi="Times New Roman" w:cs="Times New Roman"/>
          <w:sz w:val="24"/>
          <w:szCs w:val="24"/>
        </w:rPr>
        <w:t>s</w:t>
      </w:r>
      <w:r w:rsidR="00F1085A">
        <w:rPr>
          <w:rFonts w:ascii="Times New Roman" w:hAnsi="Times New Roman" w:cs="Times New Roman"/>
          <w:sz w:val="24"/>
          <w:szCs w:val="24"/>
        </w:rPr>
        <w:t xml:space="preserve"> employees</w:t>
      </w:r>
      <w:r w:rsidR="00F1085A" w:rsidRPr="00F1085A">
        <w:rPr>
          <w:rFonts w:ascii="Times New Roman" w:hAnsi="Times New Roman" w:cs="Times New Roman"/>
          <w:sz w:val="24"/>
          <w:szCs w:val="24"/>
        </w:rPr>
        <w:t xml:space="preserve"> in </w:t>
      </w:r>
      <w:r w:rsidR="00E215A0" w:rsidRPr="00F1085A">
        <w:rPr>
          <w:rFonts w:ascii="Times New Roman" w:hAnsi="Times New Roman" w:cs="Times New Roman"/>
          <w:sz w:val="24"/>
          <w:szCs w:val="24"/>
        </w:rPr>
        <w:t>administration, human</w:t>
      </w:r>
      <w:r w:rsidR="00F1085A" w:rsidRPr="00F1085A">
        <w:rPr>
          <w:rFonts w:ascii="Times New Roman" w:hAnsi="Times New Roman" w:cs="Times New Roman"/>
          <w:sz w:val="24"/>
          <w:szCs w:val="24"/>
        </w:rPr>
        <w:t xml:space="preserve"> </w:t>
      </w:r>
      <w:r w:rsidR="00E215A0">
        <w:rPr>
          <w:rFonts w:ascii="Times New Roman" w:hAnsi="Times New Roman" w:cs="Times New Roman"/>
          <w:sz w:val="24"/>
          <w:szCs w:val="24"/>
        </w:rPr>
        <w:t>r</w:t>
      </w:r>
      <w:r w:rsidR="00F1085A" w:rsidRPr="00F1085A">
        <w:rPr>
          <w:rFonts w:ascii="Times New Roman" w:hAnsi="Times New Roman" w:cs="Times New Roman"/>
          <w:sz w:val="24"/>
          <w:szCs w:val="24"/>
        </w:rPr>
        <w:t xml:space="preserve">esources and </w:t>
      </w:r>
      <w:r w:rsidR="0046334F">
        <w:rPr>
          <w:rFonts w:ascii="Times New Roman" w:hAnsi="Times New Roman" w:cs="Times New Roman"/>
          <w:sz w:val="24"/>
          <w:szCs w:val="24"/>
        </w:rPr>
        <w:t xml:space="preserve">finance. It assigned human resources on a shared basis among its </w:t>
      </w:r>
      <w:r w:rsidR="0046334F" w:rsidRPr="00F1085A">
        <w:rPr>
          <w:rFonts w:ascii="Times New Roman" w:hAnsi="Times New Roman" w:cs="Times New Roman"/>
          <w:sz w:val="24"/>
          <w:szCs w:val="24"/>
        </w:rPr>
        <w:t>subsidiaries</w:t>
      </w:r>
      <w:r w:rsidR="00F1085A">
        <w:rPr>
          <w:rFonts w:ascii="Times New Roman" w:hAnsi="Times New Roman" w:cs="Times New Roman"/>
          <w:sz w:val="24"/>
          <w:szCs w:val="24"/>
        </w:rPr>
        <w:t>. The arrangement was that at any given time</w:t>
      </w:r>
      <w:r w:rsidR="00E215A0">
        <w:rPr>
          <w:rFonts w:ascii="Times New Roman" w:hAnsi="Times New Roman" w:cs="Times New Roman"/>
          <w:sz w:val="24"/>
          <w:szCs w:val="24"/>
        </w:rPr>
        <w:t xml:space="preserve"> the most performing subsidiary would</w:t>
      </w:r>
      <w:r w:rsidR="00F1085A">
        <w:rPr>
          <w:rFonts w:ascii="Times New Roman" w:hAnsi="Times New Roman" w:cs="Times New Roman"/>
          <w:sz w:val="24"/>
          <w:szCs w:val="24"/>
        </w:rPr>
        <w:t xml:space="preserve"> be responsible for the employees</w:t>
      </w:r>
      <w:r w:rsidR="00E215A0">
        <w:rPr>
          <w:rFonts w:ascii="Times New Roman" w:hAnsi="Times New Roman" w:cs="Times New Roman"/>
          <w:sz w:val="24"/>
          <w:szCs w:val="24"/>
        </w:rPr>
        <w:t>’</w:t>
      </w:r>
      <w:r w:rsidR="00F1085A">
        <w:rPr>
          <w:rFonts w:ascii="Times New Roman" w:hAnsi="Times New Roman" w:cs="Times New Roman"/>
          <w:sz w:val="24"/>
          <w:szCs w:val="24"/>
        </w:rPr>
        <w:t xml:space="preserve"> salaries despite the fact of the shared basis </w:t>
      </w:r>
      <w:r w:rsidR="00E215A0">
        <w:rPr>
          <w:rFonts w:ascii="Times New Roman" w:hAnsi="Times New Roman" w:cs="Times New Roman"/>
          <w:sz w:val="24"/>
          <w:szCs w:val="24"/>
        </w:rPr>
        <w:t>work. At the relevant time the employees’ salaries and benefits were paid by HLL.</w:t>
      </w:r>
    </w:p>
    <w:p w14:paraId="090DDFCF" w14:textId="36127ABB" w:rsidR="00B35917" w:rsidRDefault="00B437BA" w:rsidP="009A1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5A0">
        <w:rPr>
          <w:rFonts w:ascii="Times New Roman" w:hAnsi="Times New Roman" w:cs="Times New Roman"/>
          <w:sz w:val="24"/>
          <w:szCs w:val="24"/>
        </w:rPr>
        <w:t>The</w:t>
      </w:r>
      <w:r w:rsidR="009A1D39">
        <w:rPr>
          <w:rFonts w:ascii="Times New Roman" w:hAnsi="Times New Roman" w:cs="Times New Roman"/>
          <w:sz w:val="24"/>
          <w:szCs w:val="24"/>
        </w:rPr>
        <w:t xml:space="preserve"> defendant was employed by the plaintiff as</w:t>
      </w:r>
      <w:r w:rsidR="00F1085A">
        <w:rPr>
          <w:rFonts w:ascii="Times New Roman" w:hAnsi="Times New Roman" w:cs="Times New Roman"/>
          <w:sz w:val="24"/>
          <w:szCs w:val="24"/>
        </w:rPr>
        <w:t xml:space="preserve"> the</w:t>
      </w:r>
      <w:r w:rsidR="009A1D39">
        <w:rPr>
          <w:rFonts w:ascii="Times New Roman" w:hAnsi="Times New Roman" w:cs="Times New Roman"/>
          <w:sz w:val="24"/>
          <w:szCs w:val="24"/>
        </w:rPr>
        <w:t xml:space="preserve"> General </w:t>
      </w:r>
      <w:r w:rsidR="00B35917">
        <w:rPr>
          <w:rFonts w:ascii="Times New Roman" w:hAnsi="Times New Roman" w:cs="Times New Roman"/>
          <w:sz w:val="24"/>
          <w:szCs w:val="24"/>
        </w:rPr>
        <w:t>Manager</w:t>
      </w:r>
      <w:r w:rsidR="009A1D39">
        <w:rPr>
          <w:rFonts w:ascii="Times New Roman" w:hAnsi="Times New Roman" w:cs="Times New Roman"/>
          <w:sz w:val="24"/>
          <w:szCs w:val="24"/>
        </w:rPr>
        <w:t xml:space="preserve"> Finance</w:t>
      </w:r>
      <w:r w:rsidR="00E215A0">
        <w:rPr>
          <w:rFonts w:ascii="Times New Roman" w:hAnsi="Times New Roman" w:cs="Times New Roman"/>
          <w:sz w:val="24"/>
          <w:szCs w:val="24"/>
        </w:rPr>
        <w:t xml:space="preserve"> reporting to the Chief Executive Office</w:t>
      </w:r>
      <w:r w:rsidR="008F225D">
        <w:rPr>
          <w:rFonts w:ascii="Times New Roman" w:hAnsi="Times New Roman" w:cs="Times New Roman"/>
          <w:sz w:val="24"/>
          <w:szCs w:val="24"/>
        </w:rPr>
        <w:t xml:space="preserve">r ‘the </w:t>
      </w:r>
      <w:r w:rsidR="00661728">
        <w:rPr>
          <w:rFonts w:ascii="Times New Roman" w:hAnsi="Times New Roman" w:cs="Times New Roman"/>
          <w:sz w:val="24"/>
          <w:szCs w:val="24"/>
        </w:rPr>
        <w:t xml:space="preserve">CEO’. </w:t>
      </w:r>
      <w:r w:rsidR="00C23AEB">
        <w:rPr>
          <w:rFonts w:ascii="Times New Roman" w:hAnsi="Times New Roman" w:cs="Times New Roman"/>
          <w:sz w:val="24"/>
          <w:szCs w:val="24"/>
        </w:rPr>
        <w:t>The</w:t>
      </w:r>
      <w:r w:rsidR="009A1D39">
        <w:rPr>
          <w:rFonts w:ascii="Times New Roman" w:hAnsi="Times New Roman" w:cs="Times New Roman"/>
          <w:sz w:val="24"/>
          <w:szCs w:val="24"/>
        </w:rPr>
        <w:t xml:space="preserve"> defendant’s contract set out her </w:t>
      </w:r>
      <w:r w:rsidR="00C23AEB">
        <w:rPr>
          <w:rFonts w:ascii="Times New Roman" w:hAnsi="Times New Roman" w:cs="Times New Roman"/>
          <w:sz w:val="24"/>
          <w:szCs w:val="24"/>
        </w:rPr>
        <w:t>benefits. According to the plaintiff’s Human Resources Policy, the defendant’s salaries and benefits could only be reviewed by the plainti</w:t>
      </w:r>
      <w:r w:rsidR="00B35917">
        <w:rPr>
          <w:rFonts w:ascii="Times New Roman" w:hAnsi="Times New Roman" w:cs="Times New Roman"/>
          <w:sz w:val="24"/>
          <w:szCs w:val="24"/>
        </w:rPr>
        <w:t>ff’s</w:t>
      </w:r>
      <w:r w:rsidR="009A1D39">
        <w:rPr>
          <w:rFonts w:ascii="Times New Roman" w:hAnsi="Times New Roman" w:cs="Times New Roman"/>
          <w:sz w:val="24"/>
          <w:szCs w:val="24"/>
        </w:rPr>
        <w:t xml:space="preserve"> </w:t>
      </w:r>
      <w:r w:rsidR="00C23AEB">
        <w:rPr>
          <w:rFonts w:ascii="Times New Roman" w:hAnsi="Times New Roman" w:cs="Times New Roman"/>
          <w:sz w:val="24"/>
          <w:szCs w:val="24"/>
        </w:rPr>
        <w:t>board of directors.</w:t>
      </w:r>
      <w:r w:rsidR="008F225D">
        <w:rPr>
          <w:rFonts w:ascii="Times New Roman" w:hAnsi="Times New Roman" w:cs="Times New Roman"/>
          <w:sz w:val="24"/>
          <w:szCs w:val="24"/>
        </w:rPr>
        <w:t xml:space="preserve"> An internal audit was conducted for the </w:t>
      </w:r>
      <w:r w:rsidR="00C23AEB">
        <w:rPr>
          <w:rFonts w:ascii="Times New Roman" w:hAnsi="Times New Roman" w:cs="Times New Roman"/>
          <w:sz w:val="24"/>
          <w:szCs w:val="24"/>
        </w:rPr>
        <w:t>period January</w:t>
      </w:r>
      <w:r w:rsidR="008F225D">
        <w:rPr>
          <w:rFonts w:ascii="Times New Roman" w:hAnsi="Times New Roman" w:cs="Times New Roman"/>
          <w:sz w:val="24"/>
          <w:szCs w:val="24"/>
        </w:rPr>
        <w:t xml:space="preserve"> </w:t>
      </w:r>
      <w:r w:rsidR="00C23AEB">
        <w:rPr>
          <w:rFonts w:ascii="Times New Roman" w:hAnsi="Times New Roman" w:cs="Times New Roman"/>
          <w:sz w:val="24"/>
          <w:szCs w:val="24"/>
        </w:rPr>
        <w:t>2017 to April</w:t>
      </w:r>
      <w:r w:rsidR="008F225D">
        <w:rPr>
          <w:rFonts w:ascii="Times New Roman" w:hAnsi="Times New Roman" w:cs="Times New Roman"/>
          <w:sz w:val="24"/>
          <w:szCs w:val="24"/>
        </w:rPr>
        <w:t xml:space="preserve"> 2018 which uncovered certain discrepancies that resulted in this claim. The internal audit revealed </w:t>
      </w:r>
      <w:r w:rsidR="00C23AEB">
        <w:rPr>
          <w:rFonts w:ascii="Times New Roman" w:hAnsi="Times New Roman" w:cs="Times New Roman"/>
          <w:sz w:val="24"/>
          <w:szCs w:val="24"/>
        </w:rPr>
        <w:t>that the</w:t>
      </w:r>
      <w:r w:rsidR="008F225D">
        <w:rPr>
          <w:rFonts w:ascii="Times New Roman" w:hAnsi="Times New Roman" w:cs="Times New Roman"/>
          <w:sz w:val="24"/>
          <w:szCs w:val="24"/>
        </w:rPr>
        <w:t xml:space="preserve"> defendant connived with the then CEO and unlawfully awarded herself salary increments</w:t>
      </w:r>
      <w:r w:rsidR="00FA12AF">
        <w:rPr>
          <w:rFonts w:ascii="Times New Roman" w:hAnsi="Times New Roman" w:cs="Times New Roman"/>
          <w:sz w:val="24"/>
          <w:szCs w:val="24"/>
        </w:rPr>
        <w:t xml:space="preserve"> and encashed leave</w:t>
      </w:r>
      <w:r w:rsidR="004B5DED">
        <w:rPr>
          <w:rFonts w:ascii="Times New Roman" w:hAnsi="Times New Roman" w:cs="Times New Roman"/>
          <w:sz w:val="24"/>
          <w:szCs w:val="24"/>
        </w:rPr>
        <w:t xml:space="preserve"> days at the unapproved salary rate. She also awarded herself school</w:t>
      </w:r>
      <w:r w:rsidR="008F225D">
        <w:rPr>
          <w:rFonts w:ascii="Times New Roman" w:hAnsi="Times New Roman" w:cs="Times New Roman"/>
          <w:sz w:val="24"/>
          <w:szCs w:val="24"/>
        </w:rPr>
        <w:t xml:space="preserve"> fees </w:t>
      </w:r>
      <w:r w:rsidR="00077C42">
        <w:rPr>
          <w:rFonts w:ascii="Times New Roman" w:hAnsi="Times New Roman" w:cs="Times New Roman"/>
          <w:sz w:val="24"/>
          <w:szCs w:val="24"/>
        </w:rPr>
        <w:t>allowances</w:t>
      </w:r>
      <w:r w:rsidR="004B5DED">
        <w:rPr>
          <w:rFonts w:ascii="Times New Roman" w:hAnsi="Times New Roman" w:cs="Times New Roman"/>
          <w:sz w:val="24"/>
          <w:szCs w:val="24"/>
        </w:rPr>
        <w:t xml:space="preserve"> as claimed. She was not entitled to a school fees benefit in terms of her </w:t>
      </w:r>
      <w:r>
        <w:rPr>
          <w:rFonts w:ascii="Times New Roman" w:hAnsi="Times New Roman" w:cs="Times New Roman"/>
          <w:sz w:val="24"/>
          <w:szCs w:val="24"/>
        </w:rPr>
        <w:t xml:space="preserve">contract. </w:t>
      </w:r>
      <w:r w:rsidR="00077C42">
        <w:rPr>
          <w:rFonts w:ascii="Times New Roman" w:hAnsi="Times New Roman" w:cs="Times New Roman"/>
          <w:sz w:val="24"/>
          <w:szCs w:val="24"/>
        </w:rPr>
        <w:t>No board approval was sought and granted for such payments. She</w:t>
      </w:r>
      <w:r w:rsidR="00C23AEB">
        <w:rPr>
          <w:rFonts w:ascii="Times New Roman" w:hAnsi="Times New Roman" w:cs="Times New Roman"/>
          <w:sz w:val="24"/>
          <w:szCs w:val="24"/>
        </w:rPr>
        <w:t xml:space="preserve"> also unlawfully used her position and illegally sold herself the motor </w:t>
      </w:r>
      <w:r w:rsidR="00077C42">
        <w:rPr>
          <w:rFonts w:ascii="Times New Roman" w:hAnsi="Times New Roman" w:cs="Times New Roman"/>
          <w:sz w:val="24"/>
          <w:szCs w:val="24"/>
        </w:rPr>
        <w:t xml:space="preserve">vehicle. The plaintiff’s bundle of documents </w:t>
      </w:r>
      <w:r w:rsidR="00F31A1C">
        <w:rPr>
          <w:rFonts w:ascii="Times New Roman" w:hAnsi="Times New Roman" w:cs="Times New Roman"/>
          <w:sz w:val="24"/>
          <w:szCs w:val="24"/>
        </w:rPr>
        <w:t>was</w:t>
      </w:r>
      <w:r w:rsidR="00077C42">
        <w:rPr>
          <w:rFonts w:ascii="Times New Roman" w:hAnsi="Times New Roman" w:cs="Times New Roman"/>
          <w:sz w:val="24"/>
          <w:szCs w:val="24"/>
        </w:rPr>
        <w:t xml:space="preserve"> accepted into evidence through the witness.</w:t>
      </w:r>
      <w:r w:rsidR="008F225D">
        <w:rPr>
          <w:rFonts w:ascii="Times New Roman" w:hAnsi="Times New Roman" w:cs="Times New Roman"/>
          <w:sz w:val="24"/>
          <w:szCs w:val="24"/>
        </w:rPr>
        <w:t xml:space="preserve">  </w:t>
      </w:r>
      <w:r w:rsidR="009A1D39">
        <w:rPr>
          <w:rFonts w:ascii="Times New Roman" w:hAnsi="Times New Roman" w:cs="Times New Roman"/>
          <w:sz w:val="24"/>
          <w:szCs w:val="24"/>
        </w:rPr>
        <w:t xml:space="preserve"> </w:t>
      </w:r>
    </w:p>
    <w:p w14:paraId="17388B16" w14:textId="7585ECBE" w:rsidR="00F31A1C" w:rsidRPr="00AC3F84" w:rsidRDefault="00B35917" w:rsidP="009A1D3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077C42">
        <w:rPr>
          <w:rFonts w:ascii="Times New Roman" w:hAnsi="Times New Roman" w:cs="Times New Roman"/>
          <w:sz w:val="24"/>
          <w:szCs w:val="24"/>
        </w:rPr>
        <w:t>Under</w:t>
      </w:r>
      <w:r w:rsidR="00FA12E6">
        <w:rPr>
          <w:rFonts w:ascii="Times New Roman" w:hAnsi="Times New Roman" w:cs="Times New Roman"/>
          <w:sz w:val="24"/>
          <w:szCs w:val="24"/>
        </w:rPr>
        <w:t xml:space="preserve"> cross examination Trueworth seemed to recant his evidence in chief .He conceded that the defendant did not sell the motor vehicle to herself </w:t>
      </w:r>
      <w:r w:rsidR="00AC3F84">
        <w:rPr>
          <w:rFonts w:ascii="Times New Roman" w:hAnsi="Times New Roman" w:cs="Times New Roman"/>
          <w:sz w:val="24"/>
          <w:szCs w:val="24"/>
        </w:rPr>
        <w:t xml:space="preserve">neither did she award </w:t>
      </w:r>
      <w:r w:rsidR="00AC3F84">
        <w:rPr>
          <w:rFonts w:ascii="Times New Roman" w:hAnsi="Times New Roman" w:cs="Times New Roman"/>
          <w:sz w:val="24"/>
          <w:szCs w:val="24"/>
        </w:rPr>
        <w:lastRenderedPageBreak/>
        <w:t xml:space="preserve">herself the salary increment nor </w:t>
      </w:r>
      <w:r w:rsidR="00FA12E6">
        <w:rPr>
          <w:rFonts w:ascii="Times New Roman" w:hAnsi="Times New Roman" w:cs="Times New Roman"/>
          <w:sz w:val="24"/>
          <w:szCs w:val="24"/>
        </w:rPr>
        <w:t>the school fees allowances.</w:t>
      </w:r>
      <w:r w:rsidR="00AC3F84">
        <w:rPr>
          <w:rFonts w:ascii="Times New Roman" w:hAnsi="Times New Roman" w:cs="Times New Roman"/>
          <w:sz w:val="24"/>
          <w:szCs w:val="24"/>
        </w:rPr>
        <w:t xml:space="preserve"> It is in the re-examination that he explained that the import of the term that the defendant awarded herself the salary increments and sold the car to herself is that she was involved in the processes and indirectly influenced them to the plaintiff’s prejudice.</w:t>
      </w:r>
      <w:r w:rsidR="00FA12E6">
        <w:rPr>
          <w:rFonts w:ascii="Times New Roman" w:hAnsi="Times New Roman" w:cs="Times New Roman"/>
          <w:sz w:val="24"/>
          <w:szCs w:val="24"/>
        </w:rPr>
        <w:t xml:space="preserve"> </w:t>
      </w:r>
    </w:p>
    <w:p w14:paraId="04E6F3C9" w14:textId="77777777" w:rsidR="00EB293B" w:rsidRDefault="004B5DED" w:rsidP="00D15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salary increments a point was made that the salary increments were approved by the HLL board which subsidiary was responsible for the defendant’s salary and benefits. In addition the HLL board had approved the school fees allowances.</w:t>
      </w:r>
      <w:r w:rsidR="00B35917">
        <w:rPr>
          <w:rFonts w:ascii="Times New Roman" w:hAnsi="Times New Roman" w:cs="Times New Roman"/>
          <w:sz w:val="24"/>
          <w:szCs w:val="24"/>
        </w:rPr>
        <w:t xml:space="preserve"> </w:t>
      </w:r>
      <w:r>
        <w:rPr>
          <w:rFonts w:ascii="Times New Roman" w:hAnsi="Times New Roman" w:cs="Times New Roman"/>
          <w:sz w:val="24"/>
          <w:szCs w:val="24"/>
        </w:rPr>
        <w:t xml:space="preserve">Trueworth insisted that the defendant being an employee of the plaintiff her salary and benefits were supposed to be approved by the plaintiff’s </w:t>
      </w:r>
      <w:r w:rsidR="00B35C93">
        <w:rPr>
          <w:rFonts w:ascii="Times New Roman" w:hAnsi="Times New Roman" w:cs="Times New Roman"/>
          <w:sz w:val="24"/>
          <w:szCs w:val="24"/>
        </w:rPr>
        <w:t>board. The HLL board was supposed to recommend to the p</w:t>
      </w:r>
      <w:r w:rsidR="00EB293B">
        <w:rPr>
          <w:rFonts w:ascii="Times New Roman" w:hAnsi="Times New Roman" w:cs="Times New Roman"/>
          <w:sz w:val="24"/>
          <w:szCs w:val="24"/>
        </w:rPr>
        <w:t>laintiff board for approval. The CEO and the defendant were responsible for the administrative processes for making such recommendations. They did not seek such approval but proceeded to effect the salary and benefits adjustments.</w:t>
      </w:r>
      <w:r>
        <w:rPr>
          <w:rFonts w:ascii="Times New Roman" w:hAnsi="Times New Roman" w:cs="Times New Roman"/>
          <w:sz w:val="24"/>
          <w:szCs w:val="24"/>
        </w:rPr>
        <w:t xml:space="preserve"> The defendant’s benefits were approved by the CEO</w:t>
      </w:r>
      <w:r w:rsidR="00D1512D">
        <w:rPr>
          <w:rFonts w:ascii="Times New Roman" w:hAnsi="Times New Roman" w:cs="Times New Roman"/>
          <w:sz w:val="24"/>
          <w:szCs w:val="24"/>
        </w:rPr>
        <w:t xml:space="preserve"> who had no authority to approve such increments. The two </w:t>
      </w:r>
      <w:r w:rsidR="00EB293B">
        <w:rPr>
          <w:rFonts w:ascii="Times New Roman" w:hAnsi="Times New Roman" w:cs="Times New Roman"/>
          <w:sz w:val="24"/>
          <w:szCs w:val="24"/>
        </w:rPr>
        <w:t>connived to illegally award the defendant the benefits.</w:t>
      </w:r>
    </w:p>
    <w:p w14:paraId="3C86DCBF" w14:textId="394CC017" w:rsidR="00D1512D" w:rsidRDefault="004B5DED" w:rsidP="00D15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was asked if the plaintiff was the proper </w:t>
      </w:r>
      <w:r w:rsidR="00B437BA">
        <w:rPr>
          <w:rFonts w:ascii="Times New Roman" w:hAnsi="Times New Roman" w:cs="Times New Roman"/>
          <w:sz w:val="24"/>
          <w:szCs w:val="24"/>
        </w:rPr>
        <w:t>claimant</w:t>
      </w:r>
      <w:r>
        <w:rPr>
          <w:rFonts w:ascii="Times New Roman" w:hAnsi="Times New Roman" w:cs="Times New Roman"/>
          <w:sz w:val="24"/>
          <w:szCs w:val="24"/>
        </w:rPr>
        <w:t xml:space="preserve"> in the circumstances where the salaries and benefits were drawn from HLL </w:t>
      </w:r>
      <w:r w:rsidR="00B437BA">
        <w:rPr>
          <w:rFonts w:ascii="Times New Roman" w:hAnsi="Times New Roman" w:cs="Times New Roman"/>
          <w:sz w:val="24"/>
          <w:szCs w:val="24"/>
        </w:rPr>
        <w:t>a company separate from it.</w:t>
      </w:r>
      <w:r>
        <w:rPr>
          <w:rFonts w:ascii="Times New Roman" w:hAnsi="Times New Roman" w:cs="Times New Roman"/>
          <w:sz w:val="24"/>
          <w:szCs w:val="24"/>
        </w:rPr>
        <w:t xml:space="preserve"> He</w:t>
      </w:r>
      <w:r w:rsidR="00D1512D">
        <w:rPr>
          <w:rFonts w:ascii="Times New Roman" w:hAnsi="Times New Roman" w:cs="Times New Roman"/>
          <w:sz w:val="24"/>
          <w:szCs w:val="24"/>
        </w:rPr>
        <w:t xml:space="preserve"> insisted that the plaintiff was the proper </w:t>
      </w:r>
      <w:r w:rsidR="00B437BA">
        <w:rPr>
          <w:rFonts w:ascii="Times New Roman" w:hAnsi="Times New Roman" w:cs="Times New Roman"/>
          <w:sz w:val="24"/>
          <w:szCs w:val="24"/>
        </w:rPr>
        <w:t>claimant</w:t>
      </w:r>
      <w:r w:rsidR="00D1512D">
        <w:rPr>
          <w:rFonts w:ascii="Times New Roman" w:hAnsi="Times New Roman" w:cs="Times New Roman"/>
          <w:sz w:val="24"/>
          <w:szCs w:val="24"/>
        </w:rPr>
        <w:t xml:space="preserve"> as the holding company. The plaintiff lost revenue that was supposed to be remitted to the plaintiff as a result of the defendant’s conduct.</w:t>
      </w:r>
    </w:p>
    <w:p w14:paraId="744FC257" w14:textId="5C868FFB" w:rsidR="00B35917" w:rsidRDefault="00EB293B" w:rsidP="00D15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denied the</w:t>
      </w:r>
      <w:r w:rsidR="00D1512D">
        <w:rPr>
          <w:rFonts w:ascii="Times New Roman" w:hAnsi="Times New Roman" w:cs="Times New Roman"/>
          <w:sz w:val="24"/>
          <w:szCs w:val="24"/>
        </w:rPr>
        <w:t xml:space="preserve"> numerous allegations </w:t>
      </w:r>
      <w:r>
        <w:rPr>
          <w:rFonts w:ascii="Times New Roman" w:hAnsi="Times New Roman" w:cs="Times New Roman"/>
          <w:sz w:val="24"/>
          <w:szCs w:val="24"/>
        </w:rPr>
        <w:t xml:space="preserve">pertaining to </w:t>
      </w:r>
      <w:r w:rsidR="007253A6">
        <w:rPr>
          <w:rFonts w:ascii="Times New Roman" w:hAnsi="Times New Roman" w:cs="Times New Roman"/>
          <w:sz w:val="24"/>
          <w:szCs w:val="24"/>
        </w:rPr>
        <w:t>the plaintiff’s</w:t>
      </w:r>
      <w:r w:rsidR="00D1512D">
        <w:rPr>
          <w:rFonts w:ascii="Times New Roman" w:hAnsi="Times New Roman" w:cs="Times New Roman"/>
          <w:sz w:val="24"/>
          <w:szCs w:val="24"/>
        </w:rPr>
        <w:t xml:space="preserve"> cheque</w:t>
      </w:r>
      <w:r>
        <w:rPr>
          <w:rFonts w:ascii="Times New Roman" w:hAnsi="Times New Roman" w:cs="Times New Roman"/>
          <w:sz w:val="24"/>
          <w:szCs w:val="24"/>
        </w:rPr>
        <w:t xml:space="preserve">red corporate governance system. Without committing as to whether the plaintiff had </w:t>
      </w:r>
      <w:r w:rsidR="007253A6">
        <w:rPr>
          <w:rFonts w:ascii="Times New Roman" w:hAnsi="Times New Roman" w:cs="Times New Roman"/>
          <w:sz w:val="24"/>
          <w:szCs w:val="24"/>
        </w:rPr>
        <w:t>a substantive</w:t>
      </w:r>
      <w:r>
        <w:rPr>
          <w:rFonts w:ascii="Times New Roman" w:hAnsi="Times New Roman" w:cs="Times New Roman"/>
          <w:sz w:val="24"/>
          <w:szCs w:val="24"/>
        </w:rPr>
        <w:t xml:space="preserve"> board of directors the witness said the plaintiff’s board did not sit at any given time during the relevant period.</w:t>
      </w:r>
      <w:r w:rsidR="00D1512D">
        <w:rPr>
          <w:rFonts w:ascii="Times New Roman" w:hAnsi="Times New Roman" w:cs="Times New Roman"/>
          <w:sz w:val="24"/>
          <w:szCs w:val="24"/>
        </w:rPr>
        <w:t xml:space="preserve"> He also conceded that other subsidiaries were non performing entities and had legal challenges.</w:t>
      </w:r>
      <w:r w:rsidR="004B5DED">
        <w:rPr>
          <w:rFonts w:ascii="Times New Roman" w:hAnsi="Times New Roman" w:cs="Times New Roman"/>
          <w:sz w:val="24"/>
          <w:szCs w:val="24"/>
        </w:rPr>
        <w:t xml:space="preserve"> </w:t>
      </w:r>
    </w:p>
    <w:p w14:paraId="32DF8203" w14:textId="77777777" w:rsidR="00B35917" w:rsidRDefault="00B35917" w:rsidP="009A1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Defendant’s case.</w:t>
      </w:r>
    </w:p>
    <w:p w14:paraId="438B710D" w14:textId="11A6FC85" w:rsidR="009A1D39" w:rsidRDefault="00B35917" w:rsidP="009A1D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gave evidence. She averred that the plaintiff is not a holding company </w:t>
      </w:r>
      <w:r w:rsidR="00B35C93">
        <w:rPr>
          <w:rFonts w:ascii="Times New Roman" w:hAnsi="Times New Roman" w:cs="Times New Roman"/>
          <w:sz w:val="24"/>
          <w:szCs w:val="24"/>
        </w:rPr>
        <w:t xml:space="preserve">it remained </w:t>
      </w:r>
      <w:r>
        <w:rPr>
          <w:rFonts w:ascii="Times New Roman" w:hAnsi="Times New Roman" w:cs="Times New Roman"/>
          <w:sz w:val="24"/>
          <w:szCs w:val="24"/>
        </w:rPr>
        <w:t xml:space="preserve">an idea. The plaintiff and its alleged subsidiaries were separate and </w:t>
      </w:r>
      <w:r w:rsidR="00CC4BF0">
        <w:rPr>
          <w:rFonts w:ascii="Times New Roman" w:hAnsi="Times New Roman" w:cs="Times New Roman"/>
          <w:sz w:val="24"/>
          <w:szCs w:val="24"/>
        </w:rPr>
        <w:t>distinct companies.</w:t>
      </w:r>
      <w:r>
        <w:rPr>
          <w:rFonts w:ascii="Times New Roman" w:hAnsi="Times New Roman" w:cs="Times New Roman"/>
          <w:sz w:val="24"/>
          <w:szCs w:val="24"/>
        </w:rPr>
        <w:t xml:space="preserve"> The shareholders were different. Most significantly, the plaintiff held no shares in HLL.</w:t>
      </w:r>
      <w:r w:rsidR="00B76054">
        <w:rPr>
          <w:rFonts w:ascii="Times New Roman" w:hAnsi="Times New Roman" w:cs="Times New Roman"/>
          <w:sz w:val="24"/>
          <w:szCs w:val="24"/>
        </w:rPr>
        <w:t xml:space="preserve"> </w:t>
      </w:r>
      <w:r w:rsidR="00AC3F84">
        <w:rPr>
          <w:rFonts w:ascii="Times New Roman" w:hAnsi="Times New Roman" w:cs="Times New Roman"/>
          <w:sz w:val="24"/>
          <w:szCs w:val="24"/>
        </w:rPr>
        <w:t xml:space="preserve">The plaintiff had no </w:t>
      </w:r>
      <w:r w:rsidR="00B76054">
        <w:rPr>
          <w:rFonts w:ascii="Times New Roman" w:hAnsi="Times New Roman" w:cs="Times New Roman"/>
          <w:sz w:val="24"/>
          <w:szCs w:val="24"/>
        </w:rPr>
        <w:t>structures, no</w:t>
      </w:r>
      <w:r w:rsidR="00AC3F84">
        <w:rPr>
          <w:rFonts w:ascii="Times New Roman" w:hAnsi="Times New Roman" w:cs="Times New Roman"/>
          <w:sz w:val="24"/>
          <w:szCs w:val="24"/>
        </w:rPr>
        <w:t xml:space="preserve"> </w:t>
      </w:r>
      <w:r w:rsidR="00B76054">
        <w:rPr>
          <w:rFonts w:ascii="Times New Roman" w:hAnsi="Times New Roman" w:cs="Times New Roman"/>
          <w:sz w:val="24"/>
          <w:szCs w:val="24"/>
        </w:rPr>
        <w:t>assets,</w:t>
      </w:r>
      <w:r w:rsidR="00AC3F84">
        <w:rPr>
          <w:rFonts w:ascii="Times New Roman" w:hAnsi="Times New Roman" w:cs="Times New Roman"/>
          <w:sz w:val="24"/>
          <w:szCs w:val="24"/>
        </w:rPr>
        <w:t xml:space="preserve"> no liabilities</w:t>
      </w:r>
      <w:r w:rsidR="00B76054">
        <w:rPr>
          <w:rFonts w:ascii="Times New Roman" w:hAnsi="Times New Roman" w:cs="Times New Roman"/>
          <w:sz w:val="24"/>
          <w:szCs w:val="24"/>
        </w:rPr>
        <w:t>,</w:t>
      </w:r>
      <w:r w:rsidR="00AC3F84">
        <w:rPr>
          <w:rFonts w:ascii="Times New Roman" w:hAnsi="Times New Roman" w:cs="Times New Roman"/>
          <w:sz w:val="24"/>
          <w:szCs w:val="24"/>
        </w:rPr>
        <w:t xml:space="preserve"> no bank account</w:t>
      </w:r>
      <w:r w:rsidR="00B76054">
        <w:rPr>
          <w:rFonts w:ascii="Times New Roman" w:hAnsi="Times New Roman" w:cs="Times New Roman"/>
          <w:sz w:val="24"/>
          <w:szCs w:val="24"/>
        </w:rPr>
        <w:t xml:space="preserve"> and no board of directors. There was no approval from ZIMRA for the plaintiff to be registered as a group. Even</w:t>
      </w:r>
      <w:r w:rsidR="00AC3F84">
        <w:rPr>
          <w:rFonts w:ascii="Times New Roman" w:hAnsi="Times New Roman" w:cs="Times New Roman"/>
          <w:sz w:val="24"/>
          <w:szCs w:val="24"/>
        </w:rPr>
        <w:t xml:space="preserve"> if her employment contract was with the </w:t>
      </w:r>
      <w:r w:rsidR="00B76054">
        <w:rPr>
          <w:rFonts w:ascii="Times New Roman" w:hAnsi="Times New Roman" w:cs="Times New Roman"/>
          <w:sz w:val="24"/>
          <w:szCs w:val="24"/>
        </w:rPr>
        <w:t>plaintiff,</w:t>
      </w:r>
      <w:r>
        <w:rPr>
          <w:rFonts w:ascii="Times New Roman" w:hAnsi="Times New Roman" w:cs="Times New Roman"/>
          <w:sz w:val="24"/>
          <w:szCs w:val="24"/>
        </w:rPr>
        <w:t xml:space="preserve"> her salary and benefits were paid by HLL in the discharge of her duties</w:t>
      </w:r>
      <w:r w:rsidR="00B35C93">
        <w:rPr>
          <w:rFonts w:ascii="Times New Roman" w:hAnsi="Times New Roman" w:cs="Times New Roman"/>
          <w:sz w:val="24"/>
          <w:szCs w:val="24"/>
        </w:rPr>
        <w:t xml:space="preserve"> .S</w:t>
      </w:r>
      <w:r>
        <w:rPr>
          <w:rFonts w:ascii="Times New Roman" w:hAnsi="Times New Roman" w:cs="Times New Roman"/>
          <w:sz w:val="24"/>
          <w:szCs w:val="24"/>
        </w:rPr>
        <w:t>he did finances for all the subsidiaries. The HLL board properly auth</w:t>
      </w:r>
      <w:r w:rsidR="007253A6">
        <w:rPr>
          <w:rFonts w:ascii="Times New Roman" w:hAnsi="Times New Roman" w:cs="Times New Roman"/>
          <w:sz w:val="24"/>
          <w:szCs w:val="24"/>
        </w:rPr>
        <w:t>orized the salary increment,</w:t>
      </w:r>
      <w:r>
        <w:rPr>
          <w:rFonts w:ascii="Times New Roman" w:hAnsi="Times New Roman" w:cs="Times New Roman"/>
          <w:sz w:val="24"/>
          <w:szCs w:val="24"/>
        </w:rPr>
        <w:t xml:space="preserve"> the school fees allowances and the sale of the motor vehicle. A</w:t>
      </w:r>
      <w:r w:rsidR="00B35C93">
        <w:rPr>
          <w:rFonts w:ascii="Times New Roman" w:hAnsi="Times New Roman" w:cs="Times New Roman"/>
          <w:sz w:val="24"/>
          <w:szCs w:val="24"/>
        </w:rPr>
        <w:t>t a</w:t>
      </w:r>
      <w:r>
        <w:rPr>
          <w:rFonts w:ascii="Times New Roman" w:hAnsi="Times New Roman" w:cs="Times New Roman"/>
          <w:sz w:val="24"/>
          <w:szCs w:val="24"/>
        </w:rPr>
        <w:t xml:space="preserve">ll times the CEO would communicate with her on the </w:t>
      </w:r>
      <w:r w:rsidR="007253A6">
        <w:rPr>
          <w:rFonts w:ascii="Times New Roman" w:hAnsi="Times New Roman" w:cs="Times New Roman"/>
          <w:sz w:val="24"/>
          <w:szCs w:val="24"/>
        </w:rPr>
        <w:t xml:space="preserve">adjustments. At no time did </w:t>
      </w:r>
      <w:r w:rsidR="007253A6">
        <w:rPr>
          <w:rFonts w:ascii="Times New Roman" w:hAnsi="Times New Roman" w:cs="Times New Roman"/>
          <w:sz w:val="24"/>
          <w:szCs w:val="24"/>
        </w:rPr>
        <w:lastRenderedPageBreak/>
        <w:t>she award herself any benefit. Although</w:t>
      </w:r>
      <w:r w:rsidR="00B35C93">
        <w:rPr>
          <w:rFonts w:ascii="Times New Roman" w:hAnsi="Times New Roman" w:cs="Times New Roman"/>
          <w:sz w:val="24"/>
          <w:szCs w:val="24"/>
        </w:rPr>
        <w:t xml:space="preserve"> the Human Resources Policy existed it was not fully implemented since the plaintiff had not legally become a holding company. There were outstanding legal requirements to be met before it became as such.</w:t>
      </w:r>
      <w:r>
        <w:rPr>
          <w:rFonts w:ascii="Times New Roman" w:hAnsi="Times New Roman" w:cs="Times New Roman"/>
          <w:sz w:val="24"/>
          <w:szCs w:val="24"/>
        </w:rPr>
        <w:t xml:space="preserve"> </w:t>
      </w:r>
      <w:r w:rsidR="00B35C93">
        <w:rPr>
          <w:rFonts w:ascii="Times New Roman" w:hAnsi="Times New Roman" w:cs="Times New Roman"/>
          <w:sz w:val="24"/>
          <w:szCs w:val="24"/>
        </w:rPr>
        <w:t xml:space="preserve">She denied conniving with the CEO </w:t>
      </w:r>
      <w:r w:rsidR="00EC2E5B">
        <w:rPr>
          <w:rFonts w:ascii="Times New Roman" w:hAnsi="Times New Roman" w:cs="Times New Roman"/>
          <w:sz w:val="24"/>
          <w:szCs w:val="24"/>
        </w:rPr>
        <w:t>for</w:t>
      </w:r>
      <w:r w:rsidR="00B35C93">
        <w:rPr>
          <w:rFonts w:ascii="Times New Roman" w:hAnsi="Times New Roman" w:cs="Times New Roman"/>
          <w:sz w:val="24"/>
          <w:szCs w:val="24"/>
        </w:rPr>
        <w:t xml:space="preserve"> the awards as </w:t>
      </w:r>
      <w:r w:rsidR="00EC2E5B">
        <w:rPr>
          <w:rFonts w:ascii="Times New Roman" w:hAnsi="Times New Roman" w:cs="Times New Roman"/>
          <w:sz w:val="24"/>
          <w:szCs w:val="24"/>
        </w:rPr>
        <w:t>alleged. Further to that, she indicated that</w:t>
      </w:r>
      <w:r w:rsidR="00B35C93">
        <w:rPr>
          <w:rFonts w:ascii="Times New Roman" w:hAnsi="Times New Roman" w:cs="Times New Roman"/>
          <w:sz w:val="24"/>
          <w:szCs w:val="24"/>
        </w:rPr>
        <w:t xml:space="preserve"> the HLL remuneration committee (Remco) at all times met</w:t>
      </w:r>
      <w:r w:rsidR="007253A6">
        <w:rPr>
          <w:rFonts w:ascii="Times New Roman" w:hAnsi="Times New Roman" w:cs="Times New Roman"/>
          <w:sz w:val="24"/>
          <w:szCs w:val="24"/>
        </w:rPr>
        <w:t>,</w:t>
      </w:r>
      <w:r w:rsidR="00B35C93">
        <w:rPr>
          <w:rFonts w:ascii="Times New Roman" w:hAnsi="Times New Roman" w:cs="Times New Roman"/>
          <w:sz w:val="24"/>
          <w:szCs w:val="24"/>
        </w:rPr>
        <w:t xml:space="preserve"> considered the issues and made recommendations for the payments. The CEO only advise</w:t>
      </w:r>
      <w:r w:rsidR="00EC2E5B">
        <w:rPr>
          <w:rFonts w:ascii="Times New Roman" w:hAnsi="Times New Roman" w:cs="Times New Roman"/>
          <w:sz w:val="24"/>
          <w:szCs w:val="24"/>
        </w:rPr>
        <w:t>d</w:t>
      </w:r>
      <w:r w:rsidR="00B35C93">
        <w:rPr>
          <w:rFonts w:ascii="Times New Roman" w:hAnsi="Times New Roman" w:cs="Times New Roman"/>
          <w:sz w:val="24"/>
          <w:szCs w:val="24"/>
        </w:rPr>
        <w:t xml:space="preserve"> her after such meetings. In respect of the allegations that she and the CEO influenced </w:t>
      </w:r>
      <w:r w:rsidR="00EC2E5B">
        <w:rPr>
          <w:rFonts w:ascii="Times New Roman" w:hAnsi="Times New Roman" w:cs="Times New Roman"/>
          <w:sz w:val="24"/>
          <w:szCs w:val="24"/>
        </w:rPr>
        <w:t>proceedings in the Remco as they were the majority she pointed out that the issues were fully considered and other members were not prevailed upon. She denied conniving with the CEO. She referred the court to her correspondences to the CEO and other board members in which she complained and pointed some of the misdemeanours taking place in the subsidiaries fronted by the chairperson and at times with the CEO.</w:t>
      </w:r>
      <w:r w:rsidR="00FA12E6">
        <w:rPr>
          <w:rFonts w:ascii="Times New Roman" w:hAnsi="Times New Roman" w:cs="Times New Roman"/>
          <w:sz w:val="24"/>
          <w:szCs w:val="24"/>
        </w:rPr>
        <w:t xml:space="preserve"> </w:t>
      </w:r>
      <w:r w:rsidR="00EC2E5B">
        <w:rPr>
          <w:rFonts w:ascii="Times New Roman" w:hAnsi="Times New Roman" w:cs="Times New Roman"/>
          <w:sz w:val="24"/>
          <w:szCs w:val="24"/>
        </w:rPr>
        <w:t xml:space="preserve">When she raised the corporate governance issues and all the corporate machinations she was victimised and the working </w:t>
      </w:r>
      <w:r w:rsidR="00FA12E6">
        <w:rPr>
          <w:rFonts w:ascii="Times New Roman" w:hAnsi="Times New Roman" w:cs="Times New Roman"/>
          <w:sz w:val="24"/>
          <w:szCs w:val="24"/>
        </w:rPr>
        <w:t>conditions</w:t>
      </w:r>
      <w:r w:rsidR="00EC2E5B">
        <w:rPr>
          <w:rFonts w:ascii="Times New Roman" w:hAnsi="Times New Roman" w:cs="Times New Roman"/>
          <w:sz w:val="24"/>
          <w:szCs w:val="24"/>
        </w:rPr>
        <w:t xml:space="preserve"> became unbearable. Eventually she resigned. This claim is the epitom</w:t>
      </w:r>
      <w:r w:rsidR="007253A6">
        <w:rPr>
          <w:rFonts w:ascii="Times New Roman" w:hAnsi="Times New Roman" w:cs="Times New Roman"/>
          <w:sz w:val="24"/>
          <w:szCs w:val="24"/>
        </w:rPr>
        <w:t xml:space="preserve">e of the </w:t>
      </w:r>
      <w:r w:rsidR="001F5B1B">
        <w:rPr>
          <w:rFonts w:ascii="Times New Roman" w:hAnsi="Times New Roman" w:cs="Times New Roman"/>
          <w:sz w:val="24"/>
          <w:szCs w:val="24"/>
        </w:rPr>
        <w:t>victimisation.</w:t>
      </w:r>
    </w:p>
    <w:p w14:paraId="70C0157D" w14:textId="2A9D6805" w:rsidR="001666B1" w:rsidRDefault="004F646A" w:rsidP="00166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she made concessions that </w:t>
      </w:r>
      <w:r w:rsidR="00B40EB2">
        <w:rPr>
          <w:rFonts w:ascii="Times New Roman" w:hAnsi="Times New Roman" w:cs="Times New Roman"/>
          <w:sz w:val="24"/>
          <w:szCs w:val="24"/>
        </w:rPr>
        <w:t xml:space="preserve">it is the contract of employment with the plaintiff that gave rise to her performing duties within the subsidiaries, so this was a shared services </w:t>
      </w:r>
      <w:r w:rsidR="00D66C74">
        <w:rPr>
          <w:rFonts w:ascii="Times New Roman" w:hAnsi="Times New Roman" w:cs="Times New Roman"/>
          <w:sz w:val="24"/>
          <w:szCs w:val="24"/>
        </w:rPr>
        <w:t>a</w:t>
      </w:r>
      <w:r w:rsidR="007253A6">
        <w:rPr>
          <w:rFonts w:ascii="Times New Roman" w:hAnsi="Times New Roman" w:cs="Times New Roman"/>
          <w:sz w:val="24"/>
          <w:szCs w:val="24"/>
        </w:rPr>
        <w:t>rrangement</w:t>
      </w:r>
      <w:r w:rsidR="006247A8">
        <w:rPr>
          <w:rFonts w:ascii="Times New Roman" w:hAnsi="Times New Roman" w:cs="Times New Roman"/>
          <w:sz w:val="24"/>
          <w:szCs w:val="24"/>
        </w:rPr>
        <w:t>.</w:t>
      </w:r>
      <w:r w:rsidR="007253A6">
        <w:rPr>
          <w:rFonts w:ascii="Times New Roman" w:hAnsi="Times New Roman" w:cs="Times New Roman"/>
          <w:sz w:val="24"/>
          <w:szCs w:val="24"/>
        </w:rPr>
        <w:t xml:space="preserve"> She also admitted that </w:t>
      </w:r>
      <w:r w:rsidR="00D23101">
        <w:rPr>
          <w:rFonts w:ascii="Times New Roman" w:hAnsi="Times New Roman" w:cs="Times New Roman"/>
          <w:sz w:val="24"/>
          <w:szCs w:val="24"/>
        </w:rPr>
        <w:t>the plaintiff</w:t>
      </w:r>
      <w:r w:rsidR="00B40EB2">
        <w:rPr>
          <w:rFonts w:ascii="Times New Roman" w:hAnsi="Times New Roman" w:cs="Times New Roman"/>
          <w:sz w:val="24"/>
          <w:szCs w:val="24"/>
        </w:rPr>
        <w:t xml:space="preserve"> was supposed to receive management </w:t>
      </w:r>
      <w:r w:rsidR="007253A6">
        <w:rPr>
          <w:rFonts w:ascii="Times New Roman" w:hAnsi="Times New Roman" w:cs="Times New Roman"/>
          <w:sz w:val="24"/>
          <w:szCs w:val="24"/>
        </w:rPr>
        <w:t xml:space="preserve">fees although it was never </w:t>
      </w:r>
      <w:r w:rsidR="00D23101">
        <w:rPr>
          <w:rFonts w:ascii="Times New Roman" w:hAnsi="Times New Roman" w:cs="Times New Roman"/>
          <w:sz w:val="24"/>
          <w:szCs w:val="24"/>
        </w:rPr>
        <w:t>remitted. She</w:t>
      </w:r>
      <w:r w:rsidR="00D66C74">
        <w:rPr>
          <w:rFonts w:ascii="Times New Roman" w:hAnsi="Times New Roman" w:cs="Times New Roman"/>
          <w:sz w:val="24"/>
          <w:szCs w:val="24"/>
        </w:rPr>
        <w:t xml:space="preserve"> also conceded that the salary increments, the</w:t>
      </w:r>
      <w:r w:rsidR="00B40EB2">
        <w:rPr>
          <w:rFonts w:ascii="Times New Roman" w:hAnsi="Times New Roman" w:cs="Times New Roman"/>
          <w:sz w:val="24"/>
          <w:szCs w:val="24"/>
        </w:rPr>
        <w:t xml:space="preserve"> school fees allowances were recommended by the HLL Remco </w:t>
      </w:r>
      <w:r w:rsidR="000F0AF5">
        <w:rPr>
          <w:rFonts w:ascii="Times New Roman" w:hAnsi="Times New Roman" w:cs="Times New Roman"/>
          <w:sz w:val="24"/>
          <w:szCs w:val="24"/>
        </w:rPr>
        <w:t>but</w:t>
      </w:r>
      <w:r w:rsidR="00D66C74">
        <w:rPr>
          <w:rFonts w:ascii="Times New Roman" w:hAnsi="Times New Roman" w:cs="Times New Roman"/>
          <w:sz w:val="24"/>
          <w:szCs w:val="24"/>
        </w:rPr>
        <w:t xml:space="preserve"> were not approved by the HLL </w:t>
      </w:r>
      <w:r w:rsidR="001666B1">
        <w:rPr>
          <w:rFonts w:ascii="Times New Roman" w:hAnsi="Times New Roman" w:cs="Times New Roman"/>
          <w:sz w:val="24"/>
          <w:szCs w:val="24"/>
        </w:rPr>
        <w:t>board. In respect of the motor vehicle although she insisted the plaintiff sold the motor vehicle to her, it was clear that the sale was not done in accordance with the motor vehicle policy.</w:t>
      </w:r>
    </w:p>
    <w:p w14:paraId="04F6ABCB" w14:textId="0649757C" w:rsidR="000F6758" w:rsidRDefault="005016FD" w:rsidP="00166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w:t>
      </w:r>
      <w:r w:rsidR="001666B1">
        <w:rPr>
          <w:rFonts w:ascii="Times New Roman" w:hAnsi="Times New Roman" w:cs="Times New Roman"/>
          <w:sz w:val="24"/>
          <w:szCs w:val="24"/>
        </w:rPr>
        <w:t xml:space="preserve"> the close of the defendant’s case both legal practitioners made oral closing submissions. I shall revert to them later in the </w:t>
      </w:r>
      <w:r>
        <w:rPr>
          <w:rFonts w:ascii="Times New Roman" w:hAnsi="Times New Roman" w:cs="Times New Roman"/>
          <w:sz w:val="24"/>
          <w:szCs w:val="24"/>
        </w:rPr>
        <w:t>judgment</w:t>
      </w:r>
      <w:r w:rsidR="00CC4BF0">
        <w:rPr>
          <w:rFonts w:ascii="Times New Roman" w:hAnsi="Times New Roman" w:cs="Times New Roman"/>
          <w:sz w:val="24"/>
          <w:szCs w:val="24"/>
        </w:rPr>
        <w:t xml:space="preserve"> if necessary</w:t>
      </w:r>
      <w:r>
        <w:rPr>
          <w:rFonts w:ascii="Times New Roman" w:hAnsi="Times New Roman" w:cs="Times New Roman"/>
          <w:sz w:val="24"/>
          <w:szCs w:val="24"/>
        </w:rPr>
        <w:t>. I asked bot</w:t>
      </w:r>
      <w:r w:rsidR="007253A6">
        <w:rPr>
          <w:rFonts w:ascii="Times New Roman" w:hAnsi="Times New Roman" w:cs="Times New Roman"/>
          <w:sz w:val="24"/>
          <w:szCs w:val="24"/>
        </w:rPr>
        <w:t xml:space="preserve">h counsel if the question whether the plaintiff is the proper </w:t>
      </w:r>
      <w:r w:rsidR="00D23101">
        <w:rPr>
          <w:rFonts w:ascii="Times New Roman" w:hAnsi="Times New Roman" w:cs="Times New Roman"/>
          <w:sz w:val="24"/>
          <w:szCs w:val="24"/>
        </w:rPr>
        <w:t>claimant</w:t>
      </w:r>
      <w:r w:rsidR="00C930BE">
        <w:rPr>
          <w:rFonts w:ascii="Times New Roman" w:hAnsi="Times New Roman" w:cs="Times New Roman"/>
          <w:sz w:val="24"/>
          <w:szCs w:val="24"/>
        </w:rPr>
        <w:t xml:space="preserve"> is not rele</w:t>
      </w:r>
      <w:r w:rsidR="006247A8">
        <w:rPr>
          <w:rFonts w:ascii="Times New Roman" w:hAnsi="Times New Roman" w:cs="Times New Roman"/>
          <w:sz w:val="24"/>
          <w:szCs w:val="24"/>
        </w:rPr>
        <w:t>vant in the determination of this case.</w:t>
      </w:r>
      <w:r w:rsidR="007253A6">
        <w:rPr>
          <w:rFonts w:ascii="Times New Roman" w:hAnsi="Times New Roman" w:cs="Times New Roman"/>
          <w:sz w:val="24"/>
          <w:szCs w:val="24"/>
        </w:rPr>
        <w:t xml:space="preserve"> </w:t>
      </w:r>
      <w:r w:rsidR="007253A6" w:rsidRPr="00D23101">
        <w:rPr>
          <w:rFonts w:ascii="Times New Roman" w:hAnsi="Times New Roman" w:cs="Times New Roman"/>
          <w:i/>
          <w:sz w:val="24"/>
          <w:szCs w:val="24"/>
        </w:rPr>
        <w:t>Ms Sanhanga</w:t>
      </w:r>
      <w:r w:rsidR="007253A6">
        <w:rPr>
          <w:rFonts w:ascii="Times New Roman" w:hAnsi="Times New Roman" w:cs="Times New Roman"/>
          <w:sz w:val="24"/>
          <w:szCs w:val="24"/>
        </w:rPr>
        <w:t xml:space="preserve"> for the plaintiff was </w:t>
      </w:r>
      <w:r w:rsidR="00C930BE">
        <w:rPr>
          <w:rFonts w:ascii="Times New Roman" w:hAnsi="Times New Roman" w:cs="Times New Roman"/>
          <w:sz w:val="24"/>
          <w:szCs w:val="24"/>
        </w:rPr>
        <w:t>non-committal although she agreed with the court that the issue is relevant she</w:t>
      </w:r>
      <w:r w:rsidR="007253A6">
        <w:rPr>
          <w:rFonts w:ascii="Times New Roman" w:hAnsi="Times New Roman" w:cs="Times New Roman"/>
          <w:sz w:val="24"/>
          <w:szCs w:val="24"/>
        </w:rPr>
        <w:t xml:space="preserve"> raised the point that it would be prejudicial to the plaintiff since</w:t>
      </w:r>
      <w:r w:rsidR="00C930BE">
        <w:rPr>
          <w:rFonts w:ascii="Times New Roman" w:hAnsi="Times New Roman" w:cs="Times New Roman"/>
          <w:sz w:val="24"/>
          <w:szCs w:val="24"/>
        </w:rPr>
        <w:t xml:space="preserve"> it was</w:t>
      </w:r>
      <w:r w:rsidR="00D23101">
        <w:rPr>
          <w:rFonts w:ascii="Times New Roman" w:hAnsi="Times New Roman" w:cs="Times New Roman"/>
          <w:sz w:val="24"/>
          <w:szCs w:val="24"/>
        </w:rPr>
        <w:t xml:space="preserve"> not </w:t>
      </w:r>
      <w:r w:rsidR="00C930BE">
        <w:rPr>
          <w:rFonts w:ascii="Times New Roman" w:hAnsi="Times New Roman" w:cs="Times New Roman"/>
          <w:sz w:val="24"/>
          <w:szCs w:val="24"/>
        </w:rPr>
        <w:t xml:space="preserve">pleaded. Despite the protestation I directed both legal practitioners to file written submissions </w:t>
      </w:r>
      <w:r w:rsidR="001666B1">
        <w:rPr>
          <w:rFonts w:ascii="Times New Roman" w:hAnsi="Times New Roman" w:cs="Times New Roman"/>
          <w:sz w:val="24"/>
          <w:szCs w:val="24"/>
        </w:rPr>
        <w:t>on whether the plaintiff is the proper claimant in this case. I am grateful to the defendant’s legal practitioner who filed the written submissions</w:t>
      </w:r>
      <w:r w:rsidR="006247A8">
        <w:rPr>
          <w:rFonts w:ascii="Times New Roman" w:hAnsi="Times New Roman" w:cs="Times New Roman"/>
          <w:sz w:val="24"/>
          <w:szCs w:val="24"/>
        </w:rPr>
        <w:t xml:space="preserve"> timeously</w:t>
      </w:r>
      <w:r w:rsidR="001666B1">
        <w:rPr>
          <w:rFonts w:ascii="Times New Roman" w:hAnsi="Times New Roman" w:cs="Times New Roman"/>
          <w:sz w:val="24"/>
          <w:szCs w:val="24"/>
        </w:rPr>
        <w:t xml:space="preserve"> .Nothing was filed for the plaintiff the court could not wait forever for the </w:t>
      </w:r>
      <w:r w:rsidR="00C930BE">
        <w:rPr>
          <w:rFonts w:ascii="Times New Roman" w:hAnsi="Times New Roman" w:cs="Times New Roman"/>
          <w:sz w:val="24"/>
          <w:szCs w:val="24"/>
        </w:rPr>
        <w:t>submissions.</w:t>
      </w:r>
      <w:r w:rsidR="00EB5F2E">
        <w:rPr>
          <w:rFonts w:ascii="Times New Roman" w:hAnsi="Times New Roman" w:cs="Times New Roman"/>
          <w:sz w:val="24"/>
          <w:szCs w:val="24"/>
        </w:rPr>
        <w:t xml:space="preserve"> </w:t>
      </w:r>
    </w:p>
    <w:p w14:paraId="64F77955" w14:textId="4EAAC43D" w:rsidR="000F6758" w:rsidRDefault="000F6758" w:rsidP="00166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the issue was not pleaded but it arose during the course of the </w:t>
      </w:r>
      <w:r w:rsidR="006247A8">
        <w:rPr>
          <w:rFonts w:ascii="Times New Roman" w:hAnsi="Times New Roman" w:cs="Times New Roman"/>
          <w:sz w:val="24"/>
          <w:szCs w:val="24"/>
        </w:rPr>
        <w:t>trial. The court believes it is important.</w:t>
      </w:r>
      <w:r>
        <w:rPr>
          <w:rFonts w:ascii="Times New Roman" w:hAnsi="Times New Roman" w:cs="Times New Roman"/>
          <w:sz w:val="24"/>
          <w:szCs w:val="24"/>
        </w:rPr>
        <w:t xml:space="preserve"> It is trite that a court is confined to the pleadings as set out by the </w:t>
      </w:r>
      <w:r>
        <w:rPr>
          <w:rFonts w:ascii="Times New Roman" w:hAnsi="Times New Roman" w:cs="Times New Roman"/>
          <w:sz w:val="24"/>
          <w:szCs w:val="24"/>
        </w:rPr>
        <w:lastRenderedPageBreak/>
        <w:t xml:space="preserve">parties. The position is not cast in stone, there are exceptions to the rule under which a court can determine on an issue that has not been pleaded. I am  fortified in taking this approach by the guidance in </w:t>
      </w:r>
      <w:r w:rsidRPr="001D0ED6">
        <w:rPr>
          <w:rFonts w:ascii="Times New Roman" w:hAnsi="Times New Roman" w:cs="Times New Roman"/>
          <w:i/>
          <w:sz w:val="24"/>
          <w:szCs w:val="24"/>
        </w:rPr>
        <w:t xml:space="preserve">Medlog </w:t>
      </w:r>
      <w:r w:rsidRPr="00C55AD9">
        <w:rPr>
          <w:rFonts w:ascii="Times New Roman" w:hAnsi="Times New Roman" w:cs="Times New Roman"/>
          <w:i/>
          <w:sz w:val="24"/>
          <w:szCs w:val="24"/>
        </w:rPr>
        <w:t>Zimbabwe (Pvt) Ltd v Cost Benefit Holdings (Pvt0 Ltd</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the court addressed the issue to some</w:t>
      </w:r>
      <w:r w:rsidR="006247A8">
        <w:rPr>
          <w:rFonts w:ascii="Times New Roman" w:hAnsi="Times New Roman" w:cs="Times New Roman"/>
          <w:sz w:val="24"/>
          <w:szCs w:val="24"/>
        </w:rPr>
        <w:t xml:space="preserve"> extent </w:t>
      </w:r>
      <w:r>
        <w:rPr>
          <w:rFonts w:ascii="Times New Roman" w:hAnsi="Times New Roman" w:cs="Times New Roman"/>
          <w:sz w:val="24"/>
          <w:szCs w:val="24"/>
        </w:rPr>
        <w:t xml:space="preserve"> citing  relevant case law and conc</w:t>
      </w:r>
      <w:r w:rsidR="00073741">
        <w:rPr>
          <w:rFonts w:ascii="Times New Roman" w:hAnsi="Times New Roman" w:cs="Times New Roman"/>
          <w:sz w:val="24"/>
          <w:szCs w:val="24"/>
        </w:rPr>
        <w:t>luded at paragraphs 31.3-4 that:</w:t>
      </w:r>
    </w:p>
    <w:p w14:paraId="76AE5378" w14:textId="762B6F1B" w:rsidR="00B75DCD" w:rsidRPr="001D0ED6" w:rsidRDefault="001D0ED6" w:rsidP="00073741">
      <w:pPr>
        <w:spacing w:after="0" w:line="240" w:lineRule="auto"/>
        <w:ind w:left="720" w:firstLine="60"/>
        <w:jc w:val="both"/>
        <w:rPr>
          <w:rFonts w:ascii="Times New Roman" w:hAnsi="Times New Roman" w:cs="Times New Roman"/>
        </w:rPr>
      </w:pPr>
      <w:r w:rsidRPr="001D0ED6">
        <w:rPr>
          <w:rFonts w:ascii="Times New Roman" w:hAnsi="Times New Roman" w:cs="Times New Roman"/>
        </w:rPr>
        <w:t>“</w:t>
      </w:r>
      <w:r w:rsidR="00B75DCD" w:rsidRPr="001D0ED6">
        <w:rPr>
          <w:rFonts w:ascii="Times New Roman" w:hAnsi="Times New Roman" w:cs="Times New Roman"/>
        </w:rPr>
        <w:t xml:space="preserve">In </w:t>
      </w:r>
      <w:r w:rsidR="00B75DCD" w:rsidRPr="001D0ED6">
        <w:rPr>
          <w:rFonts w:ascii="Times New Roman" w:hAnsi="Times New Roman" w:cs="Times New Roman"/>
          <w:i/>
        </w:rPr>
        <w:t xml:space="preserve">Sager’s Motors (Pvt) Ltd v Patel </w:t>
      </w:r>
      <w:r w:rsidR="00B75DCD" w:rsidRPr="001D0ED6">
        <w:rPr>
          <w:rFonts w:ascii="Times New Roman" w:hAnsi="Times New Roman" w:cs="Times New Roman"/>
        </w:rPr>
        <w:t>1968 (2) RLR 267 (A)</w:t>
      </w:r>
      <w:r w:rsidRPr="001D0ED6">
        <w:rPr>
          <w:rFonts w:ascii="Times New Roman" w:hAnsi="Times New Roman" w:cs="Times New Roman"/>
        </w:rPr>
        <w:t>, Lewis</w:t>
      </w:r>
      <w:r w:rsidR="00B75DCD" w:rsidRPr="001D0ED6">
        <w:rPr>
          <w:rFonts w:ascii="Times New Roman" w:hAnsi="Times New Roman" w:cs="Times New Roman"/>
        </w:rPr>
        <w:t xml:space="preserve"> </w:t>
      </w:r>
      <w:r w:rsidRPr="001D0ED6">
        <w:rPr>
          <w:rFonts w:ascii="Times New Roman" w:hAnsi="Times New Roman" w:cs="Times New Roman"/>
        </w:rPr>
        <w:t>AJA accepted that the above remarks correctly reflected the position of the law in this country. At</w:t>
      </w:r>
      <w:r w:rsidR="00B75DCD" w:rsidRPr="001D0ED6">
        <w:rPr>
          <w:rFonts w:ascii="Times New Roman" w:hAnsi="Times New Roman" w:cs="Times New Roman"/>
        </w:rPr>
        <w:t xml:space="preserve"> 274 A-</w:t>
      </w:r>
      <w:r w:rsidRPr="001D0ED6">
        <w:rPr>
          <w:rFonts w:ascii="Times New Roman" w:hAnsi="Times New Roman" w:cs="Times New Roman"/>
        </w:rPr>
        <w:t xml:space="preserve">B he </w:t>
      </w:r>
      <w:r w:rsidR="00B75DCD" w:rsidRPr="001D0ED6">
        <w:rPr>
          <w:rFonts w:ascii="Times New Roman" w:hAnsi="Times New Roman" w:cs="Times New Roman"/>
        </w:rPr>
        <w:t>stated</w:t>
      </w:r>
    </w:p>
    <w:p w14:paraId="62106404" w14:textId="216C9111" w:rsidR="008445BB" w:rsidRPr="001D0ED6" w:rsidRDefault="00B75DCD" w:rsidP="00073741">
      <w:pPr>
        <w:spacing w:after="0" w:line="240" w:lineRule="auto"/>
        <w:ind w:left="1440"/>
        <w:jc w:val="both"/>
        <w:rPr>
          <w:rFonts w:ascii="Times New Roman" w:hAnsi="Times New Roman" w:cs="Times New Roman"/>
        </w:rPr>
      </w:pPr>
      <w:r w:rsidRPr="001D0ED6">
        <w:rPr>
          <w:rFonts w:ascii="Times New Roman" w:hAnsi="Times New Roman" w:cs="Times New Roman"/>
        </w:rPr>
        <w:t xml:space="preserve">‘The ratio decidendi of the cases …referred to above </w:t>
      </w:r>
      <w:r w:rsidR="008445BB" w:rsidRPr="001D0ED6">
        <w:rPr>
          <w:rFonts w:ascii="Times New Roman" w:hAnsi="Times New Roman" w:cs="Times New Roman"/>
        </w:rPr>
        <w:t xml:space="preserve">is that where there has been a full </w:t>
      </w:r>
      <w:r w:rsidR="00073741">
        <w:rPr>
          <w:rFonts w:ascii="Times New Roman" w:hAnsi="Times New Roman" w:cs="Times New Roman"/>
        </w:rPr>
        <w:t xml:space="preserve"> </w:t>
      </w:r>
      <w:r w:rsidR="008445BB" w:rsidRPr="001D0ED6">
        <w:rPr>
          <w:rFonts w:ascii="Times New Roman" w:hAnsi="Times New Roman" w:cs="Times New Roman"/>
        </w:rPr>
        <w:t>and thorough investigation into all the circumstances of the case and a party has had every facility to place all the facts before the trial court, the court will not decline to adjudicate on an issue thus fully canvassed simply because the pleadings have not explicitly covered it.</w:t>
      </w:r>
      <w:r w:rsidR="001D0ED6">
        <w:rPr>
          <w:rFonts w:ascii="Times New Roman" w:hAnsi="Times New Roman" w:cs="Times New Roman"/>
        </w:rPr>
        <w:t>’</w:t>
      </w:r>
    </w:p>
    <w:p w14:paraId="3AC0270A" w14:textId="5D05F664" w:rsidR="00681809" w:rsidRDefault="008445BB" w:rsidP="00073741">
      <w:pPr>
        <w:spacing w:after="0" w:line="240" w:lineRule="auto"/>
        <w:ind w:left="720"/>
        <w:jc w:val="both"/>
        <w:rPr>
          <w:rFonts w:ascii="Times New Roman" w:hAnsi="Times New Roman" w:cs="Times New Roman"/>
        </w:rPr>
      </w:pPr>
      <w:r w:rsidRPr="001D0ED6">
        <w:rPr>
          <w:rFonts w:ascii="Times New Roman" w:hAnsi="Times New Roman" w:cs="Times New Roman"/>
        </w:rPr>
        <w:t xml:space="preserve">The above remarks were cited with approval by this court in </w:t>
      </w:r>
      <w:r w:rsidRPr="001D0ED6">
        <w:rPr>
          <w:rFonts w:ascii="Times New Roman" w:hAnsi="Times New Roman" w:cs="Times New Roman"/>
          <w:i/>
        </w:rPr>
        <w:t>Guardian Security Services (Pvt) (Ltd) v ZBC</w:t>
      </w:r>
      <w:r w:rsidRPr="001D0ED6">
        <w:rPr>
          <w:rFonts w:ascii="Times New Roman" w:hAnsi="Times New Roman" w:cs="Times New Roman"/>
        </w:rPr>
        <w:t xml:space="preserve"> 2002 (1) ZLR (S) at 5D-H  and 6 A-B.</w:t>
      </w:r>
      <w:r w:rsidR="00073741">
        <w:rPr>
          <w:rFonts w:ascii="Times New Roman" w:hAnsi="Times New Roman" w:cs="Times New Roman"/>
        </w:rPr>
        <w:t xml:space="preserve">  </w:t>
      </w:r>
      <w:r w:rsidRPr="001D0ED6">
        <w:rPr>
          <w:rFonts w:ascii="Times New Roman" w:hAnsi="Times New Roman" w:cs="Times New Roman"/>
        </w:rPr>
        <w:t>That a court can determine an issue that is fully canvassed but not pleaded is therefore now settled in this jurisdiction.</w:t>
      </w:r>
      <w:r w:rsidR="00CC4BF0">
        <w:rPr>
          <w:rFonts w:ascii="Times New Roman" w:hAnsi="Times New Roman" w:cs="Times New Roman"/>
        </w:rPr>
        <w:t>’</w:t>
      </w:r>
    </w:p>
    <w:p w14:paraId="48CA4387" w14:textId="77777777" w:rsidR="00073741" w:rsidRDefault="00073741" w:rsidP="00073741">
      <w:pPr>
        <w:spacing w:after="0" w:line="360" w:lineRule="auto"/>
        <w:jc w:val="both"/>
        <w:rPr>
          <w:rFonts w:ascii="Times New Roman" w:hAnsi="Times New Roman" w:cs="Times New Roman"/>
        </w:rPr>
      </w:pPr>
    </w:p>
    <w:p w14:paraId="3E7A9BB5" w14:textId="732FE71C" w:rsidR="00341BAC" w:rsidRDefault="00681809" w:rsidP="00341BAC">
      <w:pPr>
        <w:spacing w:after="0" w:line="360" w:lineRule="auto"/>
        <w:ind w:firstLine="720"/>
        <w:jc w:val="both"/>
        <w:rPr>
          <w:rFonts w:ascii="Times New Roman" w:hAnsi="Times New Roman" w:cs="Times New Roman"/>
          <w:sz w:val="24"/>
          <w:szCs w:val="24"/>
        </w:rPr>
      </w:pPr>
      <w:r w:rsidRPr="00681809">
        <w:rPr>
          <w:rFonts w:ascii="Times New Roman" w:hAnsi="Times New Roman" w:cs="Times New Roman"/>
          <w:sz w:val="24"/>
          <w:szCs w:val="24"/>
        </w:rPr>
        <w:t>In this case I considered that the issue as to who should be the claimant in this case was raised under cross examination of the plaintiff’s witness</w:t>
      </w:r>
      <w:r w:rsidR="006247A8">
        <w:rPr>
          <w:rFonts w:ascii="Times New Roman" w:hAnsi="Times New Roman" w:cs="Times New Roman"/>
          <w:sz w:val="24"/>
          <w:szCs w:val="24"/>
        </w:rPr>
        <w:t>,</w:t>
      </w:r>
      <w:r w:rsidRPr="00681809">
        <w:rPr>
          <w:rFonts w:ascii="Times New Roman" w:hAnsi="Times New Roman" w:cs="Times New Roman"/>
          <w:sz w:val="24"/>
          <w:szCs w:val="24"/>
        </w:rPr>
        <w:t xml:space="preserve"> Trueworth</w:t>
      </w:r>
      <w:r>
        <w:rPr>
          <w:rFonts w:ascii="Times New Roman" w:hAnsi="Times New Roman" w:cs="Times New Roman"/>
          <w:sz w:val="24"/>
          <w:szCs w:val="24"/>
        </w:rPr>
        <w:t xml:space="preserve">. He set out the factual basis why he believed the plaintiff is the proper </w:t>
      </w:r>
      <w:r w:rsidR="006247A8">
        <w:rPr>
          <w:rFonts w:ascii="Times New Roman" w:hAnsi="Times New Roman" w:cs="Times New Roman"/>
          <w:sz w:val="24"/>
          <w:szCs w:val="24"/>
        </w:rPr>
        <w:t>claimant .T</w:t>
      </w:r>
      <w:r>
        <w:rPr>
          <w:rFonts w:ascii="Times New Roman" w:hAnsi="Times New Roman" w:cs="Times New Roman"/>
          <w:sz w:val="24"/>
          <w:szCs w:val="24"/>
        </w:rPr>
        <w:t xml:space="preserve">he plaintiff’s legal practitioner had opportunity to canvass any relevant issues from this witness under re-examination. The defendant also addressed the issue in her case. I gave both legal practitioners an opportunity to file written submissions on the issue to address the salient points of law on the issue. The failure by the plaintiff’s legal practitioners to file written submissions on the issue does not detract from the fact that the court availed such an </w:t>
      </w:r>
      <w:r w:rsidR="006247A8">
        <w:rPr>
          <w:rFonts w:ascii="Times New Roman" w:hAnsi="Times New Roman" w:cs="Times New Roman"/>
          <w:sz w:val="24"/>
          <w:szCs w:val="24"/>
        </w:rPr>
        <w:t>opportunity. Infact it was a disservice to the plaintiff’s case.</w:t>
      </w:r>
      <w:r>
        <w:rPr>
          <w:rFonts w:ascii="Times New Roman" w:hAnsi="Times New Roman" w:cs="Times New Roman"/>
          <w:sz w:val="24"/>
          <w:szCs w:val="24"/>
        </w:rPr>
        <w:t xml:space="preserve"> I am of the firm view</w:t>
      </w:r>
      <w:r w:rsidR="00341BAC">
        <w:rPr>
          <w:rFonts w:ascii="Times New Roman" w:hAnsi="Times New Roman" w:cs="Times New Roman"/>
          <w:sz w:val="24"/>
          <w:szCs w:val="24"/>
        </w:rPr>
        <w:t xml:space="preserve"> that nothing</w:t>
      </w:r>
      <w:r>
        <w:rPr>
          <w:rFonts w:ascii="Times New Roman" w:hAnsi="Times New Roman" w:cs="Times New Roman"/>
          <w:sz w:val="24"/>
          <w:szCs w:val="24"/>
        </w:rPr>
        <w:t xml:space="preserve"> stands in the way of the court to determine the issue even if it was not specifically pleaded.</w:t>
      </w:r>
    </w:p>
    <w:p w14:paraId="51DDD9D1" w14:textId="50BC878B" w:rsidR="00341BAC" w:rsidRDefault="00EA5F1E"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that arise is </w:t>
      </w:r>
      <w:r w:rsidR="00341BAC">
        <w:rPr>
          <w:rFonts w:ascii="Times New Roman" w:hAnsi="Times New Roman" w:cs="Times New Roman"/>
          <w:sz w:val="24"/>
          <w:szCs w:val="24"/>
        </w:rPr>
        <w:t xml:space="preserve">the plaintiff’s </w:t>
      </w:r>
      <w:r w:rsidR="00341BAC" w:rsidRPr="00341BAC">
        <w:rPr>
          <w:rFonts w:ascii="Times New Roman" w:hAnsi="Times New Roman" w:cs="Times New Roman"/>
          <w:i/>
          <w:sz w:val="24"/>
          <w:szCs w:val="24"/>
        </w:rPr>
        <w:t>locus standi in judicio</w:t>
      </w:r>
      <w:r w:rsidR="00341BAC">
        <w:rPr>
          <w:rFonts w:ascii="Times New Roman" w:hAnsi="Times New Roman" w:cs="Times New Roman"/>
          <w:sz w:val="24"/>
          <w:szCs w:val="24"/>
        </w:rPr>
        <w:t xml:space="preserve"> to sue. </w:t>
      </w:r>
      <w:r w:rsidR="00341BAC" w:rsidRPr="00341BAC">
        <w:rPr>
          <w:rFonts w:ascii="Times New Roman" w:hAnsi="Times New Roman" w:cs="Times New Roman"/>
          <w:i/>
          <w:sz w:val="24"/>
          <w:szCs w:val="24"/>
        </w:rPr>
        <w:t xml:space="preserve">Locus standi in judicio </w:t>
      </w:r>
      <w:r w:rsidR="00341BAC">
        <w:rPr>
          <w:rFonts w:ascii="Times New Roman" w:hAnsi="Times New Roman" w:cs="Times New Roman"/>
          <w:sz w:val="24"/>
          <w:szCs w:val="24"/>
        </w:rPr>
        <w:t>is the right, ability or capacity to bring legal proceedings in a court of law. The right can be justified by showing that one has a direct and substantial interest in the subject matter. ‘Such an interest is a legal interest that could be prejudicially affected by the judgment of the court’</w:t>
      </w:r>
      <w:r w:rsidR="00341BAC">
        <w:rPr>
          <w:rStyle w:val="FootnoteReference"/>
          <w:rFonts w:ascii="Times New Roman" w:hAnsi="Times New Roman" w:cs="Times New Roman"/>
          <w:sz w:val="24"/>
          <w:szCs w:val="24"/>
        </w:rPr>
        <w:footnoteReference w:id="2"/>
      </w:r>
      <w:r w:rsidR="00341BAC">
        <w:rPr>
          <w:rFonts w:ascii="Times New Roman" w:hAnsi="Times New Roman" w:cs="Times New Roman"/>
          <w:sz w:val="24"/>
          <w:szCs w:val="24"/>
        </w:rPr>
        <w:t xml:space="preserve">. </w:t>
      </w:r>
    </w:p>
    <w:p w14:paraId="63079A6F" w14:textId="2F4523B8" w:rsidR="0070699B" w:rsidRDefault="000F6758"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justified its </w:t>
      </w:r>
      <w:r w:rsidRPr="0070699B">
        <w:rPr>
          <w:rFonts w:ascii="Times New Roman" w:hAnsi="Times New Roman" w:cs="Times New Roman"/>
          <w:i/>
          <w:sz w:val="24"/>
          <w:szCs w:val="24"/>
        </w:rPr>
        <w:t xml:space="preserve">locus </w:t>
      </w:r>
      <w:r w:rsidR="00E64721" w:rsidRPr="0070699B">
        <w:rPr>
          <w:rFonts w:ascii="Times New Roman" w:hAnsi="Times New Roman" w:cs="Times New Roman"/>
          <w:i/>
          <w:sz w:val="24"/>
          <w:szCs w:val="24"/>
        </w:rPr>
        <w:t>standi</w:t>
      </w:r>
      <w:r w:rsidR="00E64721">
        <w:rPr>
          <w:rFonts w:ascii="Times New Roman" w:hAnsi="Times New Roman" w:cs="Times New Roman"/>
          <w:sz w:val="24"/>
          <w:szCs w:val="24"/>
        </w:rPr>
        <w:t xml:space="preserve"> that</w:t>
      </w:r>
      <w:r>
        <w:rPr>
          <w:rFonts w:ascii="Times New Roman" w:hAnsi="Times New Roman" w:cs="Times New Roman"/>
          <w:sz w:val="24"/>
          <w:szCs w:val="24"/>
        </w:rPr>
        <w:t xml:space="preserve"> it is a holding company. Its subsidiaries are required to remit management fees to it. The defendant’s conduct diminished one of its subsidiaries’ </w:t>
      </w:r>
      <w:r w:rsidR="0070699B">
        <w:rPr>
          <w:rFonts w:ascii="Times New Roman" w:hAnsi="Times New Roman" w:cs="Times New Roman"/>
          <w:sz w:val="24"/>
          <w:szCs w:val="24"/>
        </w:rPr>
        <w:t>profit thereby affecting</w:t>
      </w:r>
      <w:r w:rsidR="00E64721">
        <w:rPr>
          <w:rFonts w:ascii="Times New Roman" w:hAnsi="Times New Roman" w:cs="Times New Roman"/>
          <w:sz w:val="24"/>
          <w:szCs w:val="24"/>
        </w:rPr>
        <w:t xml:space="preserve"> the amounts for remittal to  </w:t>
      </w:r>
      <w:r w:rsidR="006247A8">
        <w:rPr>
          <w:rFonts w:ascii="Times New Roman" w:hAnsi="Times New Roman" w:cs="Times New Roman"/>
          <w:sz w:val="24"/>
          <w:szCs w:val="24"/>
        </w:rPr>
        <w:t xml:space="preserve"> it</w:t>
      </w:r>
      <w:r w:rsidR="002058D9">
        <w:rPr>
          <w:rFonts w:ascii="Times New Roman" w:hAnsi="Times New Roman" w:cs="Times New Roman"/>
          <w:sz w:val="24"/>
          <w:szCs w:val="24"/>
        </w:rPr>
        <w:t>. The</w:t>
      </w:r>
      <w:r w:rsidR="0070699B">
        <w:rPr>
          <w:rFonts w:ascii="Times New Roman" w:hAnsi="Times New Roman" w:cs="Times New Roman"/>
          <w:sz w:val="24"/>
          <w:szCs w:val="24"/>
        </w:rPr>
        <w:t xml:space="preserve"> defendant denied that the plaintiff is a holding </w:t>
      </w:r>
      <w:r w:rsidR="00EA5F1E">
        <w:rPr>
          <w:rFonts w:ascii="Times New Roman" w:hAnsi="Times New Roman" w:cs="Times New Roman"/>
          <w:sz w:val="24"/>
          <w:szCs w:val="24"/>
        </w:rPr>
        <w:t>company. Without</w:t>
      </w:r>
      <w:r w:rsidR="00CC4BF0">
        <w:rPr>
          <w:rFonts w:ascii="Times New Roman" w:hAnsi="Times New Roman" w:cs="Times New Roman"/>
          <w:sz w:val="24"/>
          <w:szCs w:val="24"/>
        </w:rPr>
        <w:t xml:space="preserve"> necessarily making a finding on whether the </w:t>
      </w:r>
      <w:r w:rsidR="00CC4BF0">
        <w:rPr>
          <w:rFonts w:ascii="Times New Roman" w:hAnsi="Times New Roman" w:cs="Times New Roman"/>
          <w:sz w:val="24"/>
          <w:szCs w:val="24"/>
        </w:rPr>
        <w:lastRenderedPageBreak/>
        <w:t>plaintiff is a holding company, I proceed to address the issue on the basis of the plaintiff’s claim that it is a holding company or a group as the terms were used interchangeably.</w:t>
      </w:r>
    </w:p>
    <w:p w14:paraId="3635FF83" w14:textId="6A11A4AE" w:rsidR="0067725A" w:rsidRDefault="00350E4C"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company is considered a holding company if it has a subsidiary company</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FB18FA" w:rsidRPr="00FB18FA">
        <w:rPr>
          <w:rFonts w:ascii="Times New Roman" w:hAnsi="Times New Roman" w:cs="Times New Roman"/>
          <w:sz w:val="24"/>
          <w:szCs w:val="24"/>
        </w:rPr>
        <w:t>A company is a subsidiary of another</w:t>
      </w:r>
      <w:r w:rsidR="00FB18FA">
        <w:rPr>
          <w:rFonts w:ascii="Times New Roman" w:hAnsi="Times New Roman" w:cs="Times New Roman"/>
          <w:sz w:val="24"/>
          <w:szCs w:val="24"/>
        </w:rPr>
        <w:t xml:space="preserve"> where</w:t>
      </w:r>
      <w:r w:rsidR="00FB18FA" w:rsidRPr="00FB18FA">
        <w:rPr>
          <w:rFonts w:ascii="Times New Roman" w:hAnsi="Times New Roman" w:cs="Times New Roman"/>
          <w:sz w:val="24"/>
          <w:szCs w:val="24"/>
        </w:rPr>
        <w:t xml:space="preserve"> the other company is its member and controls the composition of its board or holds more than half of its equity share </w:t>
      </w:r>
      <w:r w:rsidR="00FB18FA">
        <w:rPr>
          <w:rFonts w:ascii="Times New Roman" w:hAnsi="Times New Roman" w:cs="Times New Roman"/>
          <w:sz w:val="24"/>
          <w:szCs w:val="24"/>
        </w:rPr>
        <w:t>capital</w:t>
      </w:r>
      <w:r w:rsidR="00FB18FA" w:rsidRPr="00FB18FA">
        <w:rPr>
          <w:rFonts w:ascii="Times New Roman" w:hAnsi="Times New Roman" w:cs="Times New Roman"/>
          <w:sz w:val="24"/>
          <w:szCs w:val="24"/>
          <w:vertAlign w:val="superscript"/>
        </w:rPr>
        <w:footnoteReference w:id="4"/>
      </w:r>
      <w:r w:rsidR="00FB18FA" w:rsidRPr="00FB18FA">
        <w:rPr>
          <w:rFonts w:ascii="Times New Roman" w:hAnsi="Times New Roman" w:cs="Times New Roman"/>
          <w:sz w:val="24"/>
          <w:szCs w:val="24"/>
        </w:rPr>
        <w:t>.</w:t>
      </w:r>
      <w:r w:rsidR="00515AC6">
        <w:rPr>
          <w:rFonts w:ascii="Times New Roman" w:hAnsi="Times New Roman" w:cs="Times New Roman"/>
          <w:sz w:val="24"/>
          <w:szCs w:val="24"/>
        </w:rPr>
        <w:t xml:space="preserve"> </w:t>
      </w:r>
      <w:r w:rsidR="00FB18FA">
        <w:rPr>
          <w:rFonts w:ascii="Times New Roman" w:hAnsi="Times New Roman" w:cs="Times New Roman"/>
          <w:sz w:val="24"/>
          <w:szCs w:val="24"/>
        </w:rPr>
        <w:t>Despite the</w:t>
      </w:r>
      <w:r w:rsidR="00BC649B">
        <w:rPr>
          <w:rFonts w:ascii="Times New Roman" w:hAnsi="Times New Roman" w:cs="Times New Roman"/>
          <w:sz w:val="24"/>
          <w:szCs w:val="24"/>
        </w:rPr>
        <w:t xml:space="preserve"> unit established as a holding company the sepa</w:t>
      </w:r>
      <w:r w:rsidR="0067725A">
        <w:rPr>
          <w:rFonts w:ascii="Times New Roman" w:hAnsi="Times New Roman" w:cs="Times New Roman"/>
          <w:sz w:val="24"/>
          <w:szCs w:val="24"/>
        </w:rPr>
        <w:t>rate legal personality of</w:t>
      </w:r>
      <w:r w:rsidR="00BC649B">
        <w:rPr>
          <w:rFonts w:ascii="Times New Roman" w:hAnsi="Times New Roman" w:cs="Times New Roman"/>
          <w:sz w:val="24"/>
          <w:szCs w:val="24"/>
        </w:rPr>
        <w:t xml:space="preserve"> each individual company is not completely lost. The</w:t>
      </w:r>
      <w:r w:rsidR="00515AC6">
        <w:rPr>
          <w:rFonts w:ascii="Times New Roman" w:hAnsi="Times New Roman" w:cs="Times New Roman"/>
          <w:sz w:val="24"/>
          <w:szCs w:val="24"/>
        </w:rPr>
        <w:t xml:space="preserve"> common law principle that a company is a separate legal entity is still applicable </w:t>
      </w:r>
      <w:r w:rsidR="00BC649B">
        <w:rPr>
          <w:rStyle w:val="FootnoteReference"/>
          <w:rFonts w:ascii="Times New Roman" w:hAnsi="Times New Roman" w:cs="Times New Roman"/>
          <w:sz w:val="24"/>
          <w:szCs w:val="24"/>
        </w:rPr>
        <w:footnoteReference w:id="5"/>
      </w:r>
      <w:r w:rsidR="00515AC6">
        <w:rPr>
          <w:rFonts w:ascii="Times New Roman" w:hAnsi="Times New Roman" w:cs="Times New Roman"/>
          <w:sz w:val="24"/>
          <w:szCs w:val="24"/>
        </w:rPr>
        <w:t xml:space="preserve">.Subject to legal exceptions the subsidiary company does not lose its legal personality. In </w:t>
      </w:r>
      <w:r w:rsidR="00515AC6" w:rsidRPr="00515AC6">
        <w:rPr>
          <w:rFonts w:ascii="Times New Roman" w:hAnsi="Times New Roman" w:cs="Times New Roman"/>
          <w:i/>
          <w:sz w:val="24"/>
          <w:szCs w:val="24"/>
        </w:rPr>
        <w:t xml:space="preserve">Charterbridge Corporation Ltd </w:t>
      </w:r>
      <w:r w:rsidR="00515AC6" w:rsidRPr="00073741">
        <w:rPr>
          <w:rFonts w:ascii="Times New Roman" w:hAnsi="Times New Roman" w:cs="Times New Roman"/>
          <w:sz w:val="24"/>
          <w:szCs w:val="24"/>
        </w:rPr>
        <w:t>v</w:t>
      </w:r>
      <w:r w:rsidR="00515AC6" w:rsidRPr="00515AC6">
        <w:rPr>
          <w:rFonts w:ascii="Times New Roman" w:hAnsi="Times New Roman" w:cs="Times New Roman"/>
          <w:i/>
          <w:sz w:val="24"/>
          <w:szCs w:val="24"/>
        </w:rPr>
        <w:t xml:space="preserve"> Llyods Bank Ltd</w:t>
      </w:r>
      <w:r w:rsidR="00515AC6">
        <w:rPr>
          <w:rFonts w:ascii="Times New Roman" w:hAnsi="Times New Roman" w:cs="Times New Roman"/>
          <w:sz w:val="24"/>
          <w:szCs w:val="24"/>
        </w:rPr>
        <w:t xml:space="preserve"> </w:t>
      </w:r>
      <w:r w:rsidR="00515AC6">
        <w:rPr>
          <w:rStyle w:val="FootnoteReference"/>
          <w:rFonts w:ascii="Times New Roman" w:hAnsi="Times New Roman" w:cs="Times New Roman"/>
          <w:sz w:val="24"/>
          <w:szCs w:val="24"/>
        </w:rPr>
        <w:footnoteReference w:id="6"/>
      </w:r>
      <w:r w:rsidR="00515AC6">
        <w:rPr>
          <w:rFonts w:ascii="Times New Roman" w:hAnsi="Times New Roman" w:cs="Times New Roman"/>
          <w:sz w:val="24"/>
          <w:szCs w:val="24"/>
        </w:rPr>
        <w:t xml:space="preserve"> </w:t>
      </w:r>
      <w:r w:rsidR="00E64721">
        <w:rPr>
          <w:rFonts w:ascii="Times New Roman" w:hAnsi="Times New Roman" w:cs="Times New Roman"/>
          <w:sz w:val="24"/>
          <w:szCs w:val="24"/>
        </w:rPr>
        <w:t xml:space="preserve"> the court considered the issue and noted that,</w:t>
      </w:r>
    </w:p>
    <w:p w14:paraId="68711E6C" w14:textId="54E7B1D0" w:rsidR="00BC649B" w:rsidRDefault="0067725A" w:rsidP="00E64721">
      <w:pPr>
        <w:spacing w:after="0"/>
        <w:ind w:left="720"/>
        <w:jc w:val="both"/>
        <w:rPr>
          <w:rFonts w:ascii="Times New Roman" w:hAnsi="Times New Roman" w:cs="Times New Roman"/>
        </w:rPr>
      </w:pPr>
      <w:r w:rsidRPr="00E64721">
        <w:rPr>
          <w:rFonts w:ascii="Times New Roman" w:hAnsi="Times New Roman" w:cs="Times New Roman"/>
        </w:rPr>
        <w:t>‘Each</w:t>
      </w:r>
      <w:r w:rsidR="00515AC6" w:rsidRPr="00E64721">
        <w:rPr>
          <w:rFonts w:ascii="Times New Roman" w:hAnsi="Times New Roman" w:cs="Times New Roman"/>
        </w:rPr>
        <w:t xml:space="preserve"> company in the group is a separate legal entity and the directors of a particular company are not entitled to sacrifice the interest of that company’</w:t>
      </w:r>
    </w:p>
    <w:p w14:paraId="08374123" w14:textId="77777777" w:rsidR="00073741" w:rsidRPr="00E64721" w:rsidRDefault="00073741" w:rsidP="00E64721">
      <w:pPr>
        <w:spacing w:after="0"/>
        <w:ind w:left="720"/>
        <w:jc w:val="both"/>
        <w:rPr>
          <w:rFonts w:ascii="Times New Roman" w:hAnsi="Times New Roman" w:cs="Times New Roman"/>
        </w:rPr>
      </w:pPr>
    </w:p>
    <w:p w14:paraId="57E7FF21" w14:textId="53C7AED3" w:rsidR="0067725A" w:rsidRDefault="002F6D55" w:rsidP="00411A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F6D55">
        <w:rPr>
          <w:rFonts w:ascii="Times New Roman" w:hAnsi="Times New Roman" w:cs="Times New Roman"/>
          <w:i/>
          <w:sz w:val="24"/>
          <w:szCs w:val="24"/>
        </w:rPr>
        <w:t xml:space="preserve">Wambach </w:t>
      </w:r>
      <w:r w:rsidRPr="00073741">
        <w:rPr>
          <w:rFonts w:ascii="Times New Roman" w:hAnsi="Times New Roman" w:cs="Times New Roman"/>
          <w:sz w:val="24"/>
          <w:szCs w:val="24"/>
        </w:rPr>
        <w:t xml:space="preserve">v </w:t>
      </w:r>
      <w:r w:rsidRPr="002F6D55">
        <w:rPr>
          <w:rFonts w:ascii="Times New Roman" w:hAnsi="Times New Roman" w:cs="Times New Roman"/>
          <w:i/>
          <w:sz w:val="24"/>
          <w:szCs w:val="24"/>
        </w:rPr>
        <w:t>Maizecor Industries (Edms) Bpk</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E64721">
        <w:rPr>
          <w:rFonts w:ascii="Times New Roman" w:hAnsi="Times New Roman" w:cs="Times New Roman"/>
          <w:sz w:val="24"/>
          <w:szCs w:val="24"/>
        </w:rPr>
        <w:t xml:space="preserve"> </w:t>
      </w:r>
      <w:r>
        <w:rPr>
          <w:rFonts w:ascii="Times New Roman" w:hAnsi="Times New Roman" w:cs="Times New Roman"/>
          <w:sz w:val="24"/>
          <w:szCs w:val="24"/>
        </w:rPr>
        <w:t xml:space="preserve">a holding company had successfully sued for damages arising from a collision </w:t>
      </w:r>
      <w:r w:rsidR="00E64721">
        <w:rPr>
          <w:rFonts w:ascii="Times New Roman" w:hAnsi="Times New Roman" w:cs="Times New Roman"/>
          <w:sz w:val="24"/>
          <w:szCs w:val="24"/>
        </w:rPr>
        <w:t>between a vehicle owned by a third party and</w:t>
      </w:r>
      <w:r w:rsidR="00411AB8">
        <w:rPr>
          <w:rFonts w:ascii="Times New Roman" w:hAnsi="Times New Roman" w:cs="Times New Roman"/>
          <w:sz w:val="24"/>
          <w:szCs w:val="24"/>
        </w:rPr>
        <w:t xml:space="preserve"> </w:t>
      </w:r>
      <w:r w:rsidR="00E64721">
        <w:rPr>
          <w:rFonts w:ascii="Times New Roman" w:hAnsi="Times New Roman" w:cs="Times New Roman"/>
          <w:sz w:val="24"/>
          <w:szCs w:val="24"/>
        </w:rPr>
        <w:t xml:space="preserve"> a vehicle owned by its subsidiary company.</w:t>
      </w:r>
      <w:r>
        <w:rPr>
          <w:rFonts w:ascii="Times New Roman" w:hAnsi="Times New Roman" w:cs="Times New Roman"/>
          <w:sz w:val="24"/>
          <w:szCs w:val="24"/>
        </w:rPr>
        <w:t xml:space="preserve"> On appeal the claim was dismissed on the basis that the holding company was not the </w:t>
      </w:r>
      <w:r w:rsidR="00E64721">
        <w:rPr>
          <w:rFonts w:ascii="Times New Roman" w:hAnsi="Times New Roman" w:cs="Times New Roman"/>
          <w:sz w:val="24"/>
          <w:szCs w:val="24"/>
        </w:rPr>
        <w:t>owner</w:t>
      </w:r>
      <w:r>
        <w:rPr>
          <w:rFonts w:ascii="Times New Roman" w:hAnsi="Times New Roman" w:cs="Times New Roman"/>
          <w:sz w:val="24"/>
          <w:szCs w:val="24"/>
        </w:rPr>
        <w:t xml:space="preserve"> of the vehicle and therefore had no right to it.</w:t>
      </w:r>
    </w:p>
    <w:p w14:paraId="36CDE134" w14:textId="7C895F29" w:rsidR="00D46EB6" w:rsidRDefault="00411AB8"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then that the subsidiary company must sue to recover its property. Since the holding company is a separate legal persona it cannot step into the shoes of the subsidiary company unless the claim falls under the acceptable legal exceptions.</w:t>
      </w:r>
      <w:r w:rsidR="005E26C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E20073" w14:textId="6ED1EE13" w:rsidR="00D46EB6" w:rsidRDefault="00D46EB6"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the court is clear that the</w:t>
      </w:r>
      <w:r w:rsidR="00BA22FC">
        <w:rPr>
          <w:rFonts w:ascii="Times New Roman" w:hAnsi="Times New Roman" w:cs="Times New Roman"/>
          <w:sz w:val="24"/>
          <w:szCs w:val="24"/>
        </w:rPr>
        <w:t xml:space="preserve"> defendant’s salaries</w:t>
      </w:r>
      <w:r>
        <w:rPr>
          <w:rFonts w:ascii="Times New Roman" w:hAnsi="Times New Roman" w:cs="Times New Roman"/>
          <w:sz w:val="24"/>
          <w:szCs w:val="24"/>
        </w:rPr>
        <w:t xml:space="preserve"> and benefits were drawn from HLL.</w:t>
      </w:r>
      <w:r w:rsidR="00BA22FC">
        <w:rPr>
          <w:rFonts w:ascii="Times New Roman" w:hAnsi="Times New Roman" w:cs="Times New Roman"/>
          <w:sz w:val="24"/>
          <w:szCs w:val="24"/>
        </w:rPr>
        <w:t xml:space="preserve"> It is irrelevant that this was an arrangement by the plaintiff. What is important is that </w:t>
      </w:r>
      <w:r>
        <w:rPr>
          <w:rFonts w:ascii="Times New Roman" w:hAnsi="Times New Roman" w:cs="Times New Roman"/>
          <w:sz w:val="24"/>
          <w:szCs w:val="24"/>
        </w:rPr>
        <w:t>HLL is</w:t>
      </w:r>
      <w:r w:rsidR="001B3BC7">
        <w:rPr>
          <w:rFonts w:ascii="Times New Roman" w:hAnsi="Times New Roman" w:cs="Times New Roman"/>
          <w:sz w:val="24"/>
          <w:szCs w:val="24"/>
        </w:rPr>
        <w:t xml:space="preserve"> a</w:t>
      </w:r>
      <w:r>
        <w:rPr>
          <w:rFonts w:ascii="Times New Roman" w:hAnsi="Times New Roman" w:cs="Times New Roman"/>
          <w:sz w:val="24"/>
          <w:szCs w:val="24"/>
        </w:rPr>
        <w:t xml:space="preserve"> separate company from the plaintiff. In its claim the plaintiff does not state that it is suing on behalf of HLL. It sues in its </w:t>
      </w:r>
      <w:r w:rsidR="001B3BC7">
        <w:rPr>
          <w:rFonts w:ascii="Times New Roman" w:hAnsi="Times New Roman" w:cs="Times New Roman"/>
          <w:sz w:val="24"/>
          <w:szCs w:val="24"/>
        </w:rPr>
        <w:t xml:space="preserve">capacity yet </w:t>
      </w:r>
      <w:r w:rsidR="005E26CB">
        <w:rPr>
          <w:rFonts w:ascii="Times New Roman" w:hAnsi="Times New Roman" w:cs="Times New Roman"/>
          <w:sz w:val="24"/>
          <w:szCs w:val="24"/>
        </w:rPr>
        <w:t>the salaries and benefits were not drawn from it. It did not suffer any</w:t>
      </w:r>
      <w:r w:rsidR="001B3BC7">
        <w:rPr>
          <w:rFonts w:ascii="Times New Roman" w:hAnsi="Times New Roman" w:cs="Times New Roman"/>
          <w:sz w:val="24"/>
          <w:szCs w:val="24"/>
        </w:rPr>
        <w:t xml:space="preserve"> </w:t>
      </w:r>
      <w:r w:rsidR="005E26CB">
        <w:rPr>
          <w:rFonts w:ascii="Times New Roman" w:hAnsi="Times New Roman" w:cs="Times New Roman"/>
          <w:sz w:val="24"/>
          <w:szCs w:val="24"/>
        </w:rPr>
        <w:t>prejudice from</w:t>
      </w:r>
      <w:r w:rsidR="001B3BC7">
        <w:rPr>
          <w:rFonts w:ascii="Times New Roman" w:hAnsi="Times New Roman" w:cs="Times New Roman"/>
          <w:sz w:val="24"/>
          <w:szCs w:val="24"/>
        </w:rPr>
        <w:t xml:space="preserve"> the defendant’s conduct.</w:t>
      </w:r>
      <w:r>
        <w:rPr>
          <w:rFonts w:ascii="Times New Roman" w:hAnsi="Times New Roman" w:cs="Times New Roman"/>
          <w:sz w:val="24"/>
          <w:szCs w:val="24"/>
        </w:rPr>
        <w:t xml:space="preserve"> </w:t>
      </w:r>
      <w:r w:rsidR="005E26CB">
        <w:rPr>
          <w:rFonts w:ascii="Times New Roman" w:hAnsi="Times New Roman" w:cs="Times New Roman"/>
          <w:sz w:val="24"/>
          <w:szCs w:val="24"/>
        </w:rPr>
        <w:t xml:space="preserve">If indeed HLL was required to pay management fees to the plaintiff, such a claim should be made against HLL and not the defendant. For all intents and purposes the aggrieved party here </w:t>
      </w:r>
      <w:r w:rsidR="00C90ACC">
        <w:rPr>
          <w:rFonts w:ascii="Times New Roman" w:hAnsi="Times New Roman" w:cs="Times New Roman"/>
          <w:sz w:val="24"/>
          <w:szCs w:val="24"/>
        </w:rPr>
        <w:t>is HLL and not the defendant. Assuming the claim succeeds</w:t>
      </w:r>
      <w:r w:rsidR="001B3BC7">
        <w:rPr>
          <w:rFonts w:ascii="Times New Roman" w:hAnsi="Times New Roman" w:cs="Times New Roman"/>
          <w:sz w:val="24"/>
          <w:szCs w:val="24"/>
        </w:rPr>
        <w:t xml:space="preserve">, the plaintiff would be awarded monies and the motor vehicle that did not belong to it. </w:t>
      </w:r>
      <w:r w:rsidR="00C90ACC">
        <w:rPr>
          <w:rFonts w:ascii="Times New Roman" w:hAnsi="Times New Roman" w:cs="Times New Roman"/>
          <w:sz w:val="24"/>
          <w:szCs w:val="24"/>
        </w:rPr>
        <w:t xml:space="preserve">The vehicle in question was not registered in the name of the </w:t>
      </w:r>
      <w:r w:rsidR="00C90ACC">
        <w:rPr>
          <w:rFonts w:ascii="Times New Roman" w:hAnsi="Times New Roman" w:cs="Times New Roman"/>
          <w:sz w:val="24"/>
          <w:szCs w:val="24"/>
        </w:rPr>
        <w:lastRenderedPageBreak/>
        <w:t>plaintiff. It did not belong to the plaintiff. That</w:t>
      </w:r>
      <w:r w:rsidR="001B3BC7">
        <w:rPr>
          <w:rFonts w:ascii="Times New Roman" w:hAnsi="Times New Roman" w:cs="Times New Roman"/>
          <w:sz w:val="24"/>
          <w:szCs w:val="24"/>
        </w:rPr>
        <w:t xml:space="preserve"> demonstrates that the plaintiff has</w:t>
      </w:r>
      <w:r w:rsidR="00C90ACC">
        <w:rPr>
          <w:rFonts w:ascii="Times New Roman" w:hAnsi="Times New Roman" w:cs="Times New Roman"/>
          <w:sz w:val="24"/>
          <w:szCs w:val="24"/>
        </w:rPr>
        <w:t xml:space="preserve"> no direct or substantial interest in the matter. It has </w:t>
      </w:r>
      <w:r w:rsidR="001B3BC7">
        <w:rPr>
          <w:rFonts w:ascii="Times New Roman" w:hAnsi="Times New Roman" w:cs="Times New Roman"/>
          <w:sz w:val="24"/>
          <w:szCs w:val="24"/>
        </w:rPr>
        <w:t xml:space="preserve">no </w:t>
      </w:r>
      <w:r w:rsidR="001B3BC7" w:rsidRPr="001B3BC7">
        <w:rPr>
          <w:rFonts w:ascii="Times New Roman" w:hAnsi="Times New Roman" w:cs="Times New Roman"/>
          <w:i/>
          <w:sz w:val="24"/>
          <w:szCs w:val="24"/>
        </w:rPr>
        <w:t>locus standi</w:t>
      </w:r>
      <w:r w:rsidR="001B3BC7">
        <w:rPr>
          <w:rFonts w:ascii="Times New Roman" w:hAnsi="Times New Roman" w:cs="Times New Roman"/>
          <w:sz w:val="24"/>
          <w:szCs w:val="24"/>
        </w:rPr>
        <w:t xml:space="preserve">. </w:t>
      </w:r>
    </w:p>
    <w:p w14:paraId="0C7A5A2D" w14:textId="77777777" w:rsidR="00D46EB6" w:rsidRDefault="00D46EB6"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 on the issue disposes of the matter. It then becomes unnecessary to address the merits of the case.</w:t>
      </w:r>
    </w:p>
    <w:p w14:paraId="04A330EF" w14:textId="06A74AFD" w:rsidR="001B3BC7" w:rsidRDefault="00D46EB6" w:rsidP="000737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r w:rsidR="001B3BC7">
        <w:rPr>
          <w:rFonts w:ascii="Times New Roman" w:hAnsi="Times New Roman" w:cs="Times New Roman"/>
          <w:sz w:val="24"/>
          <w:szCs w:val="24"/>
        </w:rPr>
        <w:t>.</w:t>
      </w:r>
    </w:p>
    <w:p w14:paraId="448A4F86" w14:textId="77777777" w:rsidR="00D1025C" w:rsidRDefault="00D46EB6" w:rsidP="000737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r w:rsidR="0070699B">
        <w:rPr>
          <w:rFonts w:ascii="Times New Roman" w:hAnsi="Times New Roman" w:cs="Times New Roman"/>
          <w:sz w:val="24"/>
          <w:szCs w:val="24"/>
        </w:rPr>
        <w:t xml:space="preserve">  </w:t>
      </w:r>
    </w:p>
    <w:p w14:paraId="3733D58B" w14:textId="77777777" w:rsidR="00D1025C" w:rsidRDefault="00D1025C" w:rsidP="00D46EB6">
      <w:pPr>
        <w:spacing w:after="0" w:line="240" w:lineRule="auto"/>
        <w:jc w:val="both"/>
        <w:rPr>
          <w:rFonts w:ascii="Times New Roman" w:hAnsi="Times New Roman" w:cs="Times New Roman"/>
          <w:sz w:val="24"/>
          <w:szCs w:val="24"/>
        </w:rPr>
      </w:pPr>
    </w:p>
    <w:p w14:paraId="5AF47798" w14:textId="77777777" w:rsidR="00073741" w:rsidRDefault="00073741" w:rsidP="00D46EB6">
      <w:pPr>
        <w:spacing w:after="0" w:line="240" w:lineRule="auto"/>
        <w:jc w:val="both"/>
        <w:rPr>
          <w:rFonts w:ascii="Times New Roman" w:hAnsi="Times New Roman" w:cs="Times New Roman"/>
          <w:sz w:val="24"/>
          <w:szCs w:val="24"/>
        </w:rPr>
      </w:pPr>
    </w:p>
    <w:p w14:paraId="6F9CD816" w14:textId="77777777" w:rsidR="00073741" w:rsidRDefault="00073741" w:rsidP="00D46EB6">
      <w:pPr>
        <w:spacing w:after="0" w:line="240" w:lineRule="auto"/>
        <w:jc w:val="both"/>
        <w:rPr>
          <w:rFonts w:ascii="Times New Roman" w:hAnsi="Times New Roman" w:cs="Times New Roman"/>
          <w:sz w:val="24"/>
          <w:szCs w:val="24"/>
        </w:rPr>
      </w:pPr>
    </w:p>
    <w:p w14:paraId="6F1AA3F9" w14:textId="77777777" w:rsidR="00073741" w:rsidRDefault="00073741" w:rsidP="00D46EB6">
      <w:pPr>
        <w:spacing w:after="0" w:line="240" w:lineRule="auto"/>
        <w:jc w:val="both"/>
        <w:rPr>
          <w:rFonts w:ascii="Times New Roman" w:hAnsi="Times New Roman" w:cs="Times New Roman"/>
          <w:sz w:val="24"/>
          <w:szCs w:val="24"/>
        </w:rPr>
      </w:pPr>
    </w:p>
    <w:p w14:paraId="5A9410E8" w14:textId="77777777" w:rsidR="00D1025C" w:rsidRDefault="00D1025C" w:rsidP="00D46EB6">
      <w:pPr>
        <w:spacing w:after="0" w:line="240" w:lineRule="auto"/>
        <w:jc w:val="both"/>
        <w:rPr>
          <w:rFonts w:ascii="Times New Roman" w:hAnsi="Times New Roman" w:cs="Times New Roman"/>
          <w:sz w:val="24"/>
          <w:szCs w:val="24"/>
        </w:rPr>
      </w:pPr>
    </w:p>
    <w:p w14:paraId="372B745D" w14:textId="6E57C519" w:rsidR="00D46EB6" w:rsidRDefault="0070699B" w:rsidP="00D46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025C">
        <w:rPr>
          <w:rFonts w:ascii="Times New Roman" w:hAnsi="Times New Roman" w:cs="Times New Roman"/>
          <w:i/>
          <w:sz w:val="24"/>
          <w:szCs w:val="24"/>
        </w:rPr>
        <w:t>Ca</w:t>
      </w:r>
      <w:r w:rsidR="00D46EB6" w:rsidRPr="00CD42F9">
        <w:rPr>
          <w:rFonts w:ascii="Times New Roman" w:hAnsi="Times New Roman" w:cs="Times New Roman"/>
          <w:i/>
          <w:sz w:val="24"/>
          <w:szCs w:val="24"/>
        </w:rPr>
        <w:t>leb Mucheche &amp; Partners Law Chambers</w:t>
      </w:r>
      <w:r w:rsidR="00D46EB6">
        <w:rPr>
          <w:rFonts w:ascii="Times New Roman" w:hAnsi="Times New Roman" w:cs="Times New Roman"/>
          <w:sz w:val="24"/>
          <w:szCs w:val="24"/>
        </w:rPr>
        <w:t>, applicant’s legal practitioners</w:t>
      </w:r>
    </w:p>
    <w:p w14:paraId="191BEA7B" w14:textId="77777777" w:rsidR="00D46EB6" w:rsidRPr="0001258D" w:rsidRDefault="00D46EB6" w:rsidP="00D46EB6">
      <w:pPr>
        <w:spacing w:after="0" w:line="240" w:lineRule="auto"/>
        <w:jc w:val="both"/>
        <w:rPr>
          <w:rFonts w:ascii="Times New Roman" w:hAnsi="Times New Roman" w:cs="Times New Roman"/>
          <w:sz w:val="24"/>
          <w:szCs w:val="24"/>
        </w:rPr>
      </w:pPr>
      <w:r w:rsidRPr="00CD42F9">
        <w:rPr>
          <w:rFonts w:ascii="Times New Roman" w:hAnsi="Times New Roman" w:cs="Times New Roman"/>
          <w:i/>
          <w:sz w:val="24"/>
          <w:szCs w:val="24"/>
        </w:rPr>
        <w:t>Moyo Jera Legal Practitioners</w:t>
      </w:r>
      <w:r>
        <w:rPr>
          <w:rFonts w:ascii="Times New Roman" w:hAnsi="Times New Roman" w:cs="Times New Roman"/>
          <w:sz w:val="24"/>
          <w:szCs w:val="24"/>
        </w:rPr>
        <w:t>, respondent’s legal practitioners</w:t>
      </w:r>
    </w:p>
    <w:p w14:paraId="4D66388D" w14:textId="15118928" w:rsidR="000F6758" w:rsidRDefault="000F6758" w:rsidP="00681809">
      <w:pPr>
        <w:spacing w:after="0" w:line="360" w:lineRule="auto"/>
        <w:ind w:firstLine="720"/>
        <w:jc w:val="both"/>
        <w:rPr>
          <w:rFonts w:ascii="Times New Roman" w:hAnsi="Times New Roman" w:cs="Times New Roman"/>
          <w:sz w:val="24"/>
          <w:szCs w:val="24"/>
        </w:rPr>
      </w:pPr>
    </w:p>
    <w:p w14:paraId="5488C19B" w14:textId="77777777" w:rsidR="00D46EB6" w:rsidRDefault="00D46EB6" w:rsidP="00681809">
      <w:pPr>
        <w:spacing w:after="0" w:line="360" w:lineRule="auto"/>
        <w:ind w:firstLine="720"/>
        <w:jc w:val="both"/>
        <w:rPr>
          <w:rFonts w:ascii="Times New Roman" w:hAnsi="Times New Roman" w:cs="Times New Roman"/>
          <w:sz w:val="24"/>
          <w:szCs w:val="24"/>
        </w:rPr>
      </w:pPr>
    </w:p>
    <w:p w14:paraId="1D7835F2" w14:textId="77777777" w:rsidR="00D46EB6" w:rsidRDefault="00D46EB6" w:rsidP="00681809">
      <w:pPr>
        <w:spacing w:after="0" w:line="360" w:lineRule="auto"/>
        <w:ind w:firstLine="720"/>
        <w:jc w:val="both"/>
        <w:rPr>
          <w:rFonts w:ascii="Times New Roman" w:hAnsi="Times New Roman" w:cs="Times New Roman"/>
          <w:sz w:val="24"/>
          <w:szCs w:val="24"/>
        </w:rPr>
      </w:pPr>
    </w:p>
    <w:p w14:paraId="02B3D195" w14:textId="77777777" w:rsidR="00341BAC" w:rsidRDefault="00341BAC" w:rsidP="00681809">
      <w:pPr>
        <w:spacing w:after="0" w:line="360" w:lineRule="auto"/>
        <w:ind w:firstLine="720"/>
        <w:jc w:val="both"/>
        <w:rPr>
          <w:rFonts w:ascii="Times New Roman" w:hAnsi="Times New Roman" w:cs="Times New Roman"/>
          <w:sz w:val="24"/>
          <w:szCs w:val="24"/>
        </w:rPr>
      </w:pPr>
    </w:p>
    <w:p w14:paraId="57FB0EB6" w14:textId="46FA12E6" w:rsidR="001666B1" w:rsidRDefault="00681809" w:rsidP="00681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A0B42EE" w14:textId="77777777" w:rsidR="00681809" w:rsidRDefault="00681809" w:rsidP="00681809">
      <w:pPr>
        <w:spacing w:after="0" w:line="360" w:lineRule="auto"/>
        <w:ind w:firstLine="720"/>
        <w:jc w:val="both"/>
        <w:rPr>
          <w:rFonts w:ascii="Times New Roman" w:hAnsi="Times New Roman" w:cs="Times New Roman"/>
          <w:sz w:val="24"/>
          <w:szCs w:val="24"/>
        </w:rPr>
      </w:pPr>
    </w:p>
    <w:p w14:paraId="1D1392E8" w14:textId="77777777" w:rsidR="00681809" w:rsidRDefault="00681809" w:rsidP="00681809">
      <w:pPr>
        <w:spacing w:after="0" w:line="360" w:lineRule="auto"/>
        <w:ind w:firstLine="720"/>
        <w:jc w:val="both"/>
        <w:rPr>
          <w:rFonts w:ascii="Times New Roman" w:hAnsi="Times New Roman" w:cs="Times New Roman"/>
          <w:sz w:val="24"/>
          <w:szCs w:val="24"/>
        </w:rPr>
      </w:pPr>
    </w:p>
    <w:p w14:paraId="12F79E3C" w14:textId="77777777" w:rsidR="00681809" w:rsidRDefault="00681809" w:rsidP="00681809">
      <w:pPr>
        <w:spacing w:after="0" w:line="360" w:lineRule="auto"/>
        <w:ind w:firstLine="720"/>
        <w:jc w:val="both"/>
        <w:rPr>
          <w:rFonts w:ascii="Times New Roman" w:hAnsi="Times New Roman" w:cs="Times New Roman"/>
          <w:sz w:val="24"/>
          <w:szCs w:val="24"/>
        </w:rPr>
      </w:pPr>
    </w:p>
    <w:p w14:paraId="407E1001" w14:textId="77777777" w:rsidR="00681809" w:rsidRDefault="00681809" w:rsidP="00681809">
      <w:pPr>
        <w:spacing w:after="0" w:line="360" w:lineRule="auto"/>
        <w:ind w:firstLine="720"/>
        <w:jc w:val="both"/>
        <w:rPr>
          <w:rFonts w:ascii="Times New Roman" w:hAnsi="Times New Roman" w:cs="Times New Roman"/>
          <w:sz w:val="24"/>
          <w:szCs w:val="24"/>
        </w:rPr>
      </w:pPr>
    </w:p>
    <w:p w14:paraId="3F38D6A6" w14:textId="77777777" w:rsidR="00681809" w:rsidRDefault="00681809" w:rsidP="00681809">
      <w:pPr>
        <w:spacing w:after="0" w:line="360" w:lineRule="auto"/>
        <w:ind w:firstLine="720"/>
        <w:jc w:val="both"/>
        <w:rPr>
          <w:rFonts w:ascii="Times New Roman" w:hAnsi="Times New Roman" w:cs="Times New Roman"/>
          <w:sz w:val="24"/>
          <w:szCs w:val="24"/>
        </w:rPr>
      </w:pPr>
    </w:p>
    <w:p w14:paraId="028F6172" w14:textId="77777777" w:rsidR="00681809" w:rsidRDefault="00681809" w:rsidP="00681809">
      <w:pPr>
        <w:spacing w:after="0" w:line="360" w:lineRule="auto"/>
        <w:ind w:firstLine="720"/>
        <w:jc w:val="both"/>
        <w:rPr>
          <w:rFonts w:ascii="Times New Roman" w:hAnsi="Times New Roman" w:cs="Times New Roman"/>
          <w:sz w:val="24"/>
          <w:szCs w:val="24"/>
        </w:rPr>
      </w:pPr>
    </w:p>
    <w:p w14:paraId="5199FC4C" w14:textId="77777777" w:rsidR="00681809" w:rsidRDefault="00681809" w:rsidP="00681809">
      <w:pPr>
        <w:spacing w:after="0" w:line="360" w:lineRule="auto"/>
        <w:ind w:firstLine="720"/>
        <w:jc w:val="both"/>
        <w:rPr>
          <w:rFonts w:ascii="Times New Roman" w:hAnsi="Times New Roman" w:cs="Times New Roman"/>
          <w:sz w:val="24"/>
          <w:szCs w:val="24"/>
        </w:rPr>
      </w:pPr>
    </w:p>
    <w:p w14:paraId="1B70DE0F" w14:textId="77777777" w:rsidR="00681809" w:rsidRDefault="00681809" w:rsidP="00681809">
      <w:pPr>
        <w:spacing w:after="0" w:line="360" w:lineRule="auto"/>
        <w:ind w:firstLine="720"/>
        <w:jc w:val="both"/>
        <w:rPr>
          <w:rFonts w:ascii="Times New Roman" w:hAnsi="Times New Roman" w:cs="Times New Roman"/>
          <w:sz w:val="24"/>
          <w:szCs w:val="24"/>
        </w:rPr>
      </w:pPr>
    </w:p>
    <w:p w14:paraId="5403A5E3" w14:textId="77777777" w:rsidR="00681809" w:rsidRDefault="00681809" w:rsidP="00681809">
      <w:pPr>
        <w:spacing w:after="0" w:line="360" w:lineRule="auto"/>
        <w:ind w:firstLine="720"/>
        <w:jc w:val="both"/>
        <w:rPr>
          <w:rFonts w:ascii="Times New Roman" w:hAnsi="Times New Roman" w:cs="Times New Roman"/>
          <w:sz w:val="24"/>
          <w:szCs w:val="24"/>
        </w:rPr>
      </w:pPr>
    </w:p>
    <w:p w14:paraId="2AFFD766" w14:textId="77777777" w:rsidR="00681809" w:rsidRDefault="00681809" w:rsidP="00681809">
      <w:pPr>
        <w:spacing w:after="0" w:line="360" w:lineRule="auto"/>
        <w:ind w:firstLine="720"/>
        <w:jc w:val="both"/>
        <w:rPr>
          <w:rFonts w:ascii="Times New Roman" w:hAnsi="Times New Roman" w:cs="Times New Roman"/>
          <w:sz w:val="24"/>
          <w:szCs w:val="24"/>
        </w:rPr>
      </w:pPr>
    </w:p>
    <w:p w14:paraId="33F7270B" w14:textId="77777777" w:rsidR="00681809" w:rsidRDefault="00681809" w:rsidP="00681809">
      <w:pPr>
        <w:spacing w:after="0" w:line="360" w:lineRule="auto"/>
        <w:ind w:firstLine="720"/>
        <w:jc w:val="both"/>
        <w:rPr>
          <w:rFonts w:ascii="Times New Roman" w:hAnsi="Times New Roman" w:cs="Times New Roman"/>
          <w:sz w:val="24"/>
          <w:szCs w:val="24"/>
        </w:rPr>
      </w:pPr>
    </w:p>
    <w:p w14:paraId="2BA1934F" w14:textId="77777777" w:rsidR="00681809" w:rsidRDefault="00681809" w:rsidP="00681809">
      <w:pPr>
        <w:spacing w:after="0" w:line="360" w:lineRule="auto"/>
        <w:ind w:firstLine="720"/>
        <w:jc w:val="both"/>
        <w:rPr>
          <w:rFonts w:ascii="Times New Roman" w:hAnsi="Times New Roman" w:cs="Times New Roman"/>
          <w:sz w:val="24"/>
          <w:szCs w:val="24"/>
        </w:rPr>
      </w:pPr>
    </w:p>
    <w:p w14:paraId="709D0E05" w14:textId="77777777" w:rsidR="00681809" w:rsidRDefault="00681809" w:rsidP="00681809">
      <w:pPr>
        <w:spacing w:after="0" w:line="360" w:lineRule="auto"/>
        <w:ind w:firstLine="720"/>
        <w:jc w:val="both"/>
        <w:rPr>
          <w:rFonts w:ascii="Times New Roman" w:hAnsi="Times New Roman" w:cs="Times New Roman"/>
          <w:sz w:val="24"/>
          <w:szCs w:val="24"/>
        </w:rPr>
      </w:pPr>
    </w:p>
    <w:sectPr w:rsidR="00681809">
      <w:headerReference w:type="default" r:id="rId8"/>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EABC08" w16cid:durableId="24D8CAE2"/>
  <w16cid:commentId w16cid:paraId="2FCCF6C1" w16cid:durableId="24D8CAE3"/>
  <w16cid:commentId w16cid:paraId="37F3B5F9" w16cid:durableId="24D8CA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A488" w14:textId="77777777" w:rsidR="00326141" w:rsidRDefault="00326141" w:rsidP="008C5CF9">
      <w:pPr>
        <w:spacing w:after="0" w:line="240" w:lineRule="auto"/>
      </w:pPr>
      <w:r>
        <w:separator/>
      </w:r>
    </w:p>
  </w:endnote>
  <w:endnote w:type="continuationSeparator" w:id="0">
    <w:p w14:paraId="14104E05" w14:textId="77777777" w:rsidR="00326141" w:rsidRDefault="00326141" w:rsidP="008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E1724" w14:textId="77777777" w:rsidR="00326141" w:rsidRDefault="00326141" w:rsidP="008C5CF9">
      <w:pPr>
        <w:spacing w:after="0" w:line="240" w:lineRule="auto"/>
      </w:pPr>
      <w:r>
        <w:separator/>
      </w:r>
    </w:p>
  </w:footnote>
  <w:footnote w:type="continuationSeparator" w:id="0">
    <w:p w14:paraId="3A0DBD15" w14:textId="77777777" w:rsidR="00326141" w:rsidRDefault="00326141" w:rsidP="008C5CF9">
      <w:pPr>
        <w:spacing w:after="0" w:line="240" w:lineRule="auto"/>
      </w:pPr>
      <w:r>
        <w:continuationSeparator/>
      </w:r>
    </w:p>
  </w:footnote>
  <w:footnote w:id="1">
    <w:p w14:paraId="2944149E" w14:textId="77777777" w:rsidR="000F6758" w:rsidRPr="00C55AD9" w:rsidRDefault="000F6758" w:rsidP="000F6758">
      <w:pPr>
        <w:pStyle w:val="FootnoteText"/>
        <w:rPr>
          <w:lang w:val="en-US"/>
        </w:rPr>
      </w:pPr>
      <w:r>
        <w:rPr>
          <w:rStyle w:val="FootnoteReference"/>
        </w:rPr>
        <w:footnoteRef/>
      </w:r>
      <w:r>
        <w:t xml:space="preserve"> </w:t>
      </w:r>
      <w:r>
        <w:rPr>
          <w:lang w:val="en-US"/>
        </w:rPr>
        <w:t>2018 (1) ZLR 446 (S)</w:t>
      </w:r>
    </w:p>
  </w:footnote>
  <w:footnote w:id="2">
    <w:p w14:paraId="68B4521C" w14:textId="77777777" w:rsidR="00341BAC" w:rsidRPr="00341BAC" w:rsidRDefault="00341BAC" w:rsidP="00341BAC">
      <w:pPr>
        <w:pStyle w:val="FootnoteText"/>
        <w:rPr>
          <w:lang w:val="en-US"/>
        </w:rPr>
      </w:pPr>
      <w:r>
        <w:rPr>
          <w:rStyle w:val="FootnoteReference"/>
        </w:rPr>
        <w:footnoteRef/>
      </w:r>
      <w:r>
        <w:t xml:space="preserve"> </w:t>
      </w:r>
      <w:r>
        <w:rPr>
          <w:lang w:val="en-US"/>
        </w:rPr>
        <w:t>Makarudze &amp; Another v Bungu &amp; Ors 2015 (1) ZLR 15</w:t>
      </w:r>
    </w:p>
  </w:footnote>
  <w:footnote w:id="3">
    <w:p w14:paraId="07CC7A02" w14:textId="3EBC8D78" w:rsidR="00350E4C" w:rsidRPr="00350E4C" w:rsidRDefault="00350E4C">
      <w:pPr>
        <w:pStyle w:val="FootnoteText"/>
        <w:rPr>
          <w:lang w:val="en-US"/>
        </w:rPr>
      </w:pPr>
      <w:r>
        <w:rPr>
          <w:rStyle w:val="FootnoteReference"/>
        </w:rPr>
        <w:footnoteRef/>
      </w:r>
      <w:r>
        <w:t xml:space="preserve"> </w:t>
      </w:r>
      <w:r>
        <w:rPr>
          <w:lang w:val="en-US"/>
        </w:rPr>
        <w:t>Section 143 (5) of the  Companies Act Chapter 24:03</w:t>
      </w:r>
    </w:p>
  </w:footnote>
  <w:footnote w:id="4">
    <w:p w14:paraId="46348B97" w14:textId="77777777" w:rsidR="00FB18FA" w:rsidRPr="00350E4C" w:rsidRDefault="00FB18FA" w:rsidP="00FB18FA">
      <w:pPr>
        <w:pStyle w:val="FootnoteText"/>
        <w:rPr>
          <w:lang w:val="en-US"/>
        </w:rPr>
      </w:pPr>
      <w:r>
        <w:rPr>
          <w:rStyle w:val="FootnoteReference"/>
        </w:rPr>
        <w:footnoteRef/>
      </w:r>
      <w:r>
        <w:t xml:space="preserve"> </w:t>
      </w:r>
      <w:r>
        <w:rPr>
          <w:lang w:val="en-US"/>
        </w:rPr>
        <w:t>Section 143(1) &amp;(3) of the Act</w:t>
      </w:r>
    </w:p>
  </w:footnote>
  <w:footnote w:id="5">
    <w:p w14:paraId="1E044A41" w14:textId="34753DCB" w:rsidR="00BC649B" w:rsidRPr="00BC649B" w:rsidRDefault="00BC649B">
      <w:pPr>
        <w:pStyle w:val="FootnoteText"/>
        <w:rPr>
          <w:lang w:val="en-US"/>
        </w:rPr>
      </w:pPr>
      <w:r>
        <w:rPr>
          <w:rStyle w:val="FootnoteReference"/>
        </w:rPr>
        <w:footnoteRef/>
      </w:r>
      <w:r>
        <w:t xml:space="preserve"> </w:t>
      </w:r>
      <w:r>
        <w:rPr>
          <w:lang w:val="en-US"/>
        </w:rPr>
        <w:t>Sal</w:t>
      </w:r>
      <w:r w:rsidR="00515AC6">
        <w:rPr>
          <w:lang w:val="en-US"/>
        </w:rPr>
        <w:t>o</w:t>
      </w:r>
      <w:r>
        <w:rPr>
          <w:lang w:val="en-US"/>
        </w:rPr>
        <w:t>mon v Sa</w:t>
      </w:r>
      <w:r w:rsidR="00515AC6">
        <w:rPr>
          <w:lang w:val="en-US"/>
        </w:rPr>
        <w:t>lo</w:t>
      </w:r>
      <w:r>
        <w:rPr>
          <w:lang w:val="en-US"/>
        </w:rPr>
        <w:t>mon</w:t>
      </w:r>
      <w:r w:rsidR="00515AC6">
        <w:rPr>
          <w:lang w:val="en-US"/>
        </w:rPr>
        <w:t xml:space="preserve"> &amp; Co Ltd 1897 AC 22</w:t>
      </w:r>
    </w:p>
  </w:footnote>
  <w:footnote w:id="6">
    <w:p w14:paraId="3566923C" w14:textId="311D8CD4" w:rsidR="00515AC6" w:rsidRPr="00515AC6" w:rsidRDefault="00515AC6">
      <w:pPr>
        <w:pStyle w:val="FootnoteText"/>
        <w:rPr>
          <w:lang w:val="en-US"/>
        </w:rPr>
      </w:pPr>
      <w:r>
        <w:rPr>
          <w:rStyle w:val="FootnoteReference"/>
        </w:rPr>
        <w:footnoteRef/>
      </w:r>
      <w:r>
        <w:t xml:space="preserve"> </w:t>
      </w:r>
      <w:r>
        <w:rPr>
          <w:lang w:val="en-US"/>
        </w:rPr>
        <w:t>1969 2 AII ER 1185</w:t>
      </w:r>
    </w:p>
  </w:footnote>
  <w:footnote w:id="7">
    <w:p w14:paraId="57DA5D24" w14:textId="1DB4AC33" w:rsidR="002F6D55" w:rsidRPr="002F6D55" w:rsidRDefault="002F6D55">
      <w:pPr>
        <w:pStyle w:val="FootnoteText"/>
        <w:rPr>
          <w:lang w:val="en-US"/>
        </w:rPr>
      </w:pPr>
      <w:r>
        <w:rPr>
          <w:rStyle w:val="FootnoteReference"/>
        </w:rPr>
        <w:footnoteRef/>
      </w:r>
      <w:r>
        <w:t xml:space="preserve"> </w:t>
      </w:r>
      <w:r>
        <w:rPr>
          <w:lang w:val="en-US"/>
        </w:rPr>
        <w:t xml:space="preserve">1993 (2) SA 669 (A) cited in </w:t>
      </w:r>
      <w:r w:rsidRPr="002F6D55">
        <w:t>Hahlo’s South African Company Law through cases</w:t>
      </w:r>
      <w:r>
        <w:t xml:space="preserve">, 1999, Juta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3693"/>
      <w:docPartObj>
        <w:docPartGallery w:val="Page Numbers (Top of Page)"/>
        <w:docPartUnique/>
      </w:docPartObj>
    </w:sdtPr>
    <w:sdtEndPr>
      <w:rPr>
        <w:noProof/>
      </w:rPr>
    </w:sdtEndPr>
    <w:sdtContent>
      <w:p w14:paraId="6B8A17E6" w14:textId="0648A8D7" w:rsidR="00BB265A" w:rsidRDefault="00BB265A">
        <w:pPr>
          <w:pStyle w:val="Header"/>
          <w:jc w:val="right"/>
          <w:rPr>
            <w:noProof/>
          </w:rPr>
        </w:pPr>
        <w:r>
          <w:fldChar w:fldCharType="begin"/>
        </w:r>
        <w:r>
          <w:instrText xml:space="preserve"> PAGE   \* MERGEFORMAT </w:instrText>
        </w:r>
        <w:r>
          <w:fldChar w:fldCharType="separate"/>
        </w:r>
        <w:r w:rsidR="00861133">
          <w:rPr>
            <w:noProof/>
          </w:rPr>
          <w:t>1</w:t>
        </w:r>
        <w:r>
          <w:rPr>
            <w:noProof/>
          </w:rPr>
          <w:fldChar w:fldCharType="end"/>
        </w:r>
      </w:p>
      <w:p w14:paraId="2BC3CE43" w14:textId="271CBA9C" w:rsidR="0077007A" w:rsidRDefault="0077007A">
        <w:pPr>
          <w:pStyle w:val="Header"/>
          <w:jc w:val="right"/>
          <w:rPr>
            <w:noProof/>
          </w:rPr>
        </w:pPr>
        <w:r>
          <w:rPr>
            <w:noProof/>
          </w:rPr>
          <w:t xml:space="preserve">HH </w:t>
        </w:r>
        <w:r w:rsidR="00812444">
          <w:rPr>
            <w:noProof/>
          </w:rPr>
          <w:t>468-21</w:t>
        </w:r>
      </w:p>
      <w:p w14:paraId="11CCB5FC" w14:textId="77777777" w:rsidR="00BB265A" w:rsidRDefault="00893105">
        <w:pPr>
          <w:pStyle w:val="Header"/>
          <w:jc w:val="right"/>
        </w:pPr>
        <w:r>
          <w:rPr>
            <w:noProof/>
          </w:rPr>
          <w:t>HC</w:t>
        </w:r>
        <w:r w:rsidR="009A1D39">
          <w:rPr>
            <w:noProof/>
          </w:rPr>
          <w:t xml:space="preserve"> 3737/19</w:t>
        </w:r>
      </w:p>
    </w:sdtContent>
  </w:sdt>
  <w:p w14:paraId="756E4F9F" w14:textId="77777777" w:rsidR="00BB265A" w:rsidRDefault="00BB26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9AB"/>
    <w:multiLevelType w:val="hybridMultilevel"/>
    <w:tmpl w:val="14E026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A27B7F"/>
    <w:multiLevelType w:val="hybridMultilevel"/>
    <w:tmpl w:val="152E08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1040D7"/>
    <w:multiLevelType w:val="hybridMultilevel"/>
    <w:tmpl w:val="6A5011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96153B7"/>
    <w:multiLevelType w:val="hybridMultilevel"/>
    <w:tmpl w:val="876A568C"/>
    <w:lvl w:ilvl="0" w:tplc="7CC070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91484A"/>
    <w:multiLevelType w:val="hybridMultilevel"/>
    <w:tmpl w:val="1DB4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93E44"/>
    <w:multiLevelType w:val="hybridMultilevel"/>
    <w:tmpl w:val="AD38B7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8D070F5"/>
    <w:multiLevelType w:val="hybridMultilevel"/>
    <w:tmpl w:val="059EE2DC"/>
    <w:lvl w:ilvl="0" w:tplc="A1B4FC1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7" w15:restartNumberingAfterBreak="0">
    <w:nsid w:val="290448F8"/>
    <w:multiLevelType w:val="hybridMultilevel"/>
    <w:tmpl w:val="E6A02ADE"/>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44CA31D8"/>
    <w:multiLevelType w:val="hybridMultilevel"/>
    <w:tmpl w:val="F4B4477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34F321D"/>
    <w:multiLevelType w:val="hybridMultilevel"/>
    <w:tmpl w:val="3AF2C31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3F36186"/>
    <w:multiLevelType w:val="hybridMultilevel"/>
    <w:tmpl w:val="2E9EBD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75E76144"/>
    <w:multiLevelType w:val="hybridMultilevel"/>
    <w:tmpl w:val="8F6C8FDC"/>
    <w:lvl w:ilvl="0" w:tplc="0B041C9A">
      <w:start w:val="1"/>
      <w:numFmt w:val="decimal"/>
      <w:lvlText w:val="%1."/>
      <w:lvlJc w:val="left"/>
      <w:pPr>
        <w:ind w:left="862" w:hanging="72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12" w15:restartNumberingAfterBreak="0">
    <w:nsid w:val="77863203"/>
    <w:multiLevelType w:val="hybridMultilevel"/>
    <w:tmpl w:val="90E29C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2"/>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22"/>
    <w:rsid w:val="00004238"/>
    <w:rsid w:val="0001258D"/>
    <w:rsid w:val="000459BC"/>
    <w:rsid w:val="0005443B"/>
    <w:rsid w:val="000567FA"/>
    <w:rsid w:val="00073741"/>
    <w:rsid w:val="00077C42"/>
    <w:rsid w:val="00091CBD"/>
    <w:rsid w:val="000C7390"/>
    <w:rsid w:val="000F0AF5"/>
    <w:rsid w:val="000F6758"/>
    <w:rsid w:val="001666B1"/>
    <w:rsid w:val="00174E53"/>
    <w:rsid w:val="00187F9C"/>
    <w:rsid w:val="00192D78"/>
    <w:rsid w:val="001960F6"/>
    <w:rsid w:val="001A2111"/>
    <w:rsid w:val="001B3BC7"/>
    <w:rsid w:val="001C5CE1"/>
    <w:rsid w:val="001D0ED6"/>
    <w:rsid w:val="001F5B1B"/>
    <w:rsid w:val="00200DCB"/>
    <w:rsid w:val="00204C77"/>
    <w:rsid w:val="002058D9"/>
    <w:rsid w:val="002502BE"/>
    <w:rsid w:val="00273306"/>
    <w:rsid w:val="00283127"/>
    <w:rsid w:val="00292EB2"/>
    <w:rsid w:val="002B70CA"/>
    <w:rsid w:val="002D1841"/>
    <w:rsid w:val="002E538A"/>
    <w:rsid w:val="002F6D55"/>
    <w:rsid w:val="00305434"/>
    <w:rsid w:val="00317675"/>
    <w:rsid w:val="00326141"/>
    <w:rsid w:val="00330A40"/>
    <w:rsid w:val="003316EE"/>
    <w:rsid w:val="00340311"/>
    <w:rsid w:val="00341BAC"/>
    <w:rsid w:val="00350E4C"/>
    <w:rsid w:val="00361675"/>
    <w:rsid w:val="003649CC"/>
    <w:rsid w:val="00381553"/>
    <w:rsid w:val="00390449"/>
    <w:rsid w:val="00390456"/>
    <w:rsid w:val="00395664"/>
    <w:rsid w:val="003A4DED"/>
    <w:rsid w:val="003E7F24"/>
    <w:rsid w:val="00411AB8"/>
    <w:rsid w:val="004362F4"/>
    <w:rsid w:val="00457D2C"/>
    <w:rsid w:val="0046334F"/>
    <w:rsid w:val="00463C97"/>
    <w:rsid w:val="00493F8B"/>
    <w:rsid w:val="00493FEA"/>
    <w:rsid w:val="004A7653"/>
    <w:rsid w:val="004B5DED"/>
    <w:rsid w:val="004C420F"/>
    <w:rsid w:val="004C600E"/>
    <w:rsid w:val="004D671D"/>
    <w:rsid w:val="004D787F"/>
    <w:rsid w:val="004F2529"/>
    <w:rsid w:val="004F646A"/>
    <w:rsid w:val="004F7CF8"/>
    <w:rsid w:val="005016FD"/>
    <w:rsid w:val="0051202C"/>
    <w:rsid w:val="00515AC6"/>
    <w:rsid w:val="00532130"/>
    <w:rsid w:val="005343DF"/>
    <w:rsid w:val="005569D9"/>
    <w:rsid w:val="005C5233"/>
    <w:rsid w:val="005D241D"/>
    <w:rsid w:val="005D6E23"/>
    <w:rsid w:val="005E26CB"/>
    <w:rsid w:val="00607500"/>
    <w:rsid w:val="006247A8"/>
    <w:rsid w:val="006255DD"/>
    <w:rsid w:val="006432BA"/>
    <w:rsid w:val="00661728"/>
    <w:rsid w:val="00672605"/>
    <w:rsid w:val="00672EC2"/>
    <w:rsid w:val="0067725A"/>
    <w:rsid w:val="00681809"/>
    <w:rsid w:val="006A495D"/>
    <w:rsid w:val="006B476A"/>
    <w:rsid w:val="006D7251"/>
    <w:rsid w:val="006E175D"/>
    <w:rsid w:val="0070699B"/>
    <w:rsid w:val="00724FE8"/>
    <w:rsid w:val="007253A6"/>
    <w:rsid w:val="00742D6D"/>
    <w:rsid w:val="00747574"/>
    <w:rsid w:val="007509DA"/>
    <w:rsid w:val="0075166B"/>
    <w:rsid w:val="00761B58"/>
    <w:rsid w:val="0077007A"/>
    <w:rsid w:val="007736B1"/>
    <w:rsid w:val="00775DC3"/>
    <w:rsid w:val="007865D1"/>
    <w:rsid w:val="007A29F8"/>
    <w:rsid w:val="007B590E"/>
    <w:rsid w:val="007C1D7E"/>
    <w:rsid w:val="007C4643"/>
    <w:rsid w:val="007E15A9"/>
    <w:rsid w:val="007E514B"/>
    <w:rsid w:val="00812444"/>
    <w:rsid w:val="0081274D"/>
    <w:rsid w:val="008445BB"/>
    <w:rsid w:val="00861133"/>
    <w:rsid w:val="00872667"/>
    <w:rsid w:val="00893105"/>
    <w:rsid w:val="008A3672"/>
    <w:rsid w:val="008B1592"/>
    <w:rsid w:val="008B5EB6"/>
    <w:rsid w:val="008C5CF9"/>
    <w:rsid w:val="008F225D"/>
    <w:rsid w:val="00910909"/>
    <w:rsid w:val="0091547A"/>
    <w:rsid w:val="00963053"/>
    <w:rsid w:val="00966DEC"/>
    <w:rsid w:val="0098018A"/>
    <w:rsid w:val="00994DAD"/>
    <w:rsid w:val="009A1D39"/>
    <w:rsid w:val="009B2BE9"/>
    <w:rsid w:val="009B6C74"/>
    <w:rsid w:val="009D2BE6"/>
    <w:rsid w:val="009E5711"/>
    <w:rsid w:val="00A3455F"/>
    <w:rsid w:val="00A7280A"/>
    <w:rsid w:val="00A749D9"/>
    <w:rsid w:val="00A877AF"/>
    <w:rsid w:val="00AA122E"/>
    <w:rsid w:val="00AB6C38"/>
    <w:rsid w:val="00AC11AB"/>
    <w:rsid w:val="00AC3F84"/>
    <w:rsid w:val="00AC4F72"/>
    <w:rsid w:val="00AE08BA"/>
    <w:rsid w:val="00B05F70"/>
    <w:rsid w:val="00B12922"/>
    <w:rsid w:val="00B35917"/>
    <w:rsid w:val="00B35C93"/>
    <w:rsid w:val="00B40EB2"/>
    <w:rsid w:val="00B437BA"/>
    <w:rsid w:val="00B75DCD"/>
    <w:rsid w:val="00B76054"/>
    <w:rsid w:val="00B86915"/>
    <w:rsid w:val="00BA22FC"/>
    <w:rsid w:val="00BB265A"/>
    <w:rsid w:val="00BC649B"/>
    <w:rsid w:val="00BD4B57"/>
    <w:rsid w:val="00BD7D60"/>
    <w:rsid w:val="00BF07C6"/>
    <w:rsid w:val="00BF25EC"/>
    <w:rsid w:val="00BF3DBA"/>
    <w:rsid w:val="00C23AEB"/>
    <w:rsid w:val="00C44189"/>
    <w:rsid w:val="00C55AD9"/>
    <w:rsid w:val="00C57968"/>
    <w:rsid w:val="00C74931"/>
    <w:rsid w:val="00C90ACC"/>
    <w:rsid w:val="00C930BE"/>
    <w:rsid w:val="00CC4BF0"/>
    <w:rsid w:val="00CD17A4"/>
    <w:rsid w:val="00CD42F9"/>
    <w:rsid w:val="00D1025C"/>
    <w:rsid w:val="00D1105A"/>
    <w:rsid w:val="00D1512D"/>
    <w:rsid w:val="00D23101"/>
    <w:rsid w:val="00D4325C"/>
    <w:rsid w:val="00D446AD"/>
    <w:rsid w:val="00D46EB6"/>
    <w:rsid w:val="00D479E4"/>
    <w:rsid w:val="00D66C74"/>
    <w:rsid w:val="00D70813"/>
    <w:rsid w:val="00D74339"/>
    <w:rsid w:val="00D86EE8"/>
    <w:rsid w:val="00D872CD"/>
    <w:rsid w:val="00D931FA"/>
    <w:rsid w:val="00DD6D3B"/>
    <w:rsid w:val="00E04D81"/>
    <w:rsid w:val="00E158B4"/>
    <w:rsid w:val="00E215A0"/>
    <w:rsid w:val="00E25CCD"/>
    <w:rsid w:val="00E30861"/>
    <w:rsid w:val="00E64721"/>
    <w:rsid w:val="00E761CA"/>
    <w:rsid w:val="00E95629"/>
    <w:rsid w:val="00E96528"/>
    <w:rsid w:val="00EA35F0"/>
    <w:rsid w:val="00EA5F1E"/>
    <w:rsid w:val="00EB293B"/>
    <w:rsid w:val="00EB3D71"/>
    <w:rsid w:val="00EB5F2E"/>
    <w:rsid w:val="00EC2E5B"/>
    <w:rsid w:val="00ED7AA4"/>
    <w:rsid w:val="00F1085A"/>
    <w:rsid w:val="00F168F4"/>
    <w:rsid w:val="00F16E33"/>
    <w:rsid w:val="00F25FD5"/>
    <w:rsid w:val="00F300AB"/>
    <w:rsid w:val="00F30649"/>
    <w:rsid w:val="00F31A1C"/>
    <w:rsid w:val="00F54EC7"/>
    <w:rsid w:val="00FA12AF"/>
    <w:rsid w:val="00FA12E6"/>
    <w:rsid w:val="00FB18FA"/>
    <w:rsid w:val="00FB6CEC"/>
    <w:rsid w:val="00FF61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5BDB"/>
  <w15:docId w15:val="{CF46FF5E-5B99-4248-BDD7-AE5035D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C"/>
    <w:pPr>
      <w:spacing w:after="0" w:line="240" w:lineRule="auto"/>
    </w:pPr>
  </w:style>
  <w:style w:type="paragraph" w:styleId="ListParagraph">
    <w:name w:val="List Paragraph"/>
    <w:basedOn w:val="Normal"/>
    <w:uiPriority w:val="34"/>
    <w:qFormat/>
    <w:rsid w:val="00E96528"/>
    <w:pPr>
      <w:ind w:left="720"/>
      <w:contextualSpacing/>
    </w:pPr>
  </w:style>
  <w:style w:type="paragraph" w:styleId="FootnoteText">
    <w:name w:val="footnote text"/>
    <w:basedOn w:val="Normal"/>
    <w:link w:val="FootnoteTextChar"/>
    <w:uiPriority w:val="99"/>
    <w:semiHidden/>
    <w:unhideWhenUsed/>
    <w:rsid w:val="008C5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CF9"/>
    <w:rPr>
      <w:sz w:val="20"/>
      <w:szCs w:val="20"/>
    </w:rPr>
  </w:style>
  <w:style w:type="character" w:styleId="FootnoteReference">
    <w:name w:val="footnote reference"/>
    <w:basedOn w:val="DefaultParagraphFont"/>
    <w:uiPriority w:val="99"/>
    <w:semiHidden/>
    <w:unhideWhenUsed/>
    <w:rsid w:val="008C5CF9"/>
    <w:rPr>
      <w:vertAlign w:val="superscript"/>
    </w:rPr>
  </w:style>
  <w:style w:type="character" w:styleId="CommentReference">
    <w:name w:val="annotation reference"/>
    <w:basedOn w:val="DefaultParagraphFont"/>
    <w:uiPriority w:val="99"/>
    <w:semiHidden/>
    <w:unhideWhenUsed/>
    <w:rsid w:val="007E15A9"/>
    <w:rPr>
      <w:sz w:val="16"/>
      <w:szCs w:val="16"/>
    </w:rPr>
  </w:style>
  <w:style w:type="paragraph" w:styleId="CommentText">
    <w:name w:val="annotation text"/>
    <w:basedOn w:val="Normal"/>
    <w:link w:val="CommentTextChar"/>
    <w:uiPriority w:val="99"/>
    <w:semiHidden/>
    <w:unhideWhenUsed/>
    <w:rsid w:val="007E15A9"/>
    <w:pPr>
      <w:spacing w:line="240" w:lineRule="auto"/>
    </w:pPr>
    <w:rPr>
      <w:sz w:val="20"/>
      <w:szCs w:val="20"/>
    </w:rPr>
  </w:style>
  <w:style w:type="character" w:customStyle="1" w:styleId="CommentTextChar">
    <w:name w:val="Comment Text Char"/>
    <w:basedOn w:val="DefaultParagraphFont"/>
    <w:link w:val="CommentText"/>
    <w:uiPriority w:val="99"/>
    <w:semiHidden/>
    <w:rsid w:val="007E15A9"/>
    <w:rPr>
      <w:sz w:val="20"/>
      <w:szCs w:val="20"/>
    </w:rPr>
  </w:style>
  <w:style w:type="paragraph" w:styleId="CommentSubject">
    <w:name w:val="annotation subject"/>
    <w:basedOn w:val="CommentText"/>
    <w:next w:val="CommentText"/>
    <w:link w:val="CommentSubjectChar"/>
    <w:uiPriority w:val="99"/>
    <w:semiHidden/>
    <w:unhideWhenUsed/>
    <w:rsid w:val="007E15A9"/>
    <w:rPr>
      <w:b/>
      <w:bCs/>
    </w:rPr>
  </w:style>
  <w:style w:type="character" w:customStyle="1" w:styleId="CommentSubjectChar">
    <w:name w:val="Comment Subject Char"/>
    <w:basedOn w:val="CommentTextChar"/>
    <w:link w:val="CommentSubject"/>
    <w:uiPriority w:val="99"/>
    <w:semiHidden/>
    <w:rsid w:val="007E15A9"/>
    <w:rPr>
      <w:b/>
      <w:bCs/>
      <w:sz w:val="20"/>
      <w:szCs w:val="20"/>
    </w:rPr>
  </w:style>
  <w:style w:type="paragraph" w:styleId="BalloonText">
    <w:name w:val="Balloon Text"/>
    <w:basedOn w:val="Normal"/>
    <w:link w:val="BalloonTextChar"/>
    <w:uiPriority w:val="99"/>
    <w:semiHidden/>
    <w:unhideWhenUsed/>
    <w:rsid w:val="007E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A9"/>
    <w:rPr>
      <w:rFonts w:ascii="Segoe UI" w:hAnsi="Segoe UI" w:cs="Segoe UI"/>
      <w:sz w:val="18"/>
      <w:szCs w:val="18"/>
    </w:rPr>
  </w:style>
  <w:style w:type="paragraph" w:styleId="EndnoteText">
    <w:name w:val="endnote text"/>
    <w:basedOn w:val="Normal"/>
    <w:link w:val="EndnoteTextChar"/>
    <w:uiPriority w:val="99"/>
    <w:semiHidden/>
    <w:unhideWhenUsed/>
    <w:rsid w:val="00812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74D"/>
    <w:rPr>
      <w:sz w:val="20"/>
      <w:szCs w:val="20"/>
    </w:rPr>
  </w:style>
  <w:style w:type="character" w:styleId="EndnoteReference">
    <w:name w:val="endnote reference"/>
    <w:basedOn w:val="DefaultParagraphFont"/>
    <w:uiPriority w:val="99"/>
    <w:semiHidden/>
    <w:unhideWhenUsed/>
    <w:rsid w:val="0081274D"/>
    <w:rPr>
      <w:vertAlign w:val="superscript"/>
    </w:rPr>
  </w:style>
  <w:style w:type="paragraph" w:styleId="Header">
    <w:name w:val="header"/>
    <w:basedOn w:val="Normal"/>
    <w:link w:val="HeaderChar"/>
    <w:uiPriority w:val="99"/>
    <w:unhideWhenUsed/>
    <w:rsid w:val="00BB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5A"/>
  </w:style>
  <w:style w:type="paragraph" w:styleId="Footer">
    <w:name w:val="footer"/>
    <w:basedOn w:val="Normal"/>
    <w:link w:val="FooterChar"/>
    <w:uiPriority w:val="99"/>
    <w:unhideWhenUsed/>
    <w:rsid w:val="00BB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CB38-3639-4BA2-9785-5951D685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2021-09-09T09:43:00Z</cp:lastPrinted>
  <dcterms:created xsi:type="dcterms:W3CDTF">2021-09-10T08:53:00Z</dcterms:created>
  <dcterms:modified xsi:type="dcterms:W3CDTF">2021-09-10T08:53:00Z</dcterms:modified>
</cp:coreProperties>
</file>