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5F9" w:rsidRPr="00B04E8C" w:rsidRDefault="00B04E8C">
      <w:pPr>
        <w:rPr>
          <w:rFonts w:ascii="Trebuchet MS" w:hAnsi="Trebuchet MS"/>
          <w:b/>
          <w:sz w:val="24"/>
          <w:szCs w:val="24"/>
        </w:rPr>
      </w:pPr>
      <w:bookmarkStart w:id="0" w:name="_GoBack"/>
      <w:bookmarkEnd w:id="0"/>
      <w:proofErr w:type="gramStart"/>
      <w:r w:rsidRPr="00B04E8C">
        <w:rPr>
          <w:rFonts w:ascii="Trebuchet MS" w:hAnsi="Trebuchet MS"/>
          <w:b/>
          <w:sz w:val="24"/>
          <w:szCs w:val="24"/>
        </w:rPr>
        <w:t xml:space="preserve">IN </w:t>
      </w:r>
      <w:r>
        <w:rPr>
          <w:rFonts w:ascii="Trebuchet MS" w:hAnsi="Trebuchet MS"/>
          <w:b/>
          <w:sz w:val="24"/>
          <w:szCs w:val="24"/>
        </w:rPr>
        <w:t>THE LABOUR COURT OF ZIMABABWE</w:t>
      </w:r>
      <w:r>
        <w:rPr>
          <w:rFonts w:ascii="Trebuchet MS" w:hAnsi="Trebuchet MS"/>
          <w:b/>
          <w:sz w:val="24"/>
          <w:szCs w:val="24"/>
        </w:rPr>
        <w:tab/>
      </w:r>
      <w:r>
        <w:rPr>
          <w:rFonts w:ascii="Trebuchet MS" w:hAnsi="Trebuchet MS"/>
          <w:b/>
          <w:sz w:val="24"/>
          <w:szCs w:val="24"/>
        </w:rPr>
        <w:tab/>
      </w:r>
      <w:r w:rsidRPr="00B04E8C">
        <w:rPr>
          <w:rFonts w:ascii="Trebuchet MS" w:hAnsi="Trebuchet MS"/>
          <w:b/>
          <w:sz w:val="24"/>
          <w:szCs w:val="24"/>
        </w:rPr>
        <w:t>JUDGMENT NO.</w:t>
      </w:r>
      <w:proofErr w:type="gramEnd"/>
      <w:r w:rsidRPr="00B04E8C">
        <w:rPr>
          <w:rFonts w:ascii="Trebuchet MS" w:hAnsi="Trebuchet MS"/>
          <w:b/>
          <w:sz w:val="24"/>
          <w:szCs w:val="24"/>
        </w:rPr>
        <w:t xml:space="preserve"> LC/H/154/13</w:t>
      </w:r>
    </w:p>
    <w:p w:rsidR="00B04E8C" w:rsidRDefault="00B04E8C">
      <w:pPr>
        <w:rPr>
          <w:rFonts w:ascii="Trebuchet MS" w:hAnsi="Trebuchet MS"/>
          <w:b/>
          <w:sz w:val="24"/>
          <w:szCs w:val="24"/>
        </w:rPr>
      </w:pPr>
      <w:proofErr w:type="gramStart"/>
      <w:r w:rsidRPr="00B04E8C">
        <w:rPr>
          <w:rFonts w:ascii="Trebuchet MS" w:hAnsi="Trebuchet MS"/>
          <w:b/>
          <w:sz w:val="24"/>
          <w:szCs w:val="24"/>
        </w:rPr>
        <w:t xml:space="preserve">HELD AT HARARE ON 7 MAY </w:t>
      </w:r>
      <w:r w:rsidR="00537191">
        <w:rPr>
          <w:rFonts w:ascii="Trebuchet MS" w:hAnsi="Trebuchet MS"/>
          <w:b/>
          <w:sz w:val="24"/>
          <w:szCs w:val="24"/>
        </w:rPr>
        <w:t>2013</w:t>
      </w:r>
      <w:r>
        <w:rPr>
          <w:rFonts w:ascii="Trebuchet MS" w:hAnsi="Trebuchet MS"/>
          <w:b/>
          <w:sz w:val="24"/>
          <w:szCs w:val="24"/>
        </w:rPr>
        <w:tab/>
      </w:r>
      <w:r>
        <w:rPr>
          <w:rFonts w:ascii="Trebuchet MS" w:hAnsi="Trebuchet MS"/>
          <w:b/>
          <w:sz w:val="24"/>
          <w:szCs w:val="24"/>
        </w:rPr>
        <w:tab/>
      </w:r>
      <w:r w:rsidR="00537191">
        <w:rPr>
          <w:rFonts w:ascii="Trebuchet MS" w:hAnsi="Trebuchet MS"/>
          <w:b/>
          <w:sz w:val="24"/>
          <w:szCs w:val="24"/>
        </w:rPr>
        <w:tab/>
      </w:r>
      <w:r w:rsidRPr="00B04E8C">
        <w:rPr>
          <w:rFonts w:ascii="Trebuchet MS" w:hAnsi="Trebuchet MS"/>
          <w:b/>
          <w:sz w:val="24"/>
          <w:szCs w:val="24"/>
        </w:rPr>
        <w:t>CASE NO.</w:t>
      </w:r>
      <w:proofErr w:type="gramEnd"/>
      <w:r w:rsidRPr="00B04E8C">
        <w:rPr>
          <w:rFonts w:ascii="Trebuchet MS" w:hAnsi="Trebuchet MS"/>
          <w:b/>
          <w:sz w:val="24"/>
          <w:szCs w:val="24"/>
        </w:rPr>
        <w:t xml:space="preserve"> LC/H/686/10</w:t>
      </w:r>
    </w:p>
    <w:p w:rsidR="00B04E8C" w:rsidRPr="00B04E8C" w:rsidRDefault="00B04E8C">
      <w:pPr>
        <w:rPr>
          <w:rFonts w:ascii="Trebuchet MS" w:hAnsi="Trebuchet MS"/>
          <w:b/>
          <w:sz w:val="24"/>
          <w:szCs w:val="24"/>
        </w:rPr>
      </w:pPr>
    </w:p>
    <w:p w:rsidR="00B04E8C" w:rsidRDefault="00B04E8C">
      <w:pPr>
        <w:rPr>
          <w:rFonts w:ascii="Trebuchet MS" w:hAnsi="Trebuchet MS"/>
          <w:sz w:val="24"/>
          <w:szCs w:val="24"/>
        </w:rPr>
      </w:pPr>
      <w:r>
        <w:rPr>
          <w:rFonts w:ascii="Trebuchet MS" w:hAnsi="Trebuchet MS"/>
          <w:sz w:val="24"/>
          <w:szCs w:val="24"/>
        </w:rPr>
        <w:t>In the matter between:</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p>
    <w:p w:rsidR="00B04E8C" w:rsidRPr="00537191" w:rsidRDefault="00B04E8C">
      <w:pPr>
        <w:rPr>
          <w:rFonts w:ascii="Trebuchet MS" w:hAnsi="Trebuchet MS"/>
          <w:b/>
          <w:sz w:val="24"/>
          <w:szCs w:val="24"/>
        </w:rPr>
      </w:pPr>
      <w:r w:rsidRPr="00537191">
        <w:rPr>
          <w:rFonts w:ascii="Trebuchet MS" w:hAnsi="Trebuchet MS"/>
          <w:b/>
          <w:sz w:val="24"/>
          <w:szCs w:val="24"/>
        </w:rPr>
        <w:t>HENRY MAN’ORO</w:t>
      </w:r>
      <w:r w:rsidRPr="00537191">
        <w:rPr>
          <w:rFonts w:ascii="Trebuchet MS" w:hAnsi="Trebuchet MS"/>
          <w:b/>
          <w:sz w:val="24"/>
          <w:szCs w:val="24"/>
        </w:rPr>
        <w:tab/>
      </w:r>
      <w:r w:rsidRPr="00537191">
        <w:rPr>
          <w:rFonts w:ascii="Trebuchet MS" w:hAnsi="Trebuchet MS"/>
          <w:b/>
          <w:sz w:val="24"/>
          <w:szCs w:val="24"/>
        </w:rPr>
        <w:tab/>
      </w:r>
      <w:r w:rsidRPr="00537191">
        <w:rPr>
          <w:rFonts w:ascii="Trebuchet MS" w:hAnsi="Trebuchet MS"/>
          <w:b/>
          <w:sz w:val="24"/>
          <w:szCs w:val="24"/>
        </w:rPr>
        <w:tab/>
      </w:r>
      <w:r w:rsidRPr="00537191">
        <w:rPr>
          <w:rFonts w:ascii="Trebuchet MS" w:hAnsi="Trebuchet MS"/>
          <w:b/>
          <w:sz w:val="24"/>
          <w:szCs w:val="24"/>
        </w:rPr>
        <w:tab/>
        <w:t>-</w:t>
      </w:r>
      <w:r w:rsidRPr="00537191">
        <w:rPr>
          <w:rFonts w:ascii="Trebuchet MS" w:hAnsi="Trebuchet MS"/>
          <w:b/>
          <w:sz w:val="24"/>
          <w:szCs w:val="24"/>
        </w:rPr>
        <w:tab/>
      </w:r>
      <w:r w:rsidRPr="00537191">
        <w:rPr>
          <w:rFonts w:ascii="Trebuchet MS" w:hAnsi="Trebuchet MS"/>
          <w:b/>
          <w:sz w:val="24"/>
          <w:szCs w:val="24"/>
        </w:rPr>
        <w:tab/>
        <w:t>Appellant</w:t>
      </w:r>
    </w:p>
    <w:p w:rsidR="00B04E8C" w:rsidRDefault="00B04E8C">
      <w:pPr>
        <w:rPr>
          <w:rFonts w:ascii="Trebuchet MS" w:hAnsi="Trebuchet MS"/>
          <w:sz w:val="24"/>
          <w:szCs w:val="24"/>
        </w:rPr>
      </w:pPr>
      <w:r>
        <w:rPr>
          <w:rFonts w:ascii="Trebuchet MS" w:hAnsi="Trebuchet MS"/>
          <w:sz w:val="24"/>
          <w:szCs w:val="24"/>
        </w:rPr>
        <w:t>And</w:t>
      </w:r>
    </w:p>
    <w:p w:rsidR="00B04E8C" w:rsidRPr="00537191" w:rsidRDefault="00B04E8C">
      <w:pPr>
        <w:rPr>
          <w:rFonts w:ascii="Trebuchet MS" w:hAnsi="Trebuchet MS"/>
          <w:b/>
          <w:sz w:val="24"/>
          <w:szCs w:val="24"/>
        </w:rPr>
      </w:pPr>
      <w:r w:rsidRPr="00537191">
        <w:rPr>
          <w:rFonts w:ascii="Trebuchet MS" w:hAnsi="Trebuchet MS"/>
          <w:b/>
          <w:sz w:val="24"/>
          <w:szCs w:val="24"/>
        </w:rPr>
        <w:t>PUBLIC SERVICE COMMISSION</w:t>
      </w:r>
      <w:r w:rsidRPr="00537191">
        <w:rPr>
          <w:rFonts w:ascii="Trebuchet MS" w:hAnsi="Trebuchet MS"/>
          <w:b/>
          <w:sz w:val="24"/>
          <w:szCs w:val="24"/>
        </w:rPr>
        <w:tab/>
      </w:r>
      <w:r w:rsidRPr="00537191">
        <w:rPr>
          <w:rFonts w:ascii="Trebuchet MS" w:hAnsi="Trebuchet MS"/>
          <w:b/>
          <w:sz w:val="24"/>
          <w:szCs w:val="24"/>
        </w:rPr>
        <w:tab/>
        <w:t>-</w:t>
      </w:r>
      <w:r w:rsidRPr="00537191">
        <w:rPr>
          <w:rFonts w:ascii="Trebuchet MS" w:hAnsi="Trebuchet MS"/>
          <w:b/>
          <w:sz w:val="24"/>
          <w:szCs w:val="24"/>
        </w:rPr>
        <w:tab/>
      </w:r>
      <w:r w:rsidRPr="00537191">
        <w:rPr>
          <w:rFonts w:ascii="Trebuchet MS" w:hAnsi="Trebuchet MS"/>
          <w:b/>
          <w:sz w:val="24"/>
          <w:szCs w:val="24"/>
        </w:rPr>
        <w:tab/>
        <w:t>Respondent</w:t>
      </w:r>
    </w:p>
    <w:p w:rsidR="00B04E8C" w:rsidRDefault="00B04E8C">
      <w:pPr>
        <w:rPr>
          <w:rFonts w:ascii="Trebuchet MS" w:hAnsi="Trebuchet MS"/>
          <w:sz w:val="24"/>
          <w:szCs w:val="24"/>
        </w:rPr>
      </w:pPr>
    </w:p>
    <w:p w:rsidR="00B04E8C" w:rsidRDefault="00B04E8C">
      <w:pPr>
        <w:rPr>
          <w:rFonts w:ascii="Trebuchet MS" w:hAnsi="Trebuchet MS"/>
          <w:sz w:val="24"/>
          <w:szCs w:val="24"/>
        </w:rPr>
      </w:pPr>
      <w:r>
        <w:rPr>
          <w:rFonts w:ascii="Trebuchet MS" w:hAnsi="Trebuchet MS"/>
          <w:sz w:val="24"/>
          <w:szCs w:val="24"/>
        </w:rPr>
        <w:t xml:space="preserve">Before the Honourable President, E.F. </w:t>
      </w:r>
      <w:proofErr w:type="spellStart"/>
      <w:r>
        <w:rPr>
          <w:rFonts w:ascii="Trebuchet MS" w:hAnsi="Trebuchet MS"/>
          <w:sz w:val="24"/>
          <w:szCs w:val="24"/>
        </w:rPr>
        <w:t>Ndewere</w:t>
      </w:r>
      <w:proofErr w:type="spellEnd"/>
    </w:p>
    <w:p w:rsidR="00537191" w:rsidRDefault="00537191">
      <w:pPr>
        <w:rPr>
          <w:rFonts w:ascii="Trebuchet MS" w:hAnsi="Trebuchet MS"/>
          <w:b/>
          <w:sz w:val="24"/>
          <w:szCs w:val="24"/>
        </w:rPr>
      </w:pPr>
      <w:r w:rsidRPr="00537191">
        <w:rPr>
          <w:rFonts w:ascii="Trebuchet MS" w:hAnsi="Trebuchet MS"/>
          <w:b/>
          <w:sz w:val="24"/>
          <w:szCs w:val="24"/>
        </w:rPr>
        <w:t>For</w:t>
      </w:r>
      <w:r>
        <w:rPr>
          <w:rFonts w:ascii="Trebuchet MS" w:hAnsi="Trebuchet MS"/>
          <w:b/>
          <w:sz w:val="24"/>
          <w:szCs w:val="24"/>
        </w:rPr>
        <w:t xml:space="preserve"> Appellant</w:t>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t>-</w:t>
      </w:r>
      <w:r>
        <w:rPr>
          <w:rFonts w:ascii="Trebuchet MS" w:hAnsi="Trebuchet MS"/>
          <w:b/>
          <w:sz w:val="24"/>
          <w:szCs w:val="24"/>
        </w:rPr>
        <w:tab/>
      </w:r>
      <w:r>
        <w:rPr>
          <w:rFonts w:ascii="Trebuchet MS" w:hAnsi="Trebuchet MS"/>
          <w:b/>
          <w:sz w:val="24"/>
          <w:szCs w:val="24"/>
        </w:rPr>
        <w:tab/>
        <w:t xml:space="preserve">Mr E. </w:t>
      </w:r>
      <w:proofErr w:type="spellStart"/>
      <w:r>
        <w:rPr>
          <w:rFonts w:ascii="Trebuchet MS" w:hAnsi="Trebuchet MS"/>
          <w:b/>
          <w:sz w:val="24"/>
          <w:szCs w:val="24"/>
        </w:rPr>
        <w:t>Mangezi</w:t>
      </w:r>
      <w:proofErr w:type="spellEnd"/>
      <w:r>
        <w:rPr>
          <w:rFonts w:ascii="Trebuchet MS" w:hAnsi="Trebuchet MS"/>
          <w:b/>
          <w:sz w:val="24"/>
          <w:szCs w:val="24"/>
        </w:rPr>
        <w:t xml:space="preserve"> (L</w:t>
      </w:r>
      <w:r w:rsidRPr="00537191">
        <w:rPr>
          <w:rFonts w:ascii="Trebuchet MS" w:hAnsi="Trebuchet MS"/>
          <w:b/>
          <w:sz w:val="24"/>
          <w:szCs w:val="24"/>
        </w:rPr>
        <w:t>egal Practitioner)</w:t>
      </w:r>
    </w:p>
    <w:p w:rsidR="00537191" w:rsidRDefault="00537191">
      <w:pPr>
        <w:rPr>
          <w:rFonts w:ascii="Trebuchet MS" w:hAnsi="Trebuchet MS"/>
          <w:b/>
          <w:sz w:val="24"/>
          <w:szCs w:val="24"/>
        </w:rPr>
      </w:pPr>
    </w:p>
    <w:p w:rsidR="00537191" w:rsidRDefault="00537191">
      <w:pPr>
        <w:rPr>
          <w:rFonts w:ascii="Trebuchet MS" w:hAnsi="Trebuchet MS"/>
          <w:b/>
          <w:sz w:val="24"/>
          <w:szCs w:val="24"/>
        </w:rPr>
      </w:pPr>
      <w:r>
        <w:rPr>
          <w:rFonts w:ascii="Trebuchet MS" w:hAnsi="Trebuchet MS"/>
          <w:b/>
          <w:sz w:val="24"/>
          <w:szCs w:val="24"/>
        </w:rPr>
        <w:t>For Respondent</w:t>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t>-</w:t>
      </w:r>
      <w:r>
        <w:rPr>
          <w:rFonts w:ascii="Trebuchet MS" w:hAnsi="Trebuchet MS"/>
          <w:b/>
          <w:sz w:val="24"/>
          <w:szCs w:val="24"/>
        </w:rPr>
        <w:tab/>
      </w:r>
      <w:r>
        <w:rPr>
          <w:rFonts w:ascii="Trebuchet MS" w:hAnsi="Trebuchet MS"/>
          <w:b/>
          <w:sz w:val="24"/>
          <w:szCs w:val="24"/>
        </w:rPr>
        <w:tab/>
        <w:t xml:space="preserve">Mr </w:t>
      </w:r>
      <w:r w:rsidR="006328C0">
        <w:rPr>
          <w:rFonts w:ascii="Trebuchet MS" w:hAnsi="Trebuchet MS"/>
          <w:b/>
          <w:sz w:val="24"/>
          <w:szCs w:val="24"/>
        </w:rPr>
        <w:t xml:space="preserve">R.M. </w:t>
      </w:r>
      <w:proofErr w:type="spellStart"/>
      <w:r w:rsidR="006328C0">
        <w:rPr>
          <w:rFonts w:ascii="Trebuchet MS" w:hAnsi="Trebuchet MS"/>
          <w:b/>
          <w:sz w:val="24"/>
          <w:szCs w:val="24"/>
        </w:rPr>
        <w:t>Basera</w:t>
      </w:r>
      <w:proofErr w:type="spellEnd"/>
      <w:r>
        <w:rPr>
          <w:rFonts w:ascii="Trebuchet MS" w:hAnsi="Trebuchet MS"/>
          <w:b/>
          <w:sz w:val="24"/>
          <w:szCs w:val="24"/>
        </w:rPr>
        <w:t xml:space="preserve"> (Legal Practitioner)</w:t>
      </w:r>
    </w:p>
    <w:p w:rsidR="00537191" w:rsidRDefault="00537191">
      <w:pPr>
        <w:rPr>
          <w:rFonts w:ascii="Trebuchet MS" w:hAnsi="Trebuchet MS"/>
          <w:b/>
          <w:sz w:val="24"/>
          <w:szCs w:val="24"/>
        </w:rPr>
      </w:pPr>
    </w:p>
    <w:p w:rsidR="00537191" w:rsidRDefault="00537191">
      <w:pPr>
        <w:rPr>
          <w:rFonts w:ascii="Trebuchet MS" w:hAnsi="Trebuchet MS"/>
          <w:b/>
          <w:sz w:val="32"/>
          <w:szCs w:val="32"/>
        </w:rPr>
      </w:pPr>
      <w:r w:rsidRPr="00277682">
        <w:rPr>
          <w:rFonts w:ascii="Trebuchet MS" w:hAnsi="Trebuchet MS"/>
          <w:b/>
          <w:sz w:val="32"/>
          <w:szCs w:val="32"/>
        </w:rPr>
        <w:t>NDEWERE E.F.:</w:t>
      </w:r>
    </w:p>
    <w:p w:rsidR="00277682" w:rsidRDefault="00277682" w:rsidP="005656F0">
      <w:pPr>
        <w:spacing w:line="360" w:lineRule="auto"/>
        <w:ind w:firstLine="720"/>
        <w:jc w:val="both"/>
        <w:rPr>
          <w:rFonts w:ascii="Trebuchet MS" w:hAnsi="Trebuchet MS"/>
          <w:sz w:val="24"/>
          <w:szCs w:val="24"/>
        </w:rPr>
      </w:pPr>
      <w:r>
        <w:rPr>
          <w:rFonts w:ascii="Trebuchet MS" w:hAnsi="Trebuchet MS"/>
          <w:sz w:val="24"/>
          <w:szCs w:val="24"/>
        </w:rPr>
        <w:t xml:space="preserve">The Appellant was a school teacher at </w:t>
      </w:r>
      <w:proofErr w:type="spellStart"/>
      <w:r>
        <w:rPr>
          <w:rFonts w:ascii="Trebuchet MS" w:hAnsi="Trebuchet MS"/>
          <w:sz w:val="24"/>
          <w:szCs w:val="24"/>
        </w:rPr>
        <w:t>Dombo</w:t>
      </w:r>
      <w:r w:rsidR="00D07ED9">
        <w:rPr>
          <w:rFonts w:ascii="Trebuchet MS" w:hAnsi="Trebuchet MS"/>
          <w:sz w:val="24"/>
          <w:szCs w:val="24"/>
        </w:rPr>
        <w:t>remavhu</w:t>
      </w:r>
      <w:proofErr w:type="spellEnd"/>
      <w:r>
        <w:rPr>
          <w:rFonts w:ascii="Trebuchet MS" w:hAnsi="Trebuchet MS"/>
          <w:sz w:val="24"/>
          <w:szCs w:val="24"/>
        </w:rPr>
        <w:t xml:space="preserve"> Secondary School in 1997 and during that period, he was charged for having an improper association with a school pupil, convicted and discharged from the teaching service on 22 May, 1998.  He appealed to the Labour Court but before the appeal was heard, the Commission referred the case for a magisterial inquiry </w:t>
      </w:r>
      <w:r w:rsidR="006328C0">
        <w:rPr>
          <w:rFonts w:ascii="Trebuchet MS" w:hAnsi="Trebuchet MS"/>
          <w:sz w:val="24"/>
          <w:szCs w:val="24"/>
        </w:rPr>
        <w:t>which was</w:t>
      </w:r>
      <w:r>
        <w:rPr>
          <w:rFonts w:ascii="Trebuchet MS" w:hAnsi="Trebuchet MS"/>
          <w:sz w:val="24"/>
          <w:szCs w:val="24"/>
        </w:rPr>
        <w:t xml:space="preserve"> conducted from 7 June, 2009 to 9 June, 2009.</w:t>
      </w:r>
      <w:r w:rsidR="005656F0">
        <w:rPr>
          <w:rFonts w:ascii="Trebuchet MS" w:hAnsi="Trebuchet MS"/>
          <w:sz w:val="24"/>
          <w:szCs w:val="24"/>
        </w:rPr>
        <w:t xml:space="preserve">  During the inquiry, the Appellant and the pupil both denied that they had an improper association.  The Appellant’s evidence during the inquiry was that he was being framed.  At the end of the inquiry, the ruling was that there was insufficient evidence to prove that an improper association existed between the Appellant and the girl in question.  As a result, the Appellant who had been suspended was reinstated as a teacher </w:t>
      </w:r>
      <w:r w:rsidR="00A45650">
        <w:rPr>
          <w:rFonts w:ascii="Trebuchet MS" w:hAnsi="Trebuchet MS"/>
          <w:sz w:val="24"/>
          <w:szCs w:val="24"/>
        </w:rPr>
        <w:t>with effect from 22 May, 1998.</w:t>
      </w:r>
    </w:p>
    <w:p w:rsidR="00A45650" w:rsidRDefault="00A45650" w:rsidP="005656F0">
      <w:pPr>
        <w:spacing w:line="360" w:lineRule="auto"/>
        <w:ind w:firstLine="720"/>
        <w:jc w:val="both"/>
        <w:rPr>
          <w:rFonts w:ascii="Trebuchet MS" w:hAnsi="Trebuchet MS"/>
          <w:sz w:val="24"/>
          <w:szCs w:val="24"/>
        </w:rPr>
      </w:pPr>
      <w:r>
        <w:rPr>
          <w:rFonts w:ascii="Trebuchet MS" w:hAnsi="Trebuchet MS"/>
          <w:sz w:val="24"/>
          <w:szCs w:val="24"/>
        </w:rPr>
        <w:t>Sometime in 2003, the Public Service Commission obtained new evidence confirming the existence of an impro</w:t>
      </w:r>
      <w:r w:rsidR="003D376A">
        <w:rPr>
          <w:rFonts w:ascii="Trebuchet MS" w:hAnsi="Trebuchet MS"/>
          <w:sz w:val="24"/>
          <w:szCs w:val="24"/>
        </w:rPr>
        <w:t>per association between the App</w:t>
      </w:r>
      <w:r>
        <w:rPr>
          <w:rFonts w:ascii="Trebuchet MS" w:hAnsi="Trebuchet MS"/>
          <w:sz w:val="24"/>
          <w:szCs w:val="24"/>
        </w:rPr>
        <w:t xml:space="preserve">ellant and the same pupil in the form of an agreement </w:t>
      </w:r>
      <w:r w:rsidR="003D376A">
        <w:rPr>
          <w:rFonts w:ascii="Trebuchet MS" w:hAnsi="Trebuchet MS"/>
          <w:sz w:val="24"/>
          <w:szCs w:val="24"/>
        </w:rPr>
        <w:t>t</w:t>
      </w:r>
      <w:r>
        <w:rPr>
          <w:rFonts w:ascii="Trebuchet MS" w:hAnsi="Trebuchet MS"/>
          <w:sz w:val="24"/>
          <w:szCs w:val="24"/>
        </w:rPr>
        <w:t xml:space="preserve">he </w:t>
      </w:r>
      <w:r w:rsidR="003D376A">
        <w:rPr>
          <w:rFonts w:ascii="Trebuchet MS" w:hAnsi="Trebuchet MS"/>
          <w:sz w:val="24"/>
          <w:szCs w:val="24"/>
        </w:rPr>
        <w:t xml:space="preserve">Appellant </w:t>
      </w:r>
      <w:r>
        <w:rPr>
          <w:rFonts w:ascii="Trebuchet MS" w:hAnsi="Trebuchet MS"/>
          <w:sz w:val="24"/>
          <w:szCs w:val="24"/>
        </w:rPr>
        <w:t xml:space="preserve">entered into with the </w:t>
      </w:r>
      <w:r>
        <w:rPr>
          <w:rFonts w:ascii="Trebuchet MS" w:hAnsi="Trebuchet MS"/>
          <w:sz w:val="24"/>
          <w:szCs w:val="24"/>
        </w:rPr>
        <w:lastRenderedPageBreak/>
        <w:t xml:space="preserve">pupil’s aunt, where he admitted having had sexual relations with the </w:t>
      </w:r>
      <w:r w:rsidR="0058559D">
        <w:rPr>
          <w:rFonts w:ascii="Trebuchet MS" w:hAnsi="Trebuchet MS"/>
          <w:sz w:val="24"/>
          <w:szCs w:val="24"/>
        </w:rPr>
        <w:t>pupil</w:t>
      </w:r>
      <w:r>
        <w:rPr>
          <w:rFonts w:ascii="Trebuchet MS" w:hAnsi="Trebuchet MS"/>
          <w:sz w:val="24"/>
          <w:szCs w:val="24"/>
        </w:rPr>
        <w:t xml:space="preserve"> and agreed to pay “damages” in the amount of </w:t>
      </w:r>
      <w:r w:rsidRPr="00D54A2E">
        <w:rPr>
          <w:rFonts w:ascii="Trebuchet MS" w:hAnsi="Trebuchet MS"/>
          <w:b/>
          <w:sz w:val="24"/>
          <w:szCs w:val="24"/>
        </w:rPr>
        <w:t>$5 000.00</w:t>
      </w:r>
      <w:r>
        <w:rPr>
          <w:rFonts w:ascii="Trebuchet MS" w:hAnsi="Trebuchet MS"/>
          <w:sz w:val="24"/>
          <w:szCs w:val="24"/>
        </w:rPr>
        <w:t xml:space="preserve"> with the first instalment </w:t>
      </w:r>
      <w:r w:rsidRPr="00D54A2E">
        <w:rPr>
          <w:rFonts w:ascii="Trebuchet MS" w:hAnsi="Trebuchet MS"/>
          <w:b/>
          <w:sz w:val="24"/>
          <w:szCs w:val="24"/>
        </w:rPr>
        <w:t>of $2000.00</w:t>
      </w:r>
      <w:r>
        <w:rPr>
          <w:rFonts w:ascii="Trebuchet MS" w:hAnsi="Trebuchet MS"/>
          <w:sz w:val="24"/>
          <w:szCs w:val="24"/>
        </w:rPr>
        <w:t xml:space="preserve"> being paid in December, 1998.  The Commission also obtained letters which the Appellant had written to the former pupil, confirming the existence of a relationship.</w:t>
      </w:r>
    </w:p>
    <w:p w:rsidR="00A45650" w:rsidRDefault="00A45650" w:rsidP="005656F0">
      <w:pPr>
        <w:spacing w:line="360" w:lineRule="auto"/>
        <w:ind w:firstLine="720"/>
        <w:jc w:val="both"/>
        <w:rPr>
          <w:rFonts w:ascii="Trebuchet MS" w:hAnsi="Trebuchet MS"/>
          <w:sz w:val="24"/>
          <w:szCs w:val="24"/>
        </w:rPr>
      </w:pPr>
      <w:r>
        <w:rPr>
          <w:rFonts w:ascii="Trebuchet MS" w:hAnsi="Trebuchet MS"/>
          <w:sz w:val="24"/>
          <w:szCs w:val="24"/>
        </w:rPr>
        <w:t>Armed with this evidence, the Ministry of Education</w:t>
      </w:r>
      <w:r w:rsidR="00C320A1">
        <w:rPr>
          <w:rFonts w:ascii="Trebuchet MS" w:hAnsi="Trebuchet MS"/>
          <w:sz w:val="24"/>
          <w:szCs w:val="24"/>
        </w:rPr>
        <w:t xml:space="preserve"> wrote to the Appellant who was now stationed at Assisi High School on 12 September, 2003, charging him for giving false evidence under oath in </w:t>
      </w:r>
      <w:r w:rsidR="00B86C8B">
        <w:rPr>
          <w:rFonts w:ascii="Trebuchet MS" w:hAnsi="Trebuchet MS"/>
          <w:sz w:val="24"/>
          <w:szCs w:val="24"/>
        </w:rPr>
        <w:t>terms</w:t>
      </w:r>
      <w:r w:rsidR="00C320A1">
        <w:rPr>
          <w:rFonts w:ascii="Trebuchet MS" w:hAnsi="Trebuchet MS"/>
          <w:sz w:val="24"/>
          <w:szCs w:val="24"/>
        </w:rPr>
        <w:t xml:space="preserve"> of the </w:t>
      </w:r>
      <w:r w:rsidR="00220728">
        <w:rPr>
          <w:rFonts w:ascii="Trebuchet MS" w:hAnsi="Trebuchet MS"/>
          <w:sz w:val="24"/>
          <w:szCs w:val="24"/>
        </w:rPr>
        <w:t xml:space="preserve">Public Service </w:t>
      </w:r>
      <w:r w:rsidR="00C320A1">
        <w:rPr>
          <w:rFonts w:ascii="Trebuchet MS" w:hAnsi="Trebuchet MS"/>
          <w:sz w:val="24"/>
          <w:szCs w:val="24"/>
        </w:rPr>
        <w:t>Regulations.  A hearing was conducted on 26 October, 2004.  During the hearing, the Appellant admitted signing the agreement with the pupil’s aunt and he also admitted writing the letters to the pupil.</w:t>
      </w:r>
      <w:r w:rsidR="0058559D">
        <w:rPr>
          <w:rFonts w:ascii="Trebuchet MS" w:hAnsi="Trebuchet MS"/>
          <w:sz w:val="24"/>
          <w:szCs w:val="24"/>
        </w:rPr>
        <w:t xml:space="preserve">  The Appellant was found guilty and discharged from the service.  He </w:t>
      </w:r>
      <w:r w:rsidR="00220728">
        <w:rPr>
          <w:rFonts w:ascii="Trebuchet MS" w:hAnsi="Trebuchet MS"/>
          <w:sz w:val="24"/>
          <w:szCs w:val="24"/>
        </w:rPr>
        <w:t>challenged</w:t>
      </w:r>
      <w:r w:rsidR="0058559D">
        <w:rPr>
          <w:rFonts w:ascii="Trebuchet MS" w:hAnsi="Trebuchet MS"/>
          <w:sz w:val="24"/>
          <w:szCs w:val="24"/>
        </w:rPr>
        <w:t xml:space="preserve"> </w:t>
      </w:r>
      <w:r w:rsidR="00220728">
        <w:rPr>
          <w:rFonts w:ascii="Trebuchet MS" w:hAnsi="Trebuchet MS"/>
          <w:sz w:val="24"/>
          <w:szCs w:val="24"/>
        </w:rPr>
        <w:t xml:space="preserve">the decision </w:t>
      </w:r>
      <w:r w:rsidR="0058559D">
        <w:rPr>
          <w:rFonts w:ascii="Trebuchet MS" w:hAnsi="Trebuchet MS"/>
          <w:sz w:val="24"/>
          <w:szCs w:val="24"/>
        </w:rPr>
        <w:t>internally, without success and now he has appealed to the Labour Court.</w:t>
      </w:r>
    </w:p>
    <w:p w:rsidR="0058559D" w:rsidRDefault="0058559D" w:rsidP="005656F0">
      <w:pPr>
        <w:spacing w:line="360" w:lineRule="auto"/>
        <w:ind w:firstLine="720"/>
        <w:jc w:val="both"/>
        <w:rPr>
          <w:rFonts w:ascii="Trebuchet MS" w:hAnsi="Trebuchet MS"/>
          <w:sz w:val="24"/>
          <w:szCs w:val="24"/>
        </w:rPr>
      </w:pPr>
      <w:r>
        <w:rPr>
          <w:rFonts w:ascii="Trebuchet MS" w:hAnsi="Trebuchet MS"/>
          <w:sz w:val="24"/>
          <w:szCs w:val="24"/>
        </w:rPr>
        <w:t>The Appellant’s grounds of appeal are as follows:</w:t>
      </w:r>
    </w:p>
    <w:p w:rsidR="0058559D" w:rsidRPr="00D54A2E" w:rsidRDefault="0058559D" w:rsidP="0058559D">
      <w:pPr>
        <w:pStyle w:val="ListParagraph"/>
        <w:numPr>
          <w:ilvl w:val="0"/>
          <w:numId w:val="1"/>
        </w:numPr>
        <w:spacing w:line="360" w:lineRule="auto"/>
        <w:jc w:val="both"/>
        <w:rPr>
          <w:rFonts w:ascii="Arial" w:hAnsi="Arial" w:cs="Arial"/>
          <w:i/>
          <w:sz w:val="20"/>
          <w:szCs w:val="20"/>
        </w:rPr>
      </w:pPr>
      <w:r w:rsidRPr="00D54A2E">
        <w:rPr>
          <w:rFonts w:ascii="Arial" w:hAnsi="Arial" w:cs="Arial"/>
          <w:i/>
          <w:sz w:val="20"/>
          <w:szCs w:val="20"/>
        </w:rPr>
        <w:t xml:space="preserve">The Commission erred by upholding the decision of the Ministry of Education when such Ministry sought to review the decision of the </w:t>
      </w:r>
      <w:proofErr w:type="spellStart"/>
      <w:r w:rsidRPr="00D54A2E">
        <w:rPr>
          <w:rFonts w:ascii="Arial" w:hAnsi="Arial" w:cs="Arial"/>
          <w:i/>
          <w:sz w:val="20"/>
          <w:szCs w:val="20"/>
        </w:rPr>
        <w:t>Masvingo</w:t>
      </w:r>
      <w:proofErr w:type="spellEnd"/>
      <w:r w:rsidRPr="00D54A2E">
        <w:rPr>
          <w:rFonts w:ascii="Arial" w:hAnsi="Arial" w:cs="Arial"/>
          <w:i/>
          <w:sz w:val="20"/>
          <w:szCs w:val="20"/>
        </w:rPr>
        <w:t xml:space="preserve"> Magistrates Court without following the necessary procedures.  The Ministry if aggrieved by the decision of the Magistrates Court should </w:t>
      </w:r>
      <w:r w:rsidR="00220728">
        <w:rPr>
          <w:rFonts w:ascii="Arial" w:hAnsi="Arial" w:cs="Arial"/>
          <w:i/>
          <w:sz w:val="20"/>
          <w:szCs w:val="20"/>
        </w:rPr>
        <w:t xml:space="preserve">have </w:t>
      </w:r>
      <w:r w:rsidRPr="00D54A2E">
        <w:rPr>
          <w:rFonts w:ascii="Arial" w:hAnsi="Arial" w:cs="Arial"/>
          <w:i/>
          <w:sz w:val="20"/>
          <w:szCs w:val="20"/>
        </w:rPr>
        <w:t>sought for a review or should have appealed against the decision and before the hearing should have applied to lead fresh evidence that was not available before the Magistrates Court.</w:t>
      </w:r>
    </w:p>
    <w:p w:rsidR="0058559D" w:rsidRPr="00D54A2E" w:rsidRDefault="0058559D" w:rsidP="0058559D">
      <w:pPr>
        <w:pStyle w:val="ListParagraph"/>
        <w:numPr>
          <w:ilvl w:val="0"/>
          <w:numId w:val="1"/>
        </w:numPr>
        <w:spacing w:line="360" w:lineRule="auto"/>
        <w:jc w:val="both"/>
        <w:rPr>
          <w:rFonts w:ascii="Arial" w:hAnsi="Arial" w:cs="Arial"/>
          <w:i/>
          <w:sz w:val="20"/>
          <w:szCs w:val="20"/>
        </w:rPr>
      </w:pPr>
      <w:r w:rsidRPr="00D54A2E">
        <w:rPr>
          <w:rFonts w:ascii="Arial" w:hAnsi="Arial" w:cs="Arial"/>
          <w:i/>
          <w:sz w:val="20"/>
          <w:szCs w:val="20"/>
        </w:rPr>
        <w:t>The Ministry sought to impugn the evidence of the witnesses before the Magistrate Court without recalling them to give evidence.</w:t>
      </w:r>
    </w:p>
    <w:p w:rsidR="0058559D" w:rsidRDefault="0058559D" w:rsidP="0058559D">
      <w:pPr>
        <w:pStyle w:val="ListParagraph"/>
        <w:numPr>
          <w:ilvl w:val="0"/>
          <w:numId w:val="1"/>
        </w:numPr>
        <w:spacing w:line="360" w:lineRule="auto"/>
        <w:jc w:val="both"/>
        <w:rPr>
          <w:rFonts w:ascii="Trebuchet MS" w:hAnsi="Trebuchet MS"/>
          <w:i/>
        </w:rPr>
      </w:pPr>
      <w:r w:rsidRPr="00D54A2E">
        <w:rPr>
          <w:rFonts w:ascii="Arial" w:hAnsi="Arial" w:cs="Arial"/>
          <w:i/>
          <w:sz w:val="20"/>
          <w:szCs w:val="20"/>
        </w:rPr>
        <w:t>The Appellant suffered double jeopardy by being tried twice for the same offence.</w:t>
      </w:r>
    </w:p>
    <w:p w:rsidR="003C1E62" w:rsidRPr="003C1E62" w:rsidRDefault="003C1E62" w:rsidP="003C1E62">
      <w:pPr>
        <w:spacing w:line="360" w:lineRule="auto"/>
        <w:jc w:val="both"/>
        <w:rPr>
          <w:rFonts w:ascii="Trebuchet MS" w:hAnsi="Trebuchet MS"/>
          <w:sz w:val="24"/>
          <w:szCs w:val="24"/>
        </w:rPr>
      </w:pPr>
    </w:p>
    <w:p w:rsidR="003C1E62" w:rsidRDefault="003C1E62" w:rsidP="00320812">
      <w:pPr>
        <w:spacing w:line="360" w:lineRule="auto"/>
        <w:ind w:firstLine="720"/>
        <w:jc w:val="both"/>
        <w:rPr>
          <w:rFonts w:ascii="Trebuchet MS" w:hAnsi="Trebuchet MS"/>
          <w:sz w:val="24"/>
          <w:szCs w:val="24"/>
        </w:rPr>
      </w:pPr>
      <w:r>
        <w:rPr>
          <w:rFonts w:ascii="Trebuchet MS" w:hAnsi="Trebuchet MS"/>
          <w:sz w:val="24"/>
          <w:szCs w:val="24"/>
        </w:rPr>
        <w:t xml:space="preserve">As far as ground of appeal </w:t>
      </w:r>
      <w:r w:rsidR="00220728">
        <w:rPr>
          <w:rFonts w:ascii="Trebuchet MS" w:hAnsi="Trebuchet MS"/>
          <w:sz w:val="24"/>
          <w:szCs w:val="24"/>
        </w:rPr>
        <w:t xml:space="preserve">one </w:t>
      </w:r>
      <w:r>
        <w:rPr>
          <w:rFonts w:ascii="Trebuchet MS" w:hAnsi="Trebuchet MS"/>
          <w:sz w:val="24"/>
          <w:szCs w:val="24"/>
        </w:rPr>
        <w:t>is concerned, the Appellant must have accepted the Respondent’s assertion in the Heads of Argument that the Commission acted properly in terms of Section 51 of the Public Service Regulations</w:t>
      </w:r>
      <w:r w:rsidR="00320812">
        <w:rPr>
          <w:rFonts w:ascii="Trebuchet MS" w:hAnsi="Trebuchet MS"/>
          <w:sz w:val="24"/>
          <w:szCs w:val="24"/>
        </w:rPr>
        <w:t xml:space="preserve"> </w:t>
      </w:r>
      <w:r w:rsidR="00320812" w:rsidRPr="000248CF">
        <w:rPr>
          <w:rFonts w:ascii="Trebuchet MS" w:hAnsi="Trebuchet MS"/>
          <w:b/>
          <w:sz w:val="24"/>
          <w:szCs w:val="24"/>
        </w:rPr>
        <w:t>Statutory Instrument 1 of 200</w:t>
      </w:r>
      <w:r w:rsidR="000248CF" w:rsidRPr="000248CF">
        <w:rPr>
          <w:rFonts w:ascii="Trebuchet MS" w:hAnsi="Trebuchet MS"/>
          <w:b/>
          <w:sz w:val="24"/>
          <w:szCs w:val="24"/>
        </w:rPr>
        <w:t>0</w:t>
      </w:r>
      <w:r w:rsidR="00320812">
        <w:rPr>
          <w:rFonts w:ascii="Trebuchet MS" w:hAnsi="Trebuchet MS"/>
          <w:sz w:val="24"/>
          <w:szCs w:val="24"/>
        </w:rPr>
        <w:t xml:space="preserve"> which allows it to review decisions of Disciplinary Authorities under the Commission if there is an application for the review because the Appellant never addressed this issue during oral submissions.  Indeed the Commission did not err in any way.  The Appellant applied for a review and </w:t>
      </w:r>
      <w:r w:rsidR="00FD2ED0">
        <w:rPr>
          <w:rFonts w:ascii="Trebuchet MS" w:hAnsi="Trebuchet MS"/>
          <w:sz w:val="24"/>
          <w:szCs w:val="24"/>
        </w:rPr>
        <w:t xml:space="preserve">on </w:t>
      </w:r>
      <w:r w:rsidR="00FD2ED0">
        <w:rPr>
          <w:rFonts w:ascii="Trebuchet MS" w:hAnsi="Trebuchet MS"/>
          <w:sz w:val="24"/>
          <w:szCs w:val="24"/>
        </w:rPr>
        <w:lastRenderedPageBreak/>
        <w:t xml:space="preserve">review </w:t>
      </w:r>
      <w:r w:rsidR="00320812">
        <w:rPr>
          <w:rFonts w:ascii="Trebuchet MS" w:hAnsi="Trebuchet MS"/>
          <w:sz w:val="24"/>
          <w:szCs w:val="24"/>
        </w:rPr>
        <w:t>the Commission upheld the Ministry of Education’s decision to discharge the Appellant from service.</w:t>
      </w:r>
    </w:p>
    <w:p w:rsidR="00320812" w:rsidRDefault="00320812" w:rsidP="00320812">
      <w:pPr>
        <w:spacing w:line="360" w:lineRule="auto"/>
        <w:ind w:firstLine="720"/>
        <w:jc w:val="both"/>
        <w:rPr>
          <w:rFonts w:ascii="Trebuchet MS" w:hAnsi="Trebuchet MS"/>
          <w:sz w:val="24"/>
          <w:szCs w:val="24"/>
        </w:rPr>
      </w:pPr>
      <w:r>
        <w:rPr>
          <w:rFonts w:ascii="Trebuchet MS" w:hAnsi="Trebuchet MS"/>
          <w:sz w:val="24"/>
          <w:szCs w:val="24"/>
        </w:rPr>
        <w:t xml:space="preserve">As regards ground two of the appeal, Appellant’s </w:t>
      </w:r>
      <w:r w:rsidR="00BA5517">
        <w:rPr>
          <w:rFonts w:ascii="Trebuchet MS" w:hAnsi="Trebuchet MS"/>
          <w:sz w:val="24"/>
          <w:szCs w:val="24"/>
        </w:rPr>
        <w:t>counsel</w:t>
      </w:r>
      <w:r>
        <w:rPr>
          <w:rFonts w:ascii="Trebuchet MS" w:hAnsi="Trebuchet MS"/>
          <w:sz w:val="24"/>
          <w:szCs w:val="24"/>
        </w:rPr>
        <w:t xml:space="preserve"> later conceded that there was no need to recall any witnesses because the issue was whether the Appellant had given false evidence at the 1998 inquiry or not.  The Appellant admitted the new evidence in the form of an agreement with the pupil’s aunt that he had seduced the pupil and was willing to pay </w:t>
      </w:r>
      <w:r w:rsidRPr="00400AD8">
        <w:rPr>
          <w:rFonts w:ascii="Trebuchet MS" w:hAnsi="Trebuchet MS"/>
          <w:b/>
          <w:sz w:val="24"/>
          <w:szCs w:val="24"/>
        </w:rPr>
        <w:t>$5 000</w:t>
      </w:r>
      <w:r>
        <w:rPr>
          <w:rFonts w:ascii="Trebuchet MS" w:hAnsi="Trebuchet MS"/>
          <w:sz w:val="24"/>
          <w:szCs w:val="24"/>
        </w:rPr>
        <w:t xml:space="preserve"> as damages.  That admission in the agreement was sufficient to show that the evidence which the Appellant gave in the 1998 inquiry denying any improper association with the girl was false.  In addition, the Appellant made an affidavit </w:t>
      </w:r>
      <w:r w:rsidR="005D7A57">
        <w:rPr>
          <w:rFonts w:ascii="Trebuchet MS" w:hAnsi="Trebuchet MS"/>
          <w:sz w:val="24"/>
          <w:szCs w:val="24"/>
        </w:rPr>
        <w:t>in which he confirms the improper association with the pupil and says he shall never do that again.  He sent the affidavit and a letter to the Public Service Commission asking to be pardoned.  This again confirms that the evidence which he gave at the 1998 inquiry was false, therefore he has been properly found guilty of giving false evidence under oath.</w:t>
      </w:r>
    </w:p>
    <w:p w:rsidR="005D7A57" w:rsidRDefault="005D7A57" w:rsidP="00320812">
      <w:pPr>
        <w:spacing w:line="360" w:lineRule="auto"/>
        <w:ind w:firstLine="720"/>
        <w:jc w:val="both"/>
        <w:rPr>
          <w:rFonts w:ascii="Trebuchet MS" w:hAnsi="Trebuchet MS"/>
          <w:sz w:val="24"/>
          <w:szCs w:val="24"/>
        </w:rPr>
      </w:pPr>
      <w:r>
        <w:rPr>
          <w:rFonts w:ascii="Trebuchet MS" w:hAnsi="Trebuchet MS"/>
          <w:sz w:val="24"/>
          <w:szCs w:val="24"/>
        </w:rPr>
        <w:t xml:space="preserve">Ground Number three said the Appellant suffered double jeopardy by being tried twice for the same offence.  This is incorrect.  The 1998 charge was for an improper association with a school pupil of 16 years of age.  The facts were that the Appellant, being a school teacher, had engaged in an improper relationship with one of the school pupils aged 16 in 1997.  The 2003 charge was for giving false evidence under oath.  The facts were that during an inquiry in 1998 the Appellant, being a witness in the inquiry, lied under oath and gave false evidence to the Inquiry committee.  So when you look at the essential facts and elements of the matter, it is clear that the 1998 case and the </w:t>
      </w:r>
      <w:r w:rsidR="002F123C">
        <w:rPr>
          <w:rFonts w:ascii="Trebuchet MS" w:hAnsi="Trebuchet MS"/>
          <w:sz w:val="24"/>
          <w:szCs w:val="24"/>
        </w:rPr>
        <w:t>2003 case</w:t>
      </w:r>
      <w:r>
        <w:rPr>
          <w:rFonts w:ascii="Trebuchet MS" w:hAnsi="Trebuchet MS"/>
          <w:sz w:val="24"/>
          <w:szCs w:val="24"/>
        </w:rPr>
        <w:t xml:space="preserve"> are different cases for different offences.</w:t>
      </w:r>
    </w:p>
    <w:p w:rsidR="002F123C" w:rsidRDefault="002F123C" w:rsidP="00320812">
      <w:pPr>
        <w:spacing w:line="360" w:lineRule="auto"/>
        <w:ind w:firstLine="720"/>
        <w:jc w:val="both"/>
        <w:rPr>
          <w:rFonts w:ascii="Trebuchet MS" w:hAnsi="Trebuchet MS"/>
          <w:sz w:val="24"/>
          <w:szCs w:val="24"/>
        </w:rPr>
      </w:pPr>
      <w:r>
        <w:rPr>
          <w:rFonts w:ascii="Trebuchet MS" w:hAnsi="Trebuchet MS"/>
          <w:sz w:val="24"/>
          <w:szCs w:val="24"/>
        </w:rPr>
        <w:t xml:space="preserve">During the appeal hearing Appellant’s counsel initially submitted that there was a delay in raising </w:t>
      </w:r>
      <w:proofErr w:type="gramStart"/>
      <w:r>
        <w:rPr>
          <w:rFonts w:ascii="Trebuchet MS" w:hAnsi="Trebuchet MS"/>
          <w:sz w:val="24"/>
          <w:szCs w:val="24"/>
        </w:rPr>
        <w:t>the  2003</w:t>
      </w:r>
      <w:proofErr w:type="gramEnd"/>
      <w:r>
        <w:rPr>
          <w:rFonts w:ascii="Trebuchet MS" w:hAnsi="Trebuchet MS"/>
          <w:sz w:val="24"/>
          <w:szCs w:val="24"/>
        </w:rPr>
        <w:t xml:space="preserve"> charge a</w:t>
      </w:r>
      <w:r w:rsidR="007959BA">
        <w:rPr>
          <w:rFonts w:ascii="Trebuchet MS" w:hAnsi="Trebuchet MS"/>
          <w:sz w:val="24"/>
          <w:szCs w:val="24"/>
        </w:rPr>
        <w:t xml:space="preserve">nd this was a contravention of </w:t>
      </w:r>
      <w:r w:rsidR="007959BA" w:rsidRPr="007959BA">
        <w:rPr>
          <w:rFonts w:ascii="Trebuchet MS" w:hAnsi="Trebuchet MS"/>
          <w:b/>
          <w:sz w:val="24"/>
          <w:szCs w:val="24"/>
        </w:rPr>
        <w:t>S</w:t>
      </w:r>
      <w:r w:rsidRPr="007959BA">
        <w:rPr>
          <w:rFonts w:ascii="Trebuchet MS" w:hAnsi="Trebuchet MS"/>
          <w:b/>
          <w:sz w:val="24"/>
          <w:szCs w:val="24"/>
        </w:rPr>
        <w:t>ection 18</w:t>
      </w:r>
      <w:r>
        <w:rPr>
          <w:rFonts w:ascii="Trebuchet MS" w:hAnsi="Trebuchet MS"/>
          <w:sz w:val="24"/>
          <w:szCs w:val="24"/>
        </w:rPr>
        <w:t xml:space="preserve"> </w:t>
      </w:r>
      <w:r w:rsidRPr="007959BA">
        <w:rPr>
          <w:rFonts w:ascii="Trebuchet MS" w:hAnsi="Trebuchet MS"/>
          <w:b/>
          <w:sz w:val="24"/>
          <w:szCs w:val="24"/>
        </w:rPr>
        <w:t>(a) of the Constitution of Zimbabwe</w:t>
      </w:r>
      <w:r>
        <w:rPr>
          <w:rFonts w:ascii="Trebuchet MS" w:hAnsi="Trebuchet MS"/>
          <w:sz w:val="24"/>
          <w:szCs w:val="24"/>
        </w:rPr>
        <w:t xml:space="preserve"> which provides for </w:t>
      </w:r>
      <w:r w:rsidR="007959BA">
        <w:rPr>
          <w:rFonts w:ascii="Trebuchet MS" w:hAnsi="Trebuchet MS"/>
          <w:sz w:val="24"/>
          <w:szCs w:val="24"/>
        </w:rPr>
        <w:t>hearing</w:t>
      </w:r>
      <w:r>
        <w:rPr>
          <w:rFonts w:ascii="Trebuchet MS" w:hAnsi="Trebuchet MS"/>
          <w:sz w:val="24"/>
          <w:szCs w:val="24"/>
        </w:rPr>
        <w:t xml:space="preserve"> within a reasonable time.  However, it was pointed out that in such cases, the counting of time starts from the period when the aggrieved Authority got to know that false evidence had been given.  Appellant’s counsel later conceded that there was no delay if we take into account that the relevant authority became aware of the new evidence in 2003 and immediately started the disciplinary process thereafter.</w:t>
      </w:r>
    </w:p>
    <w:p w:rsidR="002F123C" w:rsidRDefault="002F123C" w:rsidP="00320812">
      <w:pPr>
        <w:spacing w:line="360" w:lineRule="auto"/>
        <w:ind w:firstLine="720"/>
        <w:jc w:val="both"/>
        <w:rPr>
          <w:rFonts w:ascii="Trebuchet MS" w:hAnsi="Trebuchet MS"/>
          <w:sz w:val="24"/>
          <w:szCs w:val="24"/>
        </w:rPr>
      </w:pPr>
      <w:r>
        <w:rPr>
          <w:rFonts w:ascii="Trebuchet MS" w:hAnsi="Trebuchet MS"/>
          <w:sz w:val="24"/>
          <w:szCs w:val="24"/>
        </w:rPr>
        <w:lastRenderedPageBreak/>
        <w:t>Wherefore the appeal is dismissed for lack of merit.</w:t>
      </w:r>
    </w:p>
    <w:p w:rsidR="002F123C" w:rsidRDefault="007959BA" w:rsidP="00320812">
      <w:pPr>
        <w:spacing w:line="360" w:lineRule="auto"/>
        <w:ind w:firstLine="720"/>
        <w:jc w:val="both"/>
        <w:rPr>
          <w:rFonts w:ascii="Trebuchet MS" w:hAnsi="Trebuchet MS"/>
          <w:sz w:val="24"/>
          <w:szCs w:val="24"/>
        </w:rPr>
      </w:pPr>
      <w:proofErr w:type="gramStart"/>
      <w:r>
        <w:rPr>
          <w:rFonts w:ascii="Trebuchet MS" w:hAnsi="Trebuchet MS"/>
          <w:sz w:val="24"/>
          <w:szCs w:val="24"/>
        </w:rPr>
        <w:t>Each party to pay its own cost.</w:t>
      </w:r>
      <w:proofErr w:type="gramEnd"/>
    </w:p>
    <w:p w:rsidR="00D56A1C" w:rsidRDefault="00D56A1C" w:rsidP="00D56A1C">
      <w:pPr>
        <w:spacing w:line="360" w:lineRule="auto"/>
        <w:jc w:val="both"/>
        <w:rPr>
          <w:rFonts w:ascii="Trebuchet MS" w:hAnsi="Trebuchet MS"/>
          <w:sz w:val="24"/>
          <w:szCs w:val="24"/>
        </w:rPr>
      </w:pPr>
    </w:p>
    <w:p w:rsidR="00D56A1C" w:rsidRDefault="00D56A1C" w:rsidP="00D56A1C">
      <w:pPr>
        <w:spacing w:line="360" w:lineRule="auto"/>
        <w:jc w:val="both"/>
        <w:rPr>
          <w:rFonts w:ascii="Trebuchet MS" w:hAnsi="Trebuchet MS"/>
          <w:sz w:val="24"/>
          <w:szCs w:val="24"/>
        </w:rPr>
      </w:pPr>
    </w:p>
    <w:p w:rsidR="00D56A1C" w:rsidRDefault="00D56A1C" w:rsidP="00D56A1C">
      <w:pPr>
        <w:spacing w:line="360" w:lineRule="auto"/>
        <w:jc w:val="both"/>
        <w:rPr>
          <w:rFonts w:ascii="Trebuchet MS" w:hAnsi="Trebuchet MS"/>
          <w:sz w:val="24"/>
          <w:szCs w:val="24"/>
        </w:rPr>
      </w:pPr>
    </w:p>
    <w:p w:rsidR="00D56A1C" w:rsidRDefault="00D56A1C" w:rsidP="00D56A1C">
      <w:pPr>
        <w:spacing w:line="360" w:lineRule="auto"/>
        <w:jc w:val="both"/>
        <w:rPr>
          <w:rFonts w:ascii="Trebuchet MS" w:hAnsi="Trebuchet MS"/>
          <w:sz w:val="24"/>
          <w:szCs w:val="24"/>
        </w:rPr>
      </w:pPr>
    </w:p>
    <w:p w:rsidR="00D56A1C" w:rsidRDefault="00D56A1C" w:rsidP="00D56A1C">
      <w:pPr>
        <w:spacing w:line="360" w:lineRule="auto"/>
        <w:jc w:val="both"/>
        <w:rPr>
          <w:rFonts w:ascii="Trebuchet MS" w:hAnsi="Trebuchet MS"/>
          <w:sz w:val="24"/>
          <w:szCs w:val="24"/>
        </w:rPr>
      </w:pPr>
    </w:p>
    <w:p w:rsidR="00D56A1C" w:rsidRDefault="00D56A1C" w:rsidP="00D56A1C">
      <w:pPr>
        <w:spacing w:line="360" w:lineRule="auto"/>
        <w:jc w:val="both"/>
        <w:rPr>
          <w:rFonts w:ascii="Trebuchet MS" w:hAnsi="Trebuchet MS"/>
          <w:sz w:val="24"/>
          <w:szCs w:val="24"/>
        </w:rPr>
      </w:pPr>
    </w:p>
    <w:p w:rsidR="00D56A1C" w:rsidRDefault="00D56A1C" w:rsidP="00D56A1C">
      <w:pPr>
        <w:spacing w:line="360" w:lineRule="auto"/>
        <w:jc w:val="both"/>
        <w:rPr>
          <w:rFonts w:ascii="Trebuchet MS" w:hAnsi="Trebuchet MS"/>
          <w:sz w:val="24"/>
          <w:szCs w:val="24"/>
        </w:rPr>
      </w:pPr>
      <w:r>
        <w:rPr>
          <w:rFonts w:ascii="Trebuchet MS" w:hAnsi="Trebuchet MS"/>
          <w:sz w:val="24"/>
          <w:szCs w:val="24"/>
        </w:rPr>
        <w:t>E.F. NDEWERE</w:t>
      </w:r>
    </w:p>
    <w:p w:rsidR="00D56A1C" w:rsidRPr="00D56A1C" w:rsidRDefault="00D56A1C" w:rsidP="00D56A1C">
      <w:pPr>
        <w:spacing w:line="360" w:lineRule="auto"/>
        <w:jc w:val="both"/>
        <w:rPr>
          <w:rFonts w:ascii="Trebuchet MS" w:hAnsi="Trebuchet MS"/>
          <w:b/>
          <w:sz w:val="24"/>
          <w:szCs w:val="24"/>
          <w:u w:val="single"/>
        </w:rPr>
      </w:pPr>
      <w:r w:rsidRPr="00D56A1C">
        <w:rPr>
          <w:rFonts w:ascii="Trebuchet MS" w:hAnsi="Trebuchet MS"/>
          <w:b/>
          <w:sz w:val="24"/>
          <w:szCs w:val="24"/>
          <w:u w:val="single"/>
        </w:rPr>
        <w:t>PRESIDENT</w:t>
      </w:r>
    </w:p>
    <w:p w:rsidR="00D56A1C" w:rsidRPr="00D56A1C" w:rsidRDefault="00D56A1C" w:rsidP="00D56A1C">
      <w:pPr>
        <w:spacing w:line="360" w:lineRule="auto"/>
        <w:jc w:val="both"/>
        <w:rPr>
          <w:rFonts w:ascii="Trebuchet MS" w:hAnsi="Trebuchet MS"/>
          <w:b/>
          <w:i/>
          <w:sz w:val="20"/>
          <w:szCs w:val="20"/>
        </w:rPr>
      </w:pPr>
      <w:r w:rsidRPr="00D56A1C">
        <w:rPr>
          <w:rFonts w:ascii="Trebuchet MS" w:hAnsi="Trebuchet MS"/>
          <w:b/>
          <w:i/>
          <w:sz w:val="20"/>
          <w:szCs w:val="20"/>
        </w:rPr>
        <w:t>E. MANGEZI, J. MAMBARA AND PARTNERS - APPELLANT’S REPRESENTANTIVES</w:t>
      </w:r>
    </w:p>
    <w:p w:rsidR="00D56A1C" w:rsidRPr="00D56A1C" w:rsidRDefault="00D56A1C" w:rsidP="00D56A1C">
      <w:pPr>
        <w:spacing w:line="360" w:lineRule="auto"/>
        <w:jc w:val="both"/>
        <w:rPr>
          <w:rFonts w:ascii="Trebuchet MS" w:hAnsi="Trebuchet MS"/>
          <w:b/>
          <w:i/>
          <w:sz w:val="20"/>
          <w:szCs w:val="20"/>
        </w:rPr>
      </w:pPr>
      <w:r w:rsidRPr="00D56A1C">
        <w:rPr>
          <w:rFonts w:ascii="Trebuchet MS" w:hAnsi="Trebuchet MS"/>
          <w:b/>
          <w:i/>
          <w:sz w:val="20"/>
          <w:szCs w:val="20"/>
        </w:rPr>
        <w:t>CIVIL DIVISION ATTORNEY GENERAL’S OFFICE – RESPONDENT’S REPRESENTATIVES</w:t>
      </w:r>
    </w:p>
    <w:sectPr w:rsidR="00D56A1C" w:rsidRPr="00D56A1C" w:rsidSect="00D56A1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CF1" w:rsidRDefault="00D16CF1" w:rsidP="00D56A1C">
      <w:pPr>
        <w:spacing w:after="0" w:line="240" w:lineRule="auto"/>
      </w:pPr>
      <w:r>
        <w:separator/>
      </w:r>
    </w:p>
  </w:endnote>
  <w:endnote w:type="continuationSeparator" w:id="0">
    <w:p w:rsidR="00D16CF1" w:rsidRDefault="00D16CF1" w:rsidP="00D56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8883"/>
      <w:docPartObj>
        <w:docPartGallery w:val="Page Numbers (Bottom of Page)"/>
        <w:docPartUnique/>
      </w:docPartObj>
    </w:sdtPr>
    <w:sdtEndPr/>
    <w:sdtContent>
      <w:p w:rsidR="00D56A1C" w:rsidRDefault="00D16CF1">
        <w:pPr>
          <w:pStyle w:val="Footer"/>
          <w:jc w:val="right"/>
        </w:pPr>
        <w:r>
          <w:fldChar w:fldCharType="begin"/>
        </w:r>
        <w:r>
          <w:instrText xml:space="preserve"> PAGE   \* MERGEFORMAT </w:instrText>
        </w:r>
        <w:r>
          <w:fldChar w:fldCharType="separate"/>
        </w:r>
        <w:r w:rsidR="00936951">
          <w:rPr>
            <w:noProof/>
          </w:rPr>
          <w:t>4</w:t>
        </w:r>
        <w:r>
          <w:rPr>
            <w:noProof/>
          </w:rPr>
          <w:fldChar w:fldCharType="end"/>
        </w:r>
      </w:p>
    </w:sdtContent>
  </w:sdt>
  <w:p w:rsidR="00D56A1C" w:rsidRDefault="00D56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CF1" w:rsidRDefault="00D16CF1" w:rsidP="00D56A1C">
      <w:pPr>
        <w:spacing w:after="0" w:line="240" w:lineRule="auto"/>
      </w:pPr>
      <w:r>
        <w:separator/>
      </w:r>
    </w:p>
  </w:footnote>
  <w:footnote w:type="continuationSeparator" w:id="0">
    <w:p w:rsidR="00D16CF1" w:rsidRDefault="00D16CF1" w:rsidP="00D56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A1C" w:rsidRDefault="00D56A1C" w:rsidP="00D56A1C">
    <w:pPr>
      <w:pStyle w:val="Header"/>
      <w:jc w:val="right"/>
    </w:pPr>
    <w:r w:rsidRPr="00B04E8C">
      <w:rPr>
        <w:rFonts w:ascii="Trebuchet MS" w:hAnsi="Trebuchet MS"/>
        <w:b/>
        <w:sz w:val="24"/>
        <w:szCs w:val="24"/>
      </w:rPr>
      <w:t>JUDGMENT NO. LC/H/154/13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B7AA7"/>
    <w:multiLevelType w:val="hybridMultilevel"/>
    <w:tmpl w:val="F0301C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E8C"/>
    <w:rsid w:val="000248CF"/>
    <w:rsid w:val="000671BA"/>
    <w:rsid w:val="001405F9"/>
    <w:rsid w:val="00170320"/>
    <w:rsid w:val="00220728"/>
    <w:rsid w:val="00277682"/>
    <w:rsid w:val="002F123C"/>
    <w:rsid w:val="00320812"/>
    <w:rsid w:val="00345048"/>
    <w:rsid w:val="003C1E62"/>
    <w:rsid w:val="003D376A"/>
    <w:rsid w:val="00400AD8"/>
    <w:rsid w:val="004E5AE5"/>
    <w:rsid w:val="00537191"/>
    <w:rsid w:val="005656F0"/>
    <w:rsid w:val="0058559D"/>
    <w:rsid w:val="005D716A"/>
    <w:rsid w:val="005D7A57"/>
    <w:rsid w:val="0060624D"/>
    <w:rsid w:val="00615841"/>
    <w:rsid w:val="006328C0"/>
    <w:rsid w:val="00761901"/>
    <w:rsid w:val="007959BA"/>
    <w:rsid w:val="00936951"/>
    <w:rsid w:val="00977539"/>
    <w:rsid w:val="009A4202"/>
    <w:rsid w:val="00A45650"/>
    <w:rsid w:val="00A65705"/>
    <w:rsid w:val="00AC70F3"/>
    <w:rsid w:val="00B04E8C"/>
    <w:rsid w:val="00B66AE0"/>
    <w:rsid w:val="00B86C8B"/>
    <w:rsid w:val="00BA5517"/>
    <w:rsid w:val="00C320A1"/>
    <w:rsid w:val="00D07ED9"/>
    <w:rsid w:val="00D16CF1"/>
    <w:rsid w:val="00D54A2E"/>
    <w:rsid w:val="00D56A1C"/>
    <w:rsid w:val="00DC4B8A"/>
    <w:rsid w:val="00F42E75"/>
    <w:rsid w:val="00FB17DC"/>
    <w:rsid w:val="00FD2E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9D"/>
    <w:pPr>
      <w:ind w:left="720"/>
      <w:contextualSpacing/>
    </w:pPr>
  </w:style>
  <w:style w:type="paragraph" w:styleId="Header">
    <w:name w:val="header"/>
    <w:basedOn w:val="Normal"/>
    <w:link w:val="HeaderChar"/>
    <w:uiPriority w:val="99"/>
    <w:semiHidden/>
    <w:unhideWhenUsed/>
    <w:rsid w:val="00D56A1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56A1C"/>
  </w:style>
  <w:style w:type="paragraph" w:styleId="Footer">
    <w:name w:val="footer"/>
    <w:basedOn w:val="Normal"/>
    <w:link w:val="FooterChar"/>
    <w:uiPriority w:val="99"/>
    <w:unhideWhenUsed/>
    <w:rsid w:val="00D56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9D"/>
    <w:pPr>
      <w:ind w:left="720"/>
      <w:contextualSpacing/>
    </w:pPr>
  </w:style>
  <w:style w:type="paragraph" w:styleId="Header">
    <w:name w:val="header"/>
    <w:basedOn w:val="Normal"/>
    <w:link w:val="HeaderChar"/>
    <w:uiPriority w:val="99"/>
    <w:semiHidden/>
    <w:unhideWhenUsed/>
    <w:rsid w:val="00D56A1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56A1C"/>
  </w:style>
  <w:style w:type="paragraph" w:styleId="Footer">
    <w:name w:val="footer"/>
    <w:basedOn w:val="Normal"/>
    <w:link w:val="FooterChar"/>
    <w:uiPriority w:val="99"/>
    <w:unhideWhenUsed/>
    <w:rsid w:val="00D56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dcterms:created xsi:type="dcterms:W3CDTF">2017-04-05T12:55:00Z</dcterms:created>
  <dcterms:modified xsi:type="dcterms:W3CDTF">2017-04-05T12:55:00Z</dcterms:modified>
</cp:coreProperties>
</file>