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A31" w:rsidRDefault="007134C0" w:rsidP="00D34C1F">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D46D0">
        <w:rPr>
          <w:b/>
          <w:sz w:val="24"/>
          <w:szCs w:val="24"/>
        </w:rPr>
        <w:t>634</w:t>
      </w:r>
      <w:bookmarkStart w:id="0" w:name="_GoBack"/>
      <w:bookmarkEnd w:id="0"/>
      <w:r>
        <w:rPr>
          <w:b/>
          <w:sz w:val="24"/>
          <w:szCs w:val="24"/>
        </w:rPr>
        <w:t>/16</w:t>
      </w:r>
    </w:p>
    <w:p w:rsidR="007134C0" w:rsidRDefault="007134C0" w:rsidP="00D34C1F">
      <w:pPr>
        <w:spacing w:line="360" w:lineRule="auto"/>
        <w:jc w:val="both"/>
        <w:rPr>
          <w:b/>
          <w:sz w:val="24"/>
          <w:szCs w:val="24"/>
        </w:rPr>
      </w:pPr>
      <w:r>
        <w:rPr>
          <w:b/>
          <w:sz w:val="24"/>
          <w:szCs w:val="24"/>
        </w:rPr>
        <w:t xml:space="preserve">HELD AT HARARE 10 </w:t>
      </w:r>
      <w:r w:rsidR="006405C1">
        <w:rPr>
          <w:b/>
          <w:sz w:val="24"/>
          <w:szCs w:val="24"/>
        </w:rPr>
        <w:t>MAY</w:t>
      </w:r>
      <w:r>
        <w:rPr>
          <w:b/>
          <w:sz w:val="24"/>
          <w:szCs w:val="24"/>
        </w:rPr>
        <w:t xml:space="preserve"> 2016</w:t>
      </w:r>
      <w:r>
        <w:rPr>
          <w:b/>
          <w:sz w:val="24"/>
          <w:szCs w:val="24"/>
        </w:rPr>
        <w:tab/>
      </w:r>
      <w:r>
        <w:rPr>
          <w:b/>
          <w:sz w:val="24"/>
          <w:szCs w:val="24"/>
        </w:rPr>
        <w:tab/>
      </w:r>
      <w:r>
        <w:rPr>
          <w:b/>
          <w:sz w:val="24"/>
          <w:szCs w:val="24"/>
        </w:rPr>
        <w:tab/>
      </w:r>
      <w:r>
        <w:rPr>
          <w:b/>
          <w:sz w:val="24"/>
          <w:szCs w:val="24"/>
        </w:rPr>
        <w:tab/>
        <w:t>CASE NO LC/H/90/15</w:t>
      </w:r>
    </w:p>
    <w:p w:rsidR="007134C0" w:rsidRDefault="007134C0" w:rsidP="00D34C1F">
      <w:pPr>
        <w:spacing w:line="360" w:lineRule="auto"/>
        <w:jc w:val="both"/>
        <w:rPr>
          <w:b/>
          <w:sz w:val="24"/>
          <w:szCs w:val="24"/>
        </w:rPr>
      </w:pPr>
      <w:r>
        <w:rPr>
          <w:b/>
          <w:sz w:val="24"/>
          <w:szCs w:val="24"/>
        </w:rPr>
        <w:t>&amp;</w:t>
      </w:r>
      <w:r w:rsidR="006D46D0">
        <w:rPr>
          <w:b/>
          <w:sz w:val="24"/>
          <w:szCs w:val="24"/>
        </w:rPr>
        <w:t xml:space="preserve"> 21 OCTOBER 2016</w:t>
      </w:r>
    </w:p>
    <w:p w:rsidR="007134C0" w:rsidRDefault="007134C0" w:rsidP="00D34C1F">
      <w:pPr>
        <w:spacing w:line="360" w:lineRule="auto"/>
        <w:jc w:val="both"/>
        <w:rPr>
          <w:sz w:val="24"/>
          <w:szCs w:val="24"/>
        </w:rPr>
      </w:pPr>
      <w:r>
        <w:rPr>
          <w:sz w:val="24"/>
          <w:szCs w:val="24"/>
        </w:rPr>
        <w:t>In the matter between:</w:t>
      </w:r>
    </w:p>
    <w:p w:rsidR="007134C0" w:rsidRDefault="007134C0" w:rsidP="00D34C1F">
      <w:pPr>
        <w:spacing w:line="360" w:lineRule="auto"/>
        <w:jc w:val="both"/>
        <w:rPr>
          <w:b/>
          <w:sz w:val="24"/>
          <w:szCs w:val="24"/>
        </w:rPr>
      </w:pPr>
      <w:r>
        <w:rPr>
          <w:b/>
          <w:sz w:val="24"/>
          <w:szCs w:val="24"/>
        </w:rPr>
        <w:t>HATIFARI MUNONGI</w:t>
      </w:r>
      <w:r>
        <w:rPr>
          <w:b/>
          <w:sz w:val="24"/>
          <w:szCs w:val="24"/>
        </w:rPr>
        <w:tab/>
      </w:r>
      <w:r>
        <w:rPr>
          <w:b/>
          <w:sz w:val="24"/>
          <w:szCs w:val="24"/>
        </w:rPr>
        <w:tab/>
      </w:r>
      <w:r>
        <w:rPr>
          <w:b/>
          <w:sz w:val="24"/>
          <w:szCs w:val="24"/>
        </w:rPr>
        <w:tab/>
      </w:r>
      <w:r>
        <w:rPr>
          <w:b/>
          <w:sz w:val="24"/>
          <w:szCs w:val="24"/>
        </w:rPr>
        <w:tab/>
      </w:r>
      <w:r>
        <w:rPr>
          <w:b/>
          <w:sz w:val="24"/>
          <w:szCs w:val="24"/>
        </w:rPr>
        <w:tab/>
        <w:t>Appellant</w:t>
      </w:r>
    </w:p>
    <w:p w:rsidR="007134C0" w:rsidRDefault="007134C0" w:rsidP="00D34C1F">
      <w:pPr>
        <w:spacing w:line="360" w:lineRule="auto"/>
        <w:jc w:val="both"/>
        <w:rPr>
          <w:b/>
          <w:sz w:val="24"/>
          <w:szCs w:val="24"/>
        </w:rPr>
      </w:pPr>
      <w:r>
        <w:rPr>
          <w:b/>
          <w:sz w:val="24"/>
          <w:szCs w:val="24"/>
        </w:rPr>
        <w:t>And</w:t>
      </w:r>
    </w:p>
    <w:p w:rsidR="007134C0" w:rsidRDefault="007134C0" w:rsidP="00D34C1F">
      <w:pPr>
        <w:spacing w:line="360" w:lineRule="auto"/>
        <w:jc w:val="both"/>
        <w:rPr>
          <w:b/>
          <w:sz w:val="24"/>
          <w:szCs w:val="24"/>
        </w:rPr>
      </w:pPr>
      <w:r>
        <w:rPr>
          <w:b/>
          <w:sz w:val="24"/>
          <w:szCs w:val="24"/>
        </w:rPr>
        <w:t>HAPPY PRIMARY SCHOOL</w:t>
      </w:r>
      <w:r>
        <w:rPr>
          <w:b/>
          <w:sz w:val="24"/>
          <w:szCs w:val="24"/>
        </w:rPr>
        <w:tab/>
      </w:r>
      <w:r>
        <w:rPr>
          <w:b/>
          <w:sz w:val="24"/>
          <w:szCs w:val="24"/>
        </w:rPr>
        <w:tab/>
      </w:r>
      <w:r>
        <w:rPr>
          <w:b/>
          <w:sz w:val="24"/>
          <w:szCs w:val="24"/>
        </w:rPr>
        <w:tab/>
      </w:r>
      <w:r>
        <w:rPr>
          <w:b/>
          <w:sz w:val="24"/>
          <w:szCs w:val="24"/>
        </w:rPr>
        <w:tab/>
        <w:t xml:space="preserve">Respondent </w:t>
      </w:r>
    </w:p>
    <w:p w:rsidR="007134C0" w:rsidRDefault="007134C0" w:rsidP="00D34C1F">
      <w:pPr>
        <w:spacing w:line="360" w:lineRule="auto"/>
        <w:jc w:val="both"/>
        <w:rPr>
          <w:sz w:val="24"/>
          <w:szCs w:val="24"/>
        </w:rPr>
      </w:pPr>
      <w:r>
        <w:rPr>
          <w:sz w:val="24"/>
          <w:szCs w:val="24"/>
        </w:rPr>
        <w:t xml:space="preserve">Before The Honourable </w:t>
      </w:r>
      <w:proofErr w:type="spellStart"/>
      <w:r>
        <w:rPr>
          <w:sz w:val="24"/>
          <w:szCs w:val="24"/>
        </w:rPr>
        <w:t>Manyangadze</w:t>
      </w:r>
      <w:proofErr w:type="spellEnd"/>
      <w:r>
        <w:rPr>
          <w:sz w:val="24"/>
          <w:szCs w:val="24"/>
        </w:rPr>
        <w:t>, J</w:t>
      </w:r>
    </w:p>
    <w:p w:rsidR="007134C0" w:rsidRDefault="007134C0" w:rsidP="00D34C1F">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J </w:t>
      </w:r>
      <w:proofErr w:type="spellStart"/>
      <w:r>
        <w:rPr>
          <w:b/>
          <w:sz w:val="24"/>
          <w:szCs w:val="24"/>
        </w:rPr>
        <w:t>Majatame</w:t>
      </w:r>
      <w:proofErr w:type="spellEnd"/>
      <w:r>
        <w:rPr>
          <w:b/>
          <w:sz w:val="24"/>
          <w:szCs w:val="24"/>
        </w:rPr>
        <w:t xml:space="preserve"> (Lega</w:t>
      </w:r>
      <w:r w:rsidR="00D34C1F">
        <w:rPr>
          <w:b/>
          <w:sz w:val="24"/>
          <w:szCs w:val="24"/>
        </w:rPr>
        <w:t>l Practitioner)</w:t>
      </w:r>
    </w:p>
    <w:p w:rsidR="00D34C1F" w:rsidRDefault="00D34C1F" w:rsidP="00D34C1F">
      <w:pPr>
        <w:spacing w:line="360" w:lineRule="auto"/>
        <w:jc w:val="both"/>
        <w:rPr>
          <w:b/>
          <w:sz w:val="24"/>
          <w:szCs w:val="24"/>
        </w:rPr>
      </w:pPr>
      <w:r>
        <w:rPr>
          <w:b/>
          <w:sz w:val="24"/>
          <w:szCs w:val="24"/>
        </w:rPr>
        <w:t>For Respondent</w:t>
      </w:r>
      <w:r>
        <w:rPr>
          <w:b/>
          <w:sz w:val="24"/>
          <w:szCs w:val="24"/>
        </w:rPr>
        <w:tab/>
      </w:r>
      <w:r>
        <w:rPr>
          <w:b/>
          <w:sz w:val="24"/>
          <w:szCs w:val="24"/>
        </w:rPr>
        <w:tab/>
        <w:t xml:space="preserve">Ms T </w:t>
      </w:r>
      <w:proofErr w:type="spellStart"/>
      <w:r>
        <w:rPr>
          <w:b/>
          <w:sz w:val="24"/>
          <w:szCs w:val="24"/>
        </w:rPr>
        <w:t>Mapota</w:t>
      </w:r>
      <w:proofErr w:type="spellEnd"/>
      <w:r>
        <w:rPr>
          <w:b/>
          <w:sz w:val="24"/>
          <w:szCs w:val="24"/>
        </w:rPr>
        <w:t xml:space="preserve"> (Legal Practitioner)</w:t>
      </w:r>
    </w:p>
    <w:p w:rsidR="00D34C1F" w:rsidRDefault="00D34C1F" w:rsidP="00D34C1F">
      <w:pPr>
        <w:spacing w:line="360" w:lineRule="auto"/>
        <w:jc w:val="both"/>
        <w:rPr>
          <w:b/>
          <w:sz w:val="24"/>
          <w:szCs w:val="24"/>
        </w:rPr>
      </w:pPr>
    </w:p>
    <w:p w:rsidR="00D34C1F" w:rsidRDefault="00D34C1F" w:rsidP="00D34C1F">
      <w:pPr>
        <w:spacing w:line="360" w:lineRule="auto"/>
        <w:jc w:val="both"/>
        <w:rPr>
          <w:b/>
          <w:sz w:val="24"/>
          <w:szCs w:val="24"/>
        </w:rPr>
      </w:pPr>
      <w:r>
        <w:rPr>
          <w:b/>
          <w:sz w:val="24"/>
          <w:szCs w:val="24"/>
        </w:rPr>
        <w:t>MANYANGADZE J:</w:t>
      </w:r>
    </w:p>
    <w:p w:rsidR="00D34C1F" w:rsidRDefault="00D34C1F" w:rsidP="00D34C1F">
      <w:pPr>
        <w:spacing w:after="0" w:line="360" w:lineRule="auto"/>
        <w:jc w:val="both"/>
        <w:rPr>
          <w:sz w:val="24"/>
          <w:szCs w:val="24"/>
        </w:rPr>
      </w:pPr>
      <w:r>
        <w:rPr>
          <w:b/>
          <w:sz w:val="24"/>
          <w:szCs w:val="24"/>
        </w:rPr>
        <w:tab/>
      </w:r>
      <w:r>
        <w:rPr>
          <w:sz w:val="24"/>
          <w:szCs w:val="24"/>
        </w:rPr>
        <w:t>This is an appeal against an arbitral award handed down on 30 October 2014, in terms of which it was ruled that the respondent’s (then claimant) represent</w:t>
      </w:r>
      <w:r w:rsidR="008D2F9D">
        <w:rPr>
          <w:sz w:val="24"/>
          <w:szCs w:val="24"/>
        </w:rPr>
        <w:t>ative</w:t>
      </w:r>
      <w:r>
        <w:rPr>
          <w:sz w:val="24"/>
          <w:szCs w:val="24"/>
        </w:rPr>
        <w:t xml:space="preserve"> had no </w:t>
      </w:r>
      <w:r>
        <w:rPr>
          <w:i/>
          <w:sz w:val="24"/>
          <w:szCs w:val="24"/>
        </w:rPr>
        <w:t xml:space="preserve">locus </w:t>
      </w:r>
      <w:proofErr w:type="spellStart"/>
      <w:r>
        <w:rPr>
          <w:i/>
          <w:sz w:val="24"/>
          <w:szCs w:val="24"/>
        </w:rPr>
        <w:t>standi</w:t>
      </w:r>
      <w:proofErr w:type="spellEnd"/>
      <w:r>
        <w:rPr>
          <w:i/>
          <w:sz w:val="24"/>
          <w:szCs w:val="24"/>
        </w:rPr>
        <w:t xml:space="preserve"> </w:t>
      </w:r>
      <w:r>
        <w:rPr>
          <w:sz w:val="24"/>
          <w:szCs w:val="24"/>
        </w:rPr>
        <w:t>to represent the respondent before the arbitrator.</w:t>
      </w:r>
    </w:p>
    <w:p w:rsidR="00D34C1F" w:rsidRPr="00D34C1F" w:rsidRDefault="00D34C1F" w:rsidP="00D34C1F">
      <w:pPr>
        <w:spacing w:after="0" w:line="360" w:lineRule="auto"/>
        <w:jc w:val="both"/>
        <w:rPr>
          <w:sz w:val="24"/>
          <w:szCs w:val="24"/>
        </w:rPr>
      </w:pPr>
      <w:r>
        <w:rPr>
          <w:sz w:val="24"/>
          <w:szCs w:val="24"/>
        </w:rPr>
        <w:tab/>
        <w:t xml:space="preserve">The brief background to the matter is that the respondent was employed by the appellant as a </w:t>
      </w:r>
      <w:r w:rsidR="008D2F9D">
        <w:rPr>
          <w:sz w:val="24"/>
          <w:szCs w:val="24"/>
        </w:rPr>
        <w:t>teacher</w:t>
      </w:r>
      <w:r w:rsidR="003A70C1">
        <w:rPr>
          <w:sz w:val="24"/>
          <w:szCs w:val="24"/>
        </w:rPr>
        <w:t>,</w:t>
      </w:r>
      <w:r>
        <w:rPr>
          <w:sz w:val="24"/>
          <w:szCs w:val="24"/>
        </w:rPr>
        <w:t xml:space="preserve"> from February 2010 to December 2010.  The termination of the respondent’s employment gave rise to a dispute whether it was an unfair dismissal or resignation.  After conciliation failed, the dispute was referred to compulsory arbitration.</w:t>
      </w:r>
    </w:p>
    <w:p w:rsidR="00D34C1F" w:rsidRDefault="00D34C1F" w:rsidP="003A05C4">
      <w:pPr>
        <w:spacing w:after="0"/>
        <w:rPr>
          <w:sz w:val="24"/>
          <w:szCs w:val="24"/>
        </w:rPr>
      </w:pPr>
      <w:r>
        <w:rPr>
          <w:b/>
          <w:sz w:val="24"/>
          <w:szCs w:val="24"/>
        </w:rPr>
        <w:tab/>
      </w:r>
      <w:r w:rsidRPr="00D34C1F">
        <w:rPr>
          <w:sz w:val="24"/>
          <w:szCs w:val="24"/>
        </w:rPr>
        <w:t>The arbitrator upheld the appellant</w:t>
      </w:r>
      <w:r w:rsidR="003A05C4">
        <w:rPr>
          <w:sz w:val="24"/>
          <w:szCs w:val="24"/>
        </w:rPr>
        <w:t xml:space="preserve">’s (then respondent) point </w:t>
      </w:r>
      <w:r w:rsidR="003A05C4">
        <w:rPr>
          <w:i/>
          <w:sz w:val="24"/>
          <w:szCs w:val="24"/>
        </w:rPr>
        <w:t xml:space="preserve">in </w:t>
      </w:r>
      <w:proofErr w:type="spellStart"/>
      <w:r w:rsidR="003A05C4">
        <w:rPr>
          <w:i/>
          <w:sz w:val="24"/>
          <w:szCs w:val="24"/>
        </w:rPr>
        <w:t>limine</w:t>
      </w:r>
      <w:proofErr w:type="spellEnd"/>
      <w:r w:rsidR="003A05C4">
        <w:rPr>
          <w:i/>
          <w:sz w:val="24"/>
          <w:szCs w:val="24"/>
        </w:rPr>
        <w:t xml:space="preserve">, </w:t>
      </w:r>
      <w:r w:rsidR="003A05C4">
        <w:rPr>
          <w:sz w:val="24"/>
          <w:szCs w:val="24"/>
        </w:rPr>
        <w:t xml:space="preserve">which was to the effect that the respondent’s </w:t>
      </w:r>
      <w:r w:rsidR="008D2F9D">
        <w:rPr>
          <w:sz w:val="24"/>
          <w:szCs w:val="24"/>
        </w:rPr>
        <w:t>representative had</w:t>
      </w:r>
      <w:r w:rsidR="003A05C4">
        <w:rPr>
          <w:sz w:val="24"/>
          <w:szCs w:val="24"/>
        </w:rPr>
        <w:t xml:space="preserve"> no </w:t>
      </w:r>
      <w:r w:rsidR="003A05C4">
        <w:rPr>
          <w:i/>
          <w:sz w:val="24"/>
          <w:szCs w:val="24"/>
        </w:rPr>
        <w:t xml:space="preserve">locus </w:t>
      </w:r>
      <w:proofErr w:type="spellStart"/>
      <w:r w:rsidR="003A05C4">
        <w:rPr>
          <w:i/>
          <w:sz w:val="24"/>
          <w:szCs w:val="24"/>
        </w:rPr>
        <w:t>standi</w:t>
      </w:r>
      <w:proofErr w:type="spellEnd"/>
      <w:r w:rsidR="003A05C4">
        <w:rPr>
          <w:sz w:val="24"/>
          <w:szCs w:val="24"/>
        </w:rPr>
        <w:t xml:space="preserve"> to appear before the arbitrator.  The arbitrator disposed of the matter on that basis without </w:t>
      </w:r>
      <w:r w:rsidR="008D2F9D">
        <w:rPr>
          <w:sz w:val="24"/>
          <w:szCs w:val="24"/>
        </w:rPr>
        <w:t>delving into</w:t>
      </w:r>
      <w:r w:rsidR="003A05C4">
        <w:rPr>
          <w:sz w:val="24"/>
          <w:szCs w:val="24"/>
        </w:rPr>
        <w:t xml:space="preserve"> the </w:t>
      </w:r>
      <w:r w:rsidR="008D2F9D">
        <w:rPr>
          <w:sz w:val="24"/>
          <w:szCs w:val="24"/>
        </w:rPr>
        <w:t xml:space="preserve">merits </w:t>
      </w:r>
      <w:r w:rsidR="003A05C4">
        <w:rPr>
          <w:sz w:val="24"/>
          <w:szCs w:val="24"/>
        </w:rPr>
        <w:t>thereof.</w:t>
      </w:r>
    </w:p>
    <w:p w:rsidR="003A05C4" w:rsidRDefault="003A05C4" w:rsidP="003A05C4">
      <w:pPr>
        <w:spacing w:after="0" w:line="360" w:lineRule="auto"/>
        <w:rPr>
          <w:sz w:val="24"/>
          <w:szCs w:val="24"/>
        </w:rPr>
      </w:pPr>
      <w:r>
        <w:rPr>
          <w:sz w:val="24"/>
          <w:szCs w:val="24"/>
        </w:rPr>
        <w:tab/>
        <w:t>Aggrieved by this determination, the appellant filed an appeal with this court.</w:t>
      </w:r>
    </w:p>
    <w:p w:rsidR="003A05C4" w:rsidRDefault="008D2F9D" w:rsidP="00B17300">
      <w:pPr>
        <w:spacing w:after="0" w:line="360" w:lineRule="auto"/>
        <w:rPr>
          <w:sz w:val="24"/>
          <w:szCs w:val="24"/>
        </w:rPr>
      </w:pPr>
      <w:r>
        <w:rPr>
          <w:sz w:val="24"/>
          <w:szCs w:val="24"/>
        </w:rPr>
        <w:tab/>
        <w:t>At t</w:t>
      </w:r>
      <w:r w:rsidR="003A05C4">
        <w:rPr>
          <w:sz w:val="24"/>
          <w:szCs w:val="24"/>
        </w:rPr>
        <w:t xml:space="preserve">he hearing of the </w:t>
      </w:r>
      <w:r>
        <w:rPr>
          <w:sz w:val="24"/>
          <w:szCs w:val="24"/>
        </w:rPr>
        <w:t>appeal</w:t>
      </w:r>
      <w:r w:rsidR="006405C1">
        <w:rPr>
          <w:sz w:val="24"/>
          <w:szCs w:val="24"/>
        </w:rPr>
        <w:t>,</w:t>
      </w:r>
      <w:r w:rsidR="003A70C1">
        <w:rPr>
          <w:sz w:val="24"/>
          <w:szCs w:val="24"/>
        </w:rPr>
        <w:t xml:space="preserve"> t</w:t>
      </w:r>
      <w:r w:rsidR="00B17300">
        <w:rPr>
          <w:sz w:val="24"/>
          <w:szCs w:val="24"/>
        </w:rPr>
        <w:t>h</w:t>
      </w:r>
      <w:r w:rsidR="003A05C4">
        <w:rPr>
          <w:sz w:val="24"/>
          <w:szCs w:val="24"/>
        </w:rPr>
        <w:t>e sole issue the parties presented to the court</w:t>
      </w:r>
      <w:r w:rsidR="00B17300">
        <w:rPr>
          <w:sz w:val="24"/>
          <w:szCs w:val="24"/>
        </w:rPr>
        <w:t xml:space="preserve"> for its determination was whether or not </w:t>
      </w:r>
      <w:r>
        <w:rPr>
          <w:sz w:val="24"/>
          <w:szCs w:val="24"/>
        </w:rPr>
        <w:t>the respondent’s representative</w:t>
      </w:r>
      <w:r w:rsidR="00B17300">
        <w:rPr>
          <w:sz w:val="24"/>
          <w:szCs w:val="24"/>
        </w:rPr>
        <w:t xml:space="preserve"> at arbitration had the </w:t>
      </w:r>
      <w:r w:rsidR="00B17300">
        <w:rPr>
          <w:sz w:val="24"/>
          <w:szCs w:val="24"/>
        </w:rPr>
        <w:lastRenderedPageBreak/>
        <w:t xml:space="preserve">requisite </w:t>
      </w:r>
      <w:r w:rsidR="00B17300">
        <w:rPr>
          <w:i/>
          <w:sz w:val="24"/>
          <w:szCs w:val="24"/>
        </w:rPr>
        <w:t xml:space="preserve">locus </w:t>
      </w:r>
      <w:proofErr w:type="spellStart"/>
      <w:r w:rsidR="00B17300">
        <w:rPr>
          <w:i/>
          <w:sz w:val="24"/>
          <w:szCs w:val="24"/>
        </w:rPr>
        <w:t>standi</w:t>
      </w:r>
      <w:proofErr w:type="spellEnd"/>
      <w:r w:rsidR="00B17300">
        <w:rPr>
          <w:i/>
          <w:sz w:val="24"/>
          <w:szCs w:val="24"/>
        </w:rPr>
        <w:t>.</w:t>
      </w:r>
      <w:r w:rsidR="00B17300">
        <w:rPr>
          <w:sz w:val="24"/>
          <w:szCs w:val="24"/>
        </w:rPr>
        <w:t xml:space="preserve">  The appellant was represented by Mr Berry </w:t>
      </w:r>
      <w:proofErr w:type="spellStart"/>
      <w:r w:rsidR="00B17300">
        <w:rPr>
          <w:sz w:val="24"/>
          <w:szCs w:val="24"/>
        </w:rPr>
        <w:t>Guvamombe</w:t>
      </w:r>
      <w:proofErr w:type="spellEnd"/>
      <w:r>
        <w:rPr>
          <w:sz w:val="24"/>
          <w:szCs w:val="24"/>
        </w:rPr>
        <w:t>,</w:t>
      </w:r>
      <w:r w:rsidR="00B17300">
        <w:rPr>
          <w:sz w:val="24"/>
          <w:szCs w:val="24"/>
        </w:rPr>
        <w:t xml:space="preserve"> an independent labour consultant from Link Consultancy.</w:t>
      </w:r>
    </w:p>
    <w:p w:rsidR="00B17300" w:rsidRDefault="00B17300" w:rsidP="00B17300">
      <w:pPr>
        <w:spacing w:after="0" w:line="360" w:lineRule="auto"/>
        <w:rPr>
          <w:sz w:val="24"/>
          <w:szCs w:val="24"/>
        </w:rPr>
      </w:pPr>
      <w:r>
        <w:rPr>
          <w:sz w:val="24"/>
          <w:szCs w:val="24"/>
        </w:rPr>
        <w:tab/>
        <w:t xml:space="preserve">The arbitrator ruled that the labour consultant could not represent the appellant.  Her basis for so ruling was section 92 of the Labour Act [Chapter 28:01] </w:t>
      </w:r>
      <w:r w:rsidR="008D2F9D">
        <w:rPr>
          <w:sz w:val="24"/>
          <w:szCs w:val="24"/>
        </w:rPr>
        <w:t>(</w:t>
      </w:r>
      <w:r>
        <w:rPr>
          <w:sz w:val="24"/>
          <w:szCs w:val="24"/>
        </w:rPr>
        <w:t>the Act</w:t>
      </w:r>
      <w:r w:rsidR="008D2F9D">
        <w:rPr>
          <w:sz w:val="24"/>
          <w:szCs w:val="24"/>
        </w:rPr>
        <w:t>)</w:t>
      </w:r>
      <w:r>
        <w:rPr>
          <w:sz w:val="24"/>
          <w:szCs w:val="24"/>
        </w:rPr>
        <w:t>.  Section 92 of the Act provides for representation of parties in Labour Court proceedings.  It reads as follows:</w:t>
      </w:r>
    </w:p>
    <w:p w:rsidR="00B17300" w:rsidRDefault="00B17300" w:rsidP="00B17300">
      <w:pPr>
        <w:spacing w:after="0" w:line="240" w:lineRule="auto"/>
        <w:ind w:left="1440"/>
      </w:pPr>
      <w:r>
        <w:t>“</w:t>
      </w:r>
      <w:r w:rsidR="006405C1">
        <w:t xml:space="preserve">A party to a matter before the </w:t>
      </w:r>
      <w:r>
        <w:t>Labour Court may appear in person or be represented and appear by-</w:t>
      </w:r>
    </w:p>
    <w:p w:rsidR="00B17300" w:rsidRDefault="00B17300" w:rsidP="00B17300">
      <w:pPr>
        <w:pStyle w:val="ListParagraph"/>
        <w:numPr>
          <w:ilvl w:val="0"/>
          <w:numId w:val="1"/>
        </w:numPr>
        <w:spacing w:after="0" w:line="240" w:lineRule="auto"/>
      </w:pPr>
      <w:r>
        <w:t>a legal practitioner registered in terms of the Legal Practitioners Act [Chapter 27:01]; or</w:t>
      </w:r>
    </w:p>
    <w:p w:rsidR="00B17300" w:rsidRDefault="00B17300" w:rsidP="00B17300">
      <w:pPr>
        <w:pStyle w:val="ListParagraph"/>
        <w:numPr>
          <w:ilvl w:val="0"/>
          <w:numId w:val="1"/>
        </w:numPr>
        <w:spacing w:after="0" w:line="240" w:lineRule="auto"/>
      </w:pPr>
      <w:proofErr w:type="gramStart"/>
      <w:r>
        <w:t>an</w:t>
      </w:r>
      <w:proofErr w:type="gramEnd"/>
      <w:r>
        <w:t xml:space="preserve"> official or employee of a registered trade union or </w:t>
      </w:r>
      <w:proofErr w:type="spellStart"/>
      <w:r>
        <w:t>employers</w:t>
      </w:r>
      <w:proofErr w:type="spellEnd"/>
      <w:r>
        <w:t xml:space="preserve"> organisation of which the party is a member.”</w:t>
      </w:r>
    </w:p>
    <w:p w:rsidR="0020750F" w:rsidRDefault="0020750F" w:rsidP="0020750F">
      <w:pPr>
        <w:pStyle w:val="ListParagraph"/>
        <w:spacing w:after="0" w:line="240" w:lineRule="auto"/>
        <w:ind w:left="1800"/>
      </w:pPr>
    </w:p>
    <w:p w:rsidR="00B17300" w:rsidRDefault="0020750F" w:rsidP="0020750F">
      <w:pPr>
        <w:spacing w:after="0" w:line="360" w:lineRule="auto"/>
        <w:ind w:left="720"/>
        <w:rPr>
          <w:sz w:val="24"/>
          <w:szCs w:val="24"/>
        </w:rPr>
      </w:pPr>
      <w:r>
        <w:rPr>
          <w:sz w:val="24"/>
          <w:szCs w:val="24"/>
        </w:rPr>
        <w:t xml:space="preserve">The arbitrator made further reference to section 98 (9) of the Act, which provides </w:t>
      </w:r>
    </w:p>
    <w:p w:rsidR="0020750F" w:rsidRPr="0020750F" w:rsidRDefault="0020750F" w:rsidP="0020750F">
      <w:pPr>
        <w:spacing w:after="0" w:line="360" w:lineRule="auto"/>
        <w:rPr>
          <w:sz w:val="24"/>
          <w:szCs w:val="24"/>
        </w:rPr>
      </w:pPr>
      <w:proofErr w:type="gramStart"/>
      <w:r>
        <w:rPr>
          <w:sz w:val="24"/>
          <w:szCs w:val="24"/>
        </w:rPr>
        <w:t>that</w:t>
      </w:r>
      <w:proofErr w:type="gramEnd"/>
      <w:r>
        <w:rPr>
          <w:sz w:val="24"/>
          <w:szCs w:val="24"/>
        </w:rPr>
        <w:t>;</w:t>
      </w:r>
    </w:p>
    <w:p w:rsidR="0020750F" w:rsidRDefault="0020750F" w:rsidP="0020750F">
      <w:pPr>
        <w:spacing w:after="0" w:line="240" w:lineRule="auto"/>
        <w:ind w:left="1440"/>
      </w:pPr>
      <w:r>
        <w:rPr>
          <w:sz w:val="20"/>
          <w:szCs w:val="20"/>
        </w:rPr>
        <w:t>“</w:t>
      </w:r>
      <w:r w:rsidRPr="0020750F">
        <w:t>In hearing and deter</w:t>
      </w:r>
      <w:r>
        <w:t>m</w:t>
      </w:r>
      <w:r w:rsidRPr="0020750F">
        <w:t>i</w:t>
      </w:r>
      <w:r>
        <w:t>ni</w:t>
      </w:r>
      <w:r w:rsidRPr="0020750F">
        <w:t>ng</w:t>
      </w:r>
      <w:r>
        <w:t xml:space="preserve"> any dispute an arbitrator shall have the same powers as the Labour Court.”</w:t>
      </w:r>
    </w:p>
    <w:p w:rsidR="0020750F" w:rsidRDefault="0020750F" w:rsidP="0020750F">
      <w:pPr>
        <w:spacing w:after="0" w:line="240" w:lineRule="auto"/>
        <w:ind w:left="1440"/>
      </w:pPr>
    </w:p>
    <w:p w:rsidR="0020750F" w:rsidRDefault="0020750F" w:rsidP="0020750F">
      <w:pPr>
        <w:spacing w:after="0" w:line="360" w:lineRule="auto"/>
        <w:rPr>
          <w:sz w:val="24"/>
          <w:szCs w:val="24"/>
        </w:rPr>
      </w:pPr>
      <w:r>
        <w:tab/>
      </w:r>
      <w:r>
        <w:rPr>
          <w:sz w:val="24"/>
          <w:szCs w:val="24"/>
        </w:rPr>
        <w:t>The respondent contended that the arbitrator correctly upheld its preliminary point, based on the cited provisions of the Act.</w:t>
      </w:r>
    </w:p>
    <w:p w:rsidR="0020750F" w:rsidRDefault="0020750F" w:rsidP="0020750F">
      <w:pPr>
        <w:spacing w:after="0" w:line="360" w:lineRule="auto"/>
        <w:rPr>
          <w:sz w:val="24"/>
          <w:szCs w:val="24"/>
        </w:rPr>
      </w:pPr>
      <w:r>
        <w:rPr>
          <w:sz w:val="24"/>
          <w:szCs w:val="24"/>
        </w:rPr>
        <w:tab/>
        <w:t xml:space="preserve">The appellant, on the other hand, </w:t>
      </w:r>
      <w:r w:rsidR="008D2F9D">
        <w:rPr>
          <w:sz w:val="24"/>
          <w:szCs w:val="24"/>
        </w:rPr>
        <w:t>contended</w:t>
      </w:r>
      <w:r>
        <w:rPr>
          <w:sz w:val="24"/>
          <w:szCs w:val="24"/>
        </w:rPr>
        <w:t xml:space="preserve"> that the arbitrator misdirected herself in applying the aforesaid provisions to the issue of representation at arbitration.  Section 92 of the Act provides for representation of parties </w:t>
      </w:r>
      <w:r w:rsidR="008D2F9D">
        <w:rPr>
          <w:sz w:val="24"/>
          <w:szCs w:val="24"/>
        </w:rPr>
        <w:t>before</w:t>
      </w:r>
      <w:r>
        <w:rPr>
          <w:sz w:val="24"/>
          <w:szCs w:val="24"/>
        </w:rPr>
        <w:t xml:space="preserve"> the Labour Court</w:t>
      </w:r>
      <w:r w:rsidR="008D2F9D">
        <w:rPr>
          <w:sz w:val="24"/>
          <w:szCs w:val="24"/>
        </w:rPr>
        <w:t>,</w:t>
      </w:r>
      <w:r>
        <w:rPr>
          <w:sz w:val="24"/>
          <w:szCs w:val="24"/>
        </w:rPr>
        <w:t xml:space="preserve"> not before an arbitral tribunal.</w:t>
      </w:r>
    </w:p>
    <w:p w:rsidR="0020750F" w:rsidRDefault="0020750F" w:rsidP="0020750F">
      <w:pPr>
        <w:spacing w:after="0" w:line="360" w:lineRule="auto"/>
        <w:rPr>
          <w:sz w:val="24"/>
          <w:szCs w:val="24"/>
        </w:rPr>
      </w:pPr>
      <w:r>
        <w:rPr>
          <w:sz w:val="24"/>
          <w:szCs w:val="24"/>
        </w:rPr>
        <w:tab/>
        <w:t xml:space="preserve">The appellant referred the court to Article 24 (4) of the Arbitration Act [Chapter 7:15] </w:t>
      </w:r>
      <w:r w:rsidR="008D2F9D">
        <w:rPr>
          <w:sz w:val="24"/>
          <w:szCs w:val="24"/>
        </w:rPr>
        <w:t>which</w:t>
      </w:r>
      <w:r>
        <w:rPr>
          <w:sz w:val="24"/>
          <w:szCs w:val="24"/>
        </w:rPr>
        <w:t xml:space="preserve"> governs the representation of parties before an arbitral tribunal.  It reads as follows:</w:t>
      </w:r>
    </w:p>
    <w:p w:rsidR="0020750F" w:rsidRPr="006405C1" w:rsidRDefault="0020750F" w:rsidP="00BC4E98">
      <w:pPr>
        <w:spacing w:after="0" w:line="240" w:lineRule="auto"/>
        <w:ind w:left="2160"/>
      </w:pPr>
      <w:r>
        <w:t xml:space="preserve">“(4) </w:t>
      </w:r>
      <w:r w:rsidRPr="003A70C1">
        <w:t>At any hearing or any meeting of the arbitral tribunal</w:t>
      </w:r>
      <w:r>
        <w:t xml:space="preserve"> of which notice is required to be given under paragraph (2) of this article, or in any proceedings conducted on the basis of documents or other materials, the parties may appear or </w:t>
      </w:r>
      <w:r w:rsidRPr="008D2F9D">
        <w:t xml:space="preserve">act in person or </w:t>
      </w:r>
      <w:r w:rsidRPr="006405C1">
        <w:rPr>
          <w:u w:val="single"/>
        </w:rPr>
        <w:t>may be represented by any other person of their choice</w:t>
      </w:r>
      <w:r w:rsidR="008D2F9D" w:rsidRPr="006405C1">
        <w:rPr>
          <w:u w:val="single"/>
        </w:rPr>
        <w:t>.</w:t>
      </w:r>
      <w:r w:rsidR="006405C1">
        <w:t xml:space="preserve"> (Emphasis added)</w:t>
      </w:r>
    </w:p>
    <w:p w:rsidR="00BC4E98" w:rsidRDefault="00BC4E98" w:rsidP="00BC4E98">
      <w:pPr>
        <w:spacing w:after="0" w:line="240" w:lineRule="auto"/>
      </w:pPr>
    </w:p>
    <w:p w:rsidR="00BC4E98" w:rsidRDefault="00BC4E98" w:rsidP="00BC4E98">
      <w:pPr>
        <w:spacing w:after="0" w:line="360" w:lineRule="auto"/>
        <w:rPr>
          <w:sz w:val="24"/>
          <w:szCs w:val="24"/>
        </w:rPr>
      </w:pPr>
      <w:r>
        <w:tab/>
      </w:r>
      <w:r>
        <w:rPr>
          <w:sz w:val="24"/>
          <w:szCs w:val="24"/>
        </w:rPr>
        <w:t>A reading of section 92 of the Act cle</w:t>
      </w:r>
      <w:r w:rsidR="008D2F9D">
        <w:rPr>
          <w:sz w:val="24"/>
          <w:szCs w:val="24"/>
        </w:rPr>
        <w:t>arly excludes labour consultants</w:t>
      </w:r>
      <w:r>
        <w:rPr>
          <w:sz w:val="24"/>
          <w:szCs w:val="24"/>
        </w:rPr>
        <w:t xml:space="preserve">.  They do not fit into any of the </w:t>
      </w:r>
      <w:r w:rsidR="008D2F9D">
        <w:rPr>
          <w:sz w:val="24"/>
          <w:szCs w:val="24"/>
        </w:rPr>
        <w:t xml:space="preserve">categories </w:t>
      </w:r>
      <w:r>
        <w:rPr>
          <w:sz w:val="24"/>
          <w:szCs w:val="24"/>
        </w:rPr>
        <w:t>of person</w:t>
      </w:r>
      <w:r w:rsidR="008D2F9D">
        <w:rPr>
          <w:sz w:val="24"/>
          <w:szCs w:val="24"/>
        </w:rPr>
        <w:t>s</w:t>
      </w:r>
      <w:r>
        <w:rPr>
          <w:sz w:val="24"/>
          <w:szCs w:val="24"/>
        </w:rPr>
        <w:t xml:space="preserve"> clothed with the mandate to represent those appearing before the Labour Court.</w:t>
      </w:r>
    </w:p>
    <w:p w:rsidR="00BC4E98" w:rsidRPr="003A70C1" w:rsidRDefault="00BC4E98" w:rsidP="00BC4E98">
      <w:pPr>
        <w:spacing w:after="0" w:line="360" w:lineRule="auto"/>
        <w:rPr>
          <w:i/>
          <w:sz w:val="24"/>
          <w:szCs w:val="24"/>
        </w:rPr>
      </w:pPr>
      <w:r>
        <w:rPr>
          <w:sz w:val="24"/>
          <w:szCs w:val="24"/>
        </w:rPr>
        <w:lastRenderedPageBreak/>
        <w:tab/>
        <w:t xml:space="preserve">The same however, cannot be said of Article 24 (4) of the Arbitration Act, </w:t>
      </w:r>
      <w:r>
        <w:rPr>
          <w:i/>
          <w:sz w:val="24"/>
          <w:szCs w:val="24"/>
        </w:rPr>
        <w:t xml:space="preserve">supra.  </w:t>
      </w:r>
      <w:r>
        <w:rPr>
          <w:sz w:val="24"/>
          <w:szCs w:val="24"/>
        </w:rPr>
        <w:t>It is couched in broader terms than section 92 of the Act.  It cannot be said from</w:t>
      </w:r>
      <w:r w:rsidR="008D2F9D">
        <w:rPr>
          <w:sz w:val="24"/>
          <w:szCs w:val="24"/>
        </w:rPr>
        <w:t>,</w:t>
      </w:r>
      <w:r>
        <w:rPr>
          <w:sz w:val="24"/>
          <w:szCs w:val="24"/>
        </w:rPr>
        <w:t xml:space="preserve"> a </w:t>
      </w:r>
      <w:r w:rsidR="008D2F9D">
        <w:rPr>
          <w:sz w:val="24"/>
          <w:szCs w:val="24"/>
        </w:rPr>
        <w:t xml:space="preserve">reading </w:t>
      </w:r>
      <w:r>
        <w:rPr>
          <w:sz w:val="24"/>
          <w:szCs w:val="24"/>
        </w:rPr>
        <w:t xml:space="preserve">of this provision, that labour consultants are excluded from appearing before arbitrators.  </w:t>
      </w:r>
      <w:proofErr w:type="gramStart"/>
      <w:r>
        <w:rPr>
          <w:sz w:val="24"/>
          <w:szCs w:val="24"/>
        </w:rPr>
        <w:t>To do</w:t>
      </w:r>
      <w:r w:rsidR="008D2F9D">
        <w:rPr>
          <w:sz w:val="24"/>
          <w:szCs w:val="24"/>
        </w:rPr>
        <w:t xml:space="preserve"> so </w:t>
      </w:r>
      <w:r>
        <w:rPr>
          <w:sz w:val="24"/>
          <w:szCs w:val="24"/>
        </w:rPr>
        <w:t xml:space="preserve">would be, in my view, </w:t>
      </w:r>
      <w:r w:rsidR="008D2F9D">
        <w:rPr>
          <w:sz w:val="24"/>
          <w:szCs w:val="24"/>
        </w:rPr>
        <w:t xml:space="preserve">attributing </w:t>
      </w:r>
      <w:r>
        <w:rPr>
          <w:sz w:val="24"/>
          <w:szCs w:val="24"/>
        </w:rPr>
        <w:t>to the provision a meaning that does not appear from a clear and simple reading thereof.</w:t>
      </w:r>
      <w:proofErr w:type="gramEnd"/>
      <w:r>
        <w:rPr>
          <w:sz w:val="24"/>
          <w:szCs w:val="24"/>
        </w:rPr>
        <w:t xml:space="preserve">  Words in a statutory provision must be given </w:t>
      </w:r>
      <w:r w:rsidR="008D2F9D">
        <w:rPr>
          <w:sz w:val="24"/>
          <w:szCs w:val="24"/>
        </w:rPr>
        <w:t>their ordinary</w:t>
      </w:r>
      <w:r>
        <w:rPr>
          <w:sz w:val="24"/>
          <w:szCs w:val="24"/>
        </w:rPr>
        <w:t xml:space="preserve"> gramm</w:t>
      </w:r>
      <w:r w:rsidR="008D2F9D">
        <w:rPr>
          <w:sz w:val="24"/>
          <w:szCs w:val="24"/>
        </w:rPr>
        <w:t xml:space="preserve">atical meaning.  See </w:t>
      </w:r>
      <w:proofErr w:type="spellStart"/>
      <w:r w:rsidR="008D2F9D">
        <w:rPr>
          <w:i/>
          <w:sz w:val="24"/>
          <w:szCs w:val="24"/>
        </w:rPr>
        <w:t>Chegutu</w:t>
      </w:r>
      <w:proofErr w:type="spellEnd"/>
      <w:r w:rsidR="008D2F9D">
        <w:rPr>
          <w:i/>
          <w:sz w:val="24"/>
          <w:szCs w:val="24"/>
        </w:rPr>
        <w:t xml:space="preserve"> Municipality </w:t>
      </w:r>
      <w:r w:rsidR="008D2F9D">
        <w:rPr>
          <w:sz w:val="24"/>
          <w:szCs w:val="24"/>
        </w:rPr>
        <w:t xml:space="preserve">v </w:t>
      </w:r>
      <w:proofErr w:type="spellStart"/>
      <w:r w:rsidR="008D2F9D">
        <w:rPr>
          <w:i/>
          <w:sz w:val="24"/>
          <w:szCs w:val="24"/>
        </w:rPr>
        <w:t>Manyora</w:t>
      </w:r>
      <w:proofErr w:type="spellEnd"/>
      <w:r w:rsidR="008D2F9D">
        <w:rPr>
          <w:i/>
          <w:sz w:val="24"/>
          <w:szCs w:val="24"/>
        </w:rPr>
        <w:t xml:space="preserve"> 1996 (1) ZLR 262</w:t>
      </w:r>
    </w:p>
    <w:p w:rsidR="00BC4E98" w:rsidRDefault="00BC4E98" w:rsidP="00BC4E98">
      <w:pPr>
        <w:spacing w:after="0" w:line="360" w:lineRule="auto"/>
        <w:rPr>
          <w:sz w:val="24"/>
          <w:szCs w:val="24"/>
        </w:rPr>
      </w:pPr>
      <w:r>
        <w:rPr>
          <w:sz w:val="24"/>
          <w:szCs w:val="24"/>
        </w:rPr>
        <w:tab/>
        <w:t xml:space="preserve">Representation of parties in the Labour Court and arbitral tribunals is governed by section 92 and Article 24 (4), respectively.  It seems to me the representation of parties in the arbitral tribunal is not as circumscribed as it is in the Labour Court.  For this reason, I am of the view </w:t>
      </w:r>
      <w:r w:rsidR="008D2F9D">
        <w:rPr>
          <w:sz w:val="24"/>
          <w:szCs w:val="24"/>
        </w:rPr>
        <w:t xml:space="preserve">that </w:t>
      </w:r>
      <w:r>
        <w:rPr>
          <w:sz w:val="24"/>
          <w:szCs w:val="24"/>
        </w:rPr>
        <w:t xml:space="preserve">there is no valid basis for impugning the </w:t>
      </w:r>
      <w:r w:rsidRPr="00BC4E98">
        <w:rPr>
          <w:i/>
          <w:sz w:val="24"/>
          <w:szCs w:val="24"/>
        </w:rPr>
        <w:t xml:space="preserve">locus </w:t>
      </w:r>
      <w:proofErr w:type="spellStart"/>
      <w:r w:rsidRPr="00BC4E98">
        <w:rPr>
          <w:i/>
          <w:sz w:val="24"/>
          <w:szCs w:val="24"/>
        </w:rPr>
        <w:t>standi</w:t>
      </w:r>
      <w:proofErr w:type="spellEnd"/>
      <w:r>
        <w:rPr>
          <w:i/>
          <w:sz w:val="24"/>
          <w:szCs w:val="24"/>
        </w:rPr>
        <w:t xml:space="preserve"> </w:t>
      </w:r>
      <w:r>
        <w:rPr>
          <w:sz w:val="24"/>
          <w:szCs w:val="24"/>
        </w:rPr>
        <w:t xml:space="preserve">of a labour consultant appearing on behalf of a party in an </w:t>
      </w:r>
      <w:r w:rsidR="008D2F9D">
        <w:rPr>
          <w:sz w:val="24"/>
          <w:szCs w:val="24"/>
        </w:rPr>
        <w:t>arbitral tribunal.  The arbitrator</w:t>
      </w:r>
      <w:r>
        <w:rPr>
          <w:sz w:val="24"/>
          <w:szCs w:val="24"/>
        </w:rPr>
        <w:t xml:space="preserve"> therefore misdirected herself in </w:t>
      </w:r>
      <w:r w:rsidR="008D2F9D">
        <w:rPr>
          <w:sz w:val="24"/>
          <w:szCs w:val="24"/>
        </w:rPr>
        <w:t>declining to deal</w:t>
      </w:r>
      <w:r w:rsidR="008E7F4C">
        <w:rPr>
          <w:sz w:val="24"/>
          <w:szCs w:val="24"/>
        </w:rPr>
        <w:t xml:space="preserve"> with the matter </w:t>
      </w:r>
      <w:r w:rsidR="008D2F9D">
        <w:rPr>
          <w:sz w:val="24"/>
          <w:szCs w:val="24"/>
        </w:rPr>
        <w:t>o</w:t>
      </w:r>
      <w:r w:rsidR="008E7F4C">
        <w:rPr>
          <w:sz w:val="24"/>
          <w:szCs w:val="24"/>
        </w:rPr>
        <w:t xml:space="preserve">n the merits, on the basis that the labour consultant representing the claimant had no </w:t>
      </w:r>
      <w:r w:rsidR="008E7F4C">
        <w:rPr>
          <w:i/>
          <w:sz w:val="24"/>
          <w:szCs w:val="24"/>
        </w:rPr>
        <w:t xml:space="preserve">locus </w:t>
      </w:r>
      <w:proofErr w:type="spellStart"/>
      <w:r w:rsidR="008E7F4C">
        <w:rPr>
          <w:i/>
          <w:sz w:val="24"/>
          <w:szCs w:val="24"/>
        </w:rPr>
        <w:t>standi</w:t>
      </w:r>
      <w:proofErr w:type="spellEnd"/>
      <w:r w:rsidR="008E7F4C">
        <w:rPr>
          <w:i/>
          <w:sz w:val="24"/>
          <w:szCs w:val="24"/>
        </w:rPr>
        <w:t xml:space="preserve"> </w:t>
      </w:r>
      <w:r w:rsidR="008E7F4C">
        <w:rPr>
          <w:sz w:val="24"/>
          <w:szCs w:val="24"/>
        </w:rPr>
        <w:t>to appear before her.</w:t>
      </w:r>
    </w:p>
    <w:p w:rsidR="008E7F4C" w:rsidRDefault="008E7F4C" w:rsidP="00BC4E98">
      <w:pPr>
        <w:spacing w:after="0" w:line="360" w:lineRule="auto"/>
        <w:rPr>
          <w:sz w:val="24"/>
          <w:szCs w:val="24"/>
        </w:rPr>
      </w:pPr>
      <w:r>
        <w:rPr>
          <w:sz w:val="24"/>
          <w:szCs w:val="24"/>
        </w:rPr>
        <w:tab/>
        <w:t>In the circumstances, the appeal mu</w:t>
      </w:r>
      <w:r w:rsidR="008D2F9D">
        <w:rPr>
          <w:sz w:val="24"/>
          <w:szCs w:val="24"/>
        </w:rPr>
        <w:t>st be allowed.  It is accordingly</w:t>
      </w:r>
      <w:r w:rsidR="00A174FB">
        <w:rPr>
          <w:sz w:val="24"/>
          <w:szCs w:val="24"/>
        </w:rPr>
        <w:t xml:space="preserve"> ordered</w:t>
      </w:r>
      <w:r>
        <w:rPr>
          <w:sz w:val="24"/>
          <w:szCs w:val="24"/>
        </w:rPr>
        <w:t xml:space="preserve"> that;</w:t>
      </w:r>
    </w:p>
    <w:p w:rsidR="008E7F4C" w:rsidRDefault="008E7F4C" w:rsidP="008E7F4C">
      <w:pPr>
        <w:pStyle w:val="ListParagraph"/>
        <w:numPr>
          <w:ilvl w:val="0"/>
          <w:numId w:val="2"/>
        </w:numPr>
        <w:spacing w:after="0" w:line="360" w:lineRule="auto"/>
        <w:rPr>
          <w:sz w:val="24"/>
          <w:szCs w:val="24"/>
        </w:rPr>
      </w:pPr>
      <w:r>
        <w:rPr>
          <w:sz w:val="24"/>
          <w:szCs w:val="24"/>
        </w:rPr>
        <w:t>The appeal be and is hereby allowed.</w:t>
      </w:r>
    </w:p>
    <w:p w:rsidR="008E7F4C" w:rsidRDefault="008E7F4C" w:rsidP="008E7F4C">
      <w:pPr>
        <w:pStyle w:val="ListParagraph"/>
        <w:numPr>
          <w:ilvl w:val="0"/>
          <w:numId w:val="2"/>
        </w:numPr>
        <w:spacing w:after="0" w:line="360" w:lineRule="auto"/>
        <w:rPr>
          <w:sz w:val="24"/>
          <w:szCs w:val="24"/>
        </w:rPr>
      </w:pPr>
      <w:r>
        <w:rPr>
          <w:sz w:val="24"/>
          <w:szCs w:val="24"/>
        </w:rPr>
        <w:t xml:space="preserve">The matter be and is hereby </w:t>
      </w:r>
      <w:r w:rsidR="008D2F9D">
        <w:rPr>
          <w:sz w:val="24"/>
          <w:szCs w:val="24"/>
        </w:rPr>
        <w:t xml:space="preserve">remitted to the arbitrator for </w:t>
      </w:r>
      <w:r>
        <w:rPr>
          <w:sz w:val="24"/>
          <w:szCs w:val="24"/>
        </w:rPr>
        <w:t>determination on the merits.</w:t>
      </w:r>
    </w:p>
    <w:p w:rsidR="008E7F4C" w:rsidRDefault="008E7F4C" w:rsidP="008E7F4C">
      <w:pPr>
        <w:pStyle w:val="ListParagraph"/>
        <w:numPr>
          <w:ilvl w:val="0"/>
          <w:numId w:val="2"/>
        </w:numPr>
        <w:spacing w:after="0" w:line="360" w:lineRule="auto"/>
        <w:rPr>
          <w:sz w:val="24"/>
          <w:szCs w:val="24"/>
        </w:rPr>
      </w:pPr>
      <w:r>
        <w:rPr>
          <w:sz w:val="24"/>
          <w:szCs w:val="24"/>
        </w:rPr>
        <w:t>Each party bears its own costs.</w:t>
      </w:r>
    </w:p>
    <w:p w:rsidR="006B7A2E" w:rsidRDefault="006B7A2E" w:rsidP="006B7A2E">
      <w:pPr>
        <w:spacing w:after="0" w:line="360" w:lineRule="auto"/>
        <w:rPr>
          <w:sz w:val="24"/>
          <w:szCs w:val="24"/>
        </w:rPr>
      </w:pPr>
    </w:p>
    <w:p w:rsidR="006B7A2E" w:rsidRDefault="006B7A2E" w:rsidP="006B7A2E">
      <w:pPr>
        <w:spacing w:after="0" w:line="360" w:lineRule="auto"/>
        <w:rPr>
          <w:sz w:val="24"/>
          <w:szCs w:val="24"/>
        </w:rPr>
      </w:pPr>
    </w:p>
    <w:p w:rsidR="006B7A2E" w:rsidRDefault="006B7A2E" w:rsidP="006B7A2E">
      <w:pPr>
        <w:spacing w:after="0" w:line="360" w:lineRule="auto"/>
        <w:rPr>
          <w:sz w:val="24"/>
          <w:szCs w:val="24"/>
        </w:rPr>
      </w:pPr>
    </w:p>
    <w:p w:rsidR="006B7A2E" w:rsidRDefault="006B7A2E" w:rsidP="006B7A2E">
      <w:pPr>
        <w:spacing w:after="0" w:line="360" w:lineRule="auto"/>
      </w:pPr>
      <w:r>
        <w:rPr>
          <w:i/>
        </w:rPr>
        <w:t xml:space="preserve">Gama &amp; Partners, </w:t>
      </w:r>
      <w:r>
        <w:t>appellant’s legal practitioners</w:t>
      </w:r>
    </w:p>
    <w:p w:rsidR="006B7A2E" w:rsidRPr="006B7A2E" w:rsidRDefault="006B7A2E" w:rsidP="006B7A2E">
      <w:pPr>
        <w:spacing w:after="0" w:line="360" w:lineRule="auto"/>
      </w:pPr>
      <w:proofErr w:type="spellStart"/>
      <w:r>
        <w:rPr>
          <w:i/>
        </w:rPr>
        <w:t>Gwaunza</w:t>
      </w:r>
      <w:proofErr w:type="spellEnd"/>
      <w:r>
        <w:rPr>
          <w:i/>
        </w:rPr>
        <w:t xml:space="preserve"> &amp; </w:t>
      </w:r>
      <w:proofErr w:type="spellStart"/>
      <w:r>
        <w:rPr>
          <w:i/>
        </w:rPr>
        <w:t>Mapota</w:t>
      </w:r>
      <w:proofErr w:type="spellEnd"/>
      <w:r>
        <w:rPr>
          <w:i/>
        </w:rPr>
        <w:t xml:space="preserve">, </w:t>
      </w:r>
      <w:r>
        <w:t>respondent’s legal practitioners</w:t>
      </w:r>
    </w:p>
    <w:p w:rsidR="00BC4E98" w:rsidRDefault="00BC4E98" w:rsidP="00BC4E98">
      <w:pPr>
        <w:spacing w:after="0" w:line="360" w:lineRule="auto"/>
        <w:rPr>
          <w:sz w:val="24"/>
          <w:szCs w:val="24"/>
        </w:rPr>
      </w:pPr>
    </w:p>
    <w:p w:rsidR="00BC4E98" w:rsidRDefault="00BC4E98" w:rsidP="00BC4E98">
      <w:pPr>
        <w:spacing w:after="0" w:line="360" w:lineRule="auto"/>
        <w:rPr>
          <w:sz w:val="24"/>
          <w:szCs w:val="24"/>
        </w:rPr>
      </w:pPr>
    </w:p>
    <w:p w:rsidR="00BC4E98" w:rsidRDefault="00BC4E98" w:rsidP="00BC4E98">
      <w:pPr>
        <w:spacing w:after="0" w:line="360" w:lineRule="auto"/>
        <w:rPr>
          <w:sz w:val="24"/>
          <w:szCs w:val="24"/>
        </w:rPr>
      </w:pPr>
    </w:p>
    <w:p w:rsidR="00BC4E98" w:rsidRDefault="00BC4E98" w:rsidP="00BC4E98">
      <w:pPr>
        <w:spacing w:after="0" w:line="360" w:lineRule="auto"/>
        <w:rPr>
          <w:sz w:val="24"/>
          <w:szCs w:val="24"/>
        </w:rPr>
      </w:pPr>
    </w:p>
    <w:p w:rsidR="00BC4E98" w:rsidRPr="00BC4E98" w:rsidRDefault="00BC4E98" w:rsidP="00BC4E98">
      <w:pPr>
        <w:spacing w:after="0" w:line="360" w:lineRule="auto"/>
        <w:rPr>
          <w:sz w:val="24"/>
          <w:szCs w:val="24"/>
        </w:rPr>
      </w:pPr>
      <w:r>
        <w:rPr>
          <w:sz w:val="24"/>
          <w:szCs w:val="24"/>
        </w:rPr>
        <w:tab/>
      </w:r>
    </w:p>
    <w:sectPr w:rsidR="00BC4E98" w:rsidRPr="00BC4E98" w:rsidSect="00B1730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790" w:rsidRDefault="00992790" w:rsidP="00B17300">
      <w:pPr>
        <w:spacing w:after="0" w:line="240" w:lineRule="auto"/>
      </w:pPr>
      <w:r>
        <w:separator/>
      </w:r>
    </w:p>
  </w:endnote>
  <w:endnote w:type="continuationSeparator" w:id="0">
    <w:p w:rsidR="00992790" w:rsidRDefault="00992790" w:rsidP="00B1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151083"/>
      <w:docPartObj>
        <w:docPartGallery w:val="Page Numbers (Bottom of Page)"/>
        <w:docPartUnique/>
      </w:docPartObj>
    </w:sdtPr>
    <w:sdtEndPr>
      <w:rPr>
        <w:noProof/>
      </w:rPr>
    </w:sdtEndPr>
    <w:sdtContent>
      <w:p w:rsidR="00BC4E98" w:rsidRDefault="00BC4E98">
        <w:pPr>
          <w:pStyle w:val="Footer"/>
          <w:jc w:val="right"/>
        </w:pPr>
        <w:r>
          <w:fldChar w:fldCharType="begin"/>
        </w:r>
        <w:r>
          <w:instrText xml:space="preserve"> PAGE   \* MERGEFORMAT </w:instrText>
        </w:r>
        <w:r>
          <w:fldChar w:fldCharType="separate"/>
        </w:r>
        <w:r w:rsidR="006D46D0">
          <w:rPr>
            <w:noProof/>
          </w:rPr>
          <w:t>2</w:t>
        </w:r>
        <w:r>
          <w:rPr>
            <w:noProof/>
          </w:rPr>
          <w:fldChar w:fldCharType="end"/>
        </w:r>
      </w:p>
    </w:sdtContent>
  </w:sdt>
  <w:p w:rsidR="00BC4E98" w:rsidRDefault="00BC4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790" w:rsidRDefault="00992790" w:rsidP="00B17300">
      <w:pPr>
        <w:spacing w:after="0" w:line="240" w:lineRule="auto"/>
      </w:pPr>
      <w:r>
        <w:separator/>
      </w:r>
    </w:p>
  </w:footnote>
  <w:footnote w:type="continuationSeparator" w:id="0">
    <w:p w:rsidR="00992790" w:rsidRDefault="00992790" w:rsidP="00B17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98" w:rsidRDefault="00BC4E98" w:rsidP="00B17300">
    <w:pPr>
      <w:spacing w:line="360" w:lineRule="auto"/>
      <w:ind w:left="5040" w:firstLine="720"/>
      <w:jc w:val="both"/>
      <w:rPr>
        <w:b/>
        <w:sz w:val="24"/>
        <w:szCs w:val="24"/>
      </w:rPr>
    </w:pPr>
    <w:r>
      <w:rPr>
        <w:b/>
        <w:sz w:val="24"/>
        <w:szCs w:val="24"/>
      </w:rPr>
      <w:t>JUDGMENT NO LC/H/</w:t>
    </w:r>
    <w:r w:rsidR="006D46D0">
      <w:rPr>
        <w:b/>
        <w:sz w:val="24"/>
        <w:szCs w:val="24"/>
      </w:rPr>
      <w:t>634</w:t>
    </w:r>
    <w:r>
      <w:rPr>
        <w:b/>
        <w:sz w:val="24"/>
        <w:szCs w:val="24"/>
      </w:rPr>
      <w:t>/16</w:t>
    </w:r>
  </w:p>
  <w:p w:rsidR="00BC4E98" w:rsidRDefault="00BC4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CC5"/>
    <w:multiLevelType w:val="hybridMultilevel"/>
    <w:tmpl w:val="4D9A98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D85C8A"/>
    <w:multiLevelType w:val="hybridMultilevel"/>
    <w:tmpl w:val="F516F3DE"/>
    <w:lvl w:ilvl="0" w:tplc="B20C11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C0"/>
    <w:rsid w:val="0020750F"/>
    <w:rsid w:val="00355ED5"/>
    <w:rsid w:val="003A05C4"/>
    <w:rsid w:val="003A70C1"/>
    <w:rsid w:val="00416573"/>
    <w:rsid w:val="005265F8"/>
    <w:rsid w:val="005E7532"/>
    <w:rsid w:val="006405C1"/>
    <w:rsid w:val="00652162"/>
    <w:rsid w:val="006B7A2E"/>
    <w:rsid w:val="006D46D0"/>
    <w:rsid w:val="007134C0"/>
    <w:rsid w:val="008D2F9D"/>
    <w:rsid w:val="008E7F4C"/>
    <w:rsid w:val="00992790"/>
    <w:rsid w:val="009C3A31"/>
    <w:rsid w:val="00A174FB"/>
    <w:rsid w:val="00B17300"/>
    <w:rsid w:val="00BC4E98"/>
    <w:rsid w:val="00D34C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300"/>
  </w:style>
  <w:style w:type="paragraph" w:styleId="Footer">
    <w:name w:val="footer"/>
    <w:basedOn w:val="Normal"/>
    <w:link w:val="FooterChar"/>
    <w:uiPriority w:val="99"/>
    <w:unhideWhenUsed/>
    <w:rsid w:val="00B17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300"/>
  </w:style>
  <w:style w:type="paragraph" w:styleId="ListParagraph">
    <w:name w:val="List Paragraph"/>
    <w:basedOn w:val="Normal"/>
    <w:uiPriority w:val="34"/>
    <w:qFormat/>
    <w:rsid w:val="00B173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300"/>
  </w:style>
  <w:style w:type="paragraph" w:styleId="Footer">
    <w:name w:val="footer"/>
    <w:basedOn w:val="Normal"/>
    <w:link w:val="FooterChar"/>
    <w:uiPriority w:val="99"/>
    <w:unhideWhenUsed/>
    <w:rsid w:val="00B17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300"/>
  </w:style>
  <w:style w:type="paragraph" w:styleId="ListParagraph">
    <w:name w:val="List Paragraph"/>
    <w:basedOn w:val="Normal"/>
    <w:uiPriority w:val="34"/>
    <w:qFormat/>
    <w:rsid w:val="00B17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2016-09-02T07:11:00Z</dcterms:created>
  <dcterms:modified xsi:type="dcterms:W3CDTF">2016-10-11T06:03:00Z</dcterms:modified>
</cp:coreProperties>
</file>