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85" w:rsidRDefault="00C70385" w:rsidP="00C70385">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HAROLD CHINOGUREI</w:t>
      </w:r>
    </w:p>
    <w:p w:rsidR="006E4553" w:rsidRDefault="006E4553" w:rsidP="006E4553">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A31F7" w:rsidRDefault="002A31F7" w:rsidP="002A31F7">
      <w:pPr>
        <w:pStyle w:val="NoSpacing"/>
        <w:rPr>
          <w:rFonts w:ascii="Times New Roman" w:hAnsi="Times New Roman" w:cs="Times New Roman"/>
          <w:sz w:val="24"/>
          <w:szCs w:val="24"/>
        </w:rPr>
      </w:pPr>
      <w:r>
        <w:rPr>
          <w:rFonts w:ascii="Times New Roman" w:hAnsi="Times New Roman" w:cs="Times New Roman"/>
          <w:sz w:val="24"/>
          <w:szCs w:val="24"/>
        </w:rPr>
        <w:t>SHAMISO CHISEKO</w:t>
      </w:r>
    </w:p>
    <w:p w:rsidR="002331C1" w:rsidRDefault="002331C1" w:rsidP="006E4553">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331C1" w:rsidRDefault="002331C1" w:rsidP="006E4553">
      <w:pPr>
        <w:pStyle w:val="NoSpacing"/>
        <w:rPr>
          <w:rFonts w:ascii="Times New Roman" w:hAnsi="Times New Roman" w:cs="Times New Roman"/>
          <w:sz w:val="24"/>
          <w:szCs w:val="24"/>
        </w:rPr>
      </w:pPr>
      <w:r>
        <w:rPr>
          <w:rFonts w:ascii="Times New Roman" w:hAnsi="Times New Roman" w:cs="Times New Roman"/>
          <w:sz w:val="24"/>
          <w:szCs w:val="24"/>
        </w:rPr>
        <w:t>THE DEPUTY SHERIFF</w:t>
      </w:r>
    </w:p>
    <w:p w:rsidR="006E4553" w:rsidRDefault="006E4553" w:rsidP="006E4553">
      <w:pPr>
        <w:pStyle w:val="NoSpacing"/>
        <w:rPr>
          <w:rFonts w:ascii="Times New Roman" w:hAnsi="Times New Roman" w:cs="Times New Roman"/>
          <w:sz w:val="24"/>
          <w:szCs w:val="24"/>
        </w:rPr>
      </w:pPr>
    </w:p>
    <w:p w:rsidR="006E4553" w:rsidRDefault="006E4553" w:rsidP="006E4553">
      <w:pPr>
        <w:pStyle w:val="NoSpacing"/>
        <w:rPr>
          <w:rFonts w:ascii="Times New Roman" w:hAnsi="Times New Roman" w:cs="Times New Roman"/>
          <w:sz w:val="24"/>
          <w:szCs w:val="24"/>
        </w:rPr>
      </w:pPr>
    </w:p>
    <w:p w:rsidR="006E4553" w:rsidRDefault="006E4553" w:rsidP="006E4553">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6E4553" w:rsidRDefault="006E4553" w:rsidP="006E4553">
      <w:pPr>
        <w:pStyle w:val="NoSpacing"/>
        <w:rPr>
          <w:rFonts w:ascii="Times New Roman" w:hAnsi="Times New Roman" w:cs="Times New Roman"/>
          <w:sz w:val="24"/>
          <w:szCs w:val="24"/>
        </w:rPr>
      </w:pPr>
      <w:r>
        <w:rPr>
          <w:rFonts w:ascii="Times New Roman" w:hAnsi="Times New Roman" w:cs="Times New Roman"/>
          <w:sz w:val="24"/>
          <w:szCs w:val="24"/>
        </w:rPr>
        <w:t>CHIWESHE JP</w:t>
      </w:r>
    </w:p>
    <w:p w:rsidR="006E4553" w:rsidRDefault="006E4553" w:rsidP="006E4553">
      <w:pPr>
        <w:pStyle w:val="NoSpacing"/>
        <w:rPr>
          <w:rFonts w:ascii="Times New Roman" w:hAnsi="Times New Roman" w:cs="Times New Roman"/>
          <w:sz w:val="24"/>
          <w:szCs w:val="24"/>
        </w:rPr>
      </w:pPr>
      <w:r>
        <w:rPr>
          <w:rFonts w:ascii="Times New Roman" w:hAnsi="Times New Roman" w:cs="Times New Roman"/>
          <w:sz w:val="24"/>
          <w:szCs w:val="24"/>
        </w:rPr>
        <w:t>HARARE, 24 March 2011</w:t>
      </w:r>
    </w:p>
    <w:p w:rsidR="006E4553" w:rsidRDefault="006E4553" w:rsidP="006E4553">
      <w:pPr>
        <w:pStyle w:val="NoSpacing"/>
        <w:rPr>
          <w:rFonts w:ascii="Times New Roman" w:hAnsi="Times New Roman" w:cs="Times New Roman"/>
          <w:sz w:val="24"/>
          <w:szCs w:val="24"/>
        </w:rPr>
      </w:pPr>
    </w:p>
    <w:p w:rsidR="006E4553" w:rsidRDefault="006E4553" w:rsidP="006E4553">
      <w:pPr>
        <w:pStyle w:val="NoSpacing"/>
        <w:rPr>
          <w:rFonts w:ascii="Times New Roman" w:hAnsi="Times New Roman" w:cs="Times New Roman"/>
          <w:sz w:val="24"/>
          <w:szCs w:val="24"/>
        </w:rPr>
      </w:pPr>
    </w:p>
    <w:p w:rsidR="006E4553" w:rsidRDefault="006E4553" w:rsidP="006E4553">
      <w:pPr>
        <w:pStyle w:val="NoSpacing"/>
        <w:rPr>
          <w:rFonts w:ascii="Times New Roman" w:hAnsi="Times New Roman" w:cs="Times New Roman"/>
          <w:sz w:val="24"/>
          <w:szCs w:val="24"/>
        </w:rPr>
      </w:pPr>
      <w:r>
        <w:rPr>
          <w:rFonts w:ascii="Times New Roman" w:hAnsi="Times New Roman" w:cs="Times New Roman"/>
          <w:sz w:val="24"/>
          <w:szCs w:val="24"/>
        </w:rPr>
        <w:t>Applicant in person</w:t>
      </w:r>
    </w:p>
    <w:p w:rsidR="006E4553" w:rsidRDefault="006E4553" w:rsidP="006E4553">
      <w:pPr>
        <w:pStyle w:val="NoSpacing"/>
        <w:rPr>
          <w:rFonts w:ascii="Times New Roman" w:hAnsi="Times New Roman" w:cs="Times New Roman"/>
          <w:sz w:val="24"/>
          <w:szCs w:val="24"/>
        </w:rPr>
      </w:pPr>
      <w:r>
        <w:rPr>
          <w:rFonts w:ascii="Times New Roman" w:hAnsi="Times New Roman" w:cs="Times New Roman"/>
          <w:sz w:val="24"/>
          <w:szCs w:val="24"/>
        </w:rPr>
        <w:t xml:space="preserve">Miss </w:t>
      </w:r>
      <w:proofErr w:type="spellStart"/>
      <w:r w:rsidRPr="006E4553">
        <w:rPr>
          <w:rFonts w:ascii="Times New Roman" w:hAnsi="Times New Roman" w:cs="Times New Roman"/>
          <w:i/>
          <w:sz w:val="24"/>
          <w:szCs w:val="24"/>
        </w:rPr>
        <w:t>Machaka</w:t>
      </w:r>
      <w:proofErr w:type="spellEnd"/>
      <w:r>
        <w:rPr>
          <w:rFonts w:ascii="Times New Roman" w:hAnsi="Times New Roman" w:cs="Times New Roman"/>
          <w:sz w:val="24"/>
          <w:szCs w:val="24"/>
        </w:rPr>
        <w:t xml:space="preserve"> for the respondent</w:t>
      </w:r>
    </w:p>
    <w:p w:rsidR="006E4553" w:rsidRDefault="006E4553" w:rsidP="006E4553">
      <w:pPr>
        <w:pStyle w:val="NoSpacing"/>
        <w:rPr>
          <w:rFonts w:ascii="Times New Roman" w:hAnsi="Times New Roman" w:cs="Times New Roman"/>
          <w:sz w:val="24"/>
          <w:szCs w:val="24"/>
        </w:rPr>
      </w:pPr>
    </w:p>
    <w:p w:rsidR="006E4553" w:rsidRDefault="006E4553" w:rsidP="006E4553">
      <w:pPr>
        <w:pStyle w:val="NoSpacing"/>
        <w:rPr>
          <w:rFonts w:ascii="Times New Roman" w:hAnsi="Times New Roman" w:cs="Times New Roman"/>
          <w:sz w:val="24"/>
          <w:szCs w:val="24"/>
        </w:rPr>
      </w:pPr>
    </w:p>
    <w:p w:rsidR="006E4553" w:rsidRDefault="006E4553" w:rsidP="00A61F3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w:t>
      </w:r>
      <w:r w:rsidR="00A61F3E">
        <w:rPr>
          <w:rFonts w:ascii="Times New Roman" w:hAnsi="Times New Roman" w:cs="Times New Roman"/>
          <w:sz w:val="24"/>
          <w:szCs w:val="24"/>
        </w:rPr>
        <w:t>The applicant seeks an order evicting first respondent from the premise</w:t>
      </w:r>
      <w:r w:rsidR="00C25843">
        <w:rPr>
          <w:rFonts w:ascii="Times New Roman" w:hAnsi="Times New Roman" w:cs="Times New Roman"/>
          <w:sz w:val="24"/>
          <w:szCs w:val="24"/>
        </w:rPr>
        <w:t xml:space="preserve">s known as House No. 50 </w:t>
      </w:r>
      <w:proofErr w:type="spellStart"/>
      <w:r w:rsidR="00C25843">
        <w:rPr>
          <w:rFonts w:ascii="Times New Roman" w:hAnsi="Times New Roman" w:cs="Times New Roman"/>
          <w:sz w:val="24"/>
          <w:szCs w:val="24"/>
        </w:rPr>
        <w:t>Nzungu</w:t>
      </w:r>
      <w:proofErr w:type="spellEnd"/>
      <w:r w:rsidR="00C25843">
        <w:rPr>
          <w:rFonts w:ascii="Times New Roman" w:hAnsi="Times New Roman" w:cs="Times New Roman"/>
          <w:sz w:val="24"/>
          <w:szCs w:val="24"/>
        </w:rPr>
        <w:t xml:space="preserve"> S</w:t>
      </w:r>
      <w:r w:rsidR="00A61F3E">
        <w:rPr>
          <w:rFonts w:ascii="Times New Roman" w:hAnsi="Times New Roman" w:cs="Times New Roman"/>
          <w:sz w:val="24"/>
          <w:szCs w:val="24"/>
        </w:rPr>
        <w:t xml:space="preserve">treet, </w:t>
      </w:r>
      <w:proofErr w:type="spellStart"/>
      <w:r w:rsidR="00A61F3E">
        <w:rPr>
          <w:rFonts w:ascii="Times New Roman" w:hAnsi="Times New Roman" w:cs="Times New Roman"/>
          <w:sz w:val="24"/>
          <w:szCs w:val="24"/>
        </w:rPr>
        <w:t>Zengeza</w:t>
      </w:r>
      <w:proofErr w:type="spellEnd"/>
      <w:r w:rsidR="00A61F3E">
        <w:rPr>
          <w:rFonts w:ascii="Times New Roman" w:hAnsi="Times New Roman" w:cs="Times New Roman"/>
          <w:sz w:val="24"/>
          <w:szCs w:val="24"/>
        </w:rPr>
        <w:t xml:space="preserve"> 1, </w:t>
      </w:r>
      <w:proofErr w:type="spellStart"/>
      <w:r w:rsidR="00A61F3E">
        <w:rPr>
          <w:rFonts w:ascii="Times New Roman" w:hAnsi="Times New Roman" w:cs="Times New Roman"/>
          <w:sz w:val="24"/>
          <w:szCs w:val="24"/>
        </w:rPr>
        <w:t>Chitungwiza</w:t>
      </w:r>
      <w:proofErr w:type="spellEnd"/>
      <w:r w:rsidR="00A61F3E">
        <w:rPr>
          <w:rFonts w:ascii="Times New Roman" w:hAnsi="Times New Roman" w:cs="Times New Roman"/>
          <w:sz w:val="24"/>
          <w:szCs w:val="24"/>
        </w:rPr>
        <w:t xml:space="preserve"> (the property).</w:t>
      </w:r>
    </w:p>
    <w:p w:rsidR="00A44043" w:rsidRDefault="00A61F3E" w:rsidP="00A61F3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 ground facts to this application are common cause.  The above </w:t>
      </w:r>
      <w:r w:rsidR="00C25843">
        <w:rPr>
          <w:rFonts w:ascii="Times New Roman" w:hAnsi="Times New Roman" w:cs="Times New Roman"/>
          <w:sz w:val="24"/>
          <w:szCs w:val="24"/>
        </w:rPr>
        <w:t xml:space="preserve">property is part of the estate </w:t>
      </w:r>
      <w:r>
        <w:rPr>
          <w:rFonts w:ascii="Times New Roman" w:hAnsi="Times New Roman" w:cs="Times New Roman"/>
          <w:sz w:val="24"/>
          <w:szCs w:val="24"/>
        </w:rPr>
        <w:t xml:space="preserve">of the late Alfred </w:t>
      </w:r>
      <w:proofErr w:type="spellStart"/>
      <w:r>
        <w:rPr>
          <w:rFonts w:ascii="Times New Roman" w:hAnsi="Times New Roman" w:cs="Times New Roman"/>
          <w:sz w:val="24"/>
          <w:szCs w:val="24"/>
        </w:rPr>
        <w:t>Kudiwa</w:t>
      </w:r>
      <w:proofErr w:type="spellEnd"/>
      <w:r>
        <w:rPr>
          <w:rFonts w:ascii="Times New Roman" w:hAnsi="Times New Roman" w:cs="Times New Roman"/>
          <w:sz w:val="24"/>
          <w:szCs w:val="24"/>
        </w:rPr>
        <w:t xml:space="preserve"> who died in 2003.  </w:t>
      </w:r>
      <w:r w:rsidR="00966793">
        <w:rPr>
          <w:rFonts w:ascii="Times New Roman" w:hAnsi="Times New Roman" w:cs="Times New Roman"/>
          <w:sz w:val="24"/>
          <w:szCs w:val="24"/>
        </w:rPr>
        <w:t xml:space="preserve">On 4 March 2009, his </w:t>
      </w:r>
      <w:proofErr w:type="gramStart"/>
      <w:r w:rsidR="00966793">
        <w:rPr>
          <w:rFonts w:ascii="Times New Roman" w:hAnsi="Times New Roman" w:cs="Times New Roman"/>
          <w:sz w:val="24"/>
          <w:szCs w:val="24"/>
        </w:rPr>
        <w:t>son  Marshal</w:t>
      </w:r>
      <w:proofErr w:type="gramEnd"/>
      <w:r w:rsidR="00966793">
        <w:rPr>
          <w:rFonts w:ascii="Times New Roman" w:hAnsi="Times New Roman" w:cs="Times New Roman"/>
          <w:sz w:val="24"/>
          <w:szCs w:val="24"/>
        </w:rPr>
        <w:t xml:space="preserve"> </w:t>
      </w:r>
      <w:proofErr w:type="spellStart"/>
      <w:r w:rsidR="00966793">
        <w:rPr>
          <w:rFonts w:ascii="Times New Roman" w:hAnsi="Times New Roman" w:cs="Times New Roman"/>
          <w:sz w:val="24"/>
          <w:szCs w:val="24"/>
        </w:rPr>
        <w:t>Kudiwa</w:t>
      </w:r>
      <w:proofErr w:type="spellEnd"/>
      <w:r w:rsidR="00966793">
        <w:rPr>
          <w:rFonts w:ascii="Times New Roman" w:hAnsi="Times New Roman" w:cs="Times New Roman"/>
          <w:sz w:val="24"/>
          <w:szCs w:val="24"/>
        </w:rPr>
        <w:t>, was appointed Executor</w:t>
      </w:r>
      <w:r w:rsidR="00C25843">
        <w:rPr>
          <w:rFonts w:ascii="Times New Roman" w:hAnsi="Times New Roman" w:cs="Times New Roman"/>
          <w:sz w:val="24"/>
          <w:szCs w:val="24"/>
        </w:rPr>
        <w:t xml:space="preserve"> </w:t>
      </w:r>
      <w:r>
        <w:rPr>
          <w:rFonts w:ascii="Times New Roman" w:hAnsi="Times New Roman" w:cs="Times New Roman"/>
          <w:sz w:val="24"/>
          <w:szCs w:val="24"/>
        </w:rPr>
        <w:t>Dative to that estate.  In that capacity he sought and was granted by the Master of this honourable court authority</w:t>
      </w:r>
      <w:r w:rsidR="00C25843">
        <w:rPr>
          <w:rFonts w:ascii="Times New Roman" w:hAnsi="Times New Roman" w:cs="Times New Roman"/>
          <w:sz w:val="24"/>
          <w:szCs w:val="24"/>
        </w:rPr>
        <w:t xml:space="preserve"> </w:t>
      </w:r>
      <w:r>
        <w:rPr>
          <w:rFonts w:ascii="Times New Roman" w:hAnsi="Times New Roman" w:cs="Times New Roman"/>
          <w:sz w:val="24"/>
          <w:szCs w:val="24"/>
        </w:rPr>
        <w:t xml:space="preserve">to sell otherwise than by public auction this immovable property. </w:t>
      </w:r>
      <w:r w:rsidR="00966793">
        <w:rPr>
          <w:rFonts w:ascii="Times New Roman" w:hAnsi="Times New Roman" w:cs="Times New Roman"/>
          <w:sz w:val="24"/>
          <w:szCs w:val="24"/>
        </w:rPr>
        <w:t xml:space="preserve"> A certificate to that effect dated 9 March 2009</w:t>
      </w:r>
      <w:r w:rsidR="008749D1">
        <w:rPr>
          <w:rFonts w:ascii="Times New Roman" w:hAnsi="Times New Roman" w:cs="Times New Roman"/>
          <w:sz w:val="24"/>
          <w:szCs w:val="24"/>
        </w:rPr>
        <w:t xml:space="preserve"> is filed of record. </w:t>
      </w:r>
      <w:r>
        <w:rPr>
          <w:rFonts w:ascii="Times New Roman" w:hAnsi="Times New Roman" w:cs="Times New Roman"/>
          <w:sz w:val="24"/>
          <w:szCs w:val="24"/>
        </w:rPr>
        <w:t xml:space="preserve"> Armed with that authority </w:t>
      </w:r>
      <w:r w:rsidR="008749D1">
        <w:rPr>
          <w:rFonts w:ascii="Times New Roman" w:hAnsi="Times New Roman" w:cs="Times New Roman"/>
          <w:sz w:val="24"/>
          <w:szCs w:val="24"/>
        </w:rPr>
        <w:t>he</w:t>
      </w:r>
      <w:r>
        <w:rPr>
          <w:rFonts w:ascii="Times New Roman" w:hAnsi="Times New Roman" w:cs="Times New Roman"/>
          <w:sz w:val="24"/>
          <w:szCs w:val="24"/>
        </w:rPr>
        <w:t xml:space="preserve"> entered into an agreement of sale with the applicant in terms of which he sold the property for the sum of </w:t>
      </w:r>
      <w:r w:rsidR="00A44043">
        <w:rPr>
          <w:rFonts w:ascii="Times New Roman" w:hAnsi="Times New Roman" w:cs="Times New Roman"/>
          <w:sz w:val="24"/>
          <w:szCs w:val="24"/>
        </w:rPr>
        <w:t>US</w:t>
      </w:r>
      <w:r>
        <w:rPr>
          <w:rFonts w:ascii="Times New Roman" w:hAnsi="Times New Roman" w:cs="Times New Roman"/>
          <w:sz w:val="24"/>
          <w:szCs w:val="24"/>
        </w:rPr>
        <w:t>$7000.00</w:t>
      </w:r>
      <w:r w:rsidR="00A44043">
        <w:rPr>
          <w:rFonts w:ascii="Times New Roman" w:hAnsi="Times New Roman" w:cs="Times New Roman"/>
          <w:sz w:val="24"/>
          <w:szCs w:val="24"/>
        </w:rPr>
        <w:t>.  The agreement of sale was signed by the parties on 9 April 2009.</w:t>
      </w:r>
    </w:p>
    <w:p w:rsidR="000800E2" w:rsidRDefault="00A44043" w:rsidP="00A61F3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31 July 2009 the applicant wrote to the tenant residing at the property advising him that he was now the new owner of the property and directing that in future all rentals be forwarded to him.  This directive went unheeded.  The applicant then took steps to evict the tenant.  It was at that stage that first respondent appeared alleging </w:t>
      </w:r>
      <w:r w:rsidR="000800E2">
        <w:rPr>
          <w:rFonts w:ascii="Times New Roman" w:hAnsi="Times New Roman" w:cs="Times New Roman"/>
          <w:sz w:val="24"/>
          <w:szCs w:val="24"/>
        </w:rPr>
        <w:t>that she was also the owner of the same propert</w:t>
      </w:r>
      <w:r w:rsidR="00D302EC">
        <w:rPr>
          <w:rFonts w:ascii="Times New Roman" w:hAnsi="Times New Roman" w:cs="Times New Roman"/>
          <w:sz w:val="24"/>
          <w:szCs w:val="24"/>
        </w:rPr>
        <w:t>y having bought it from Marshal</w:t>
      </w:r>
      <w:r w:rsidR="000800E2">
        <w:rPr>
          <w:rFonts w:ascii="Times New Roman" w:hAnsi="Times New Roman" w:cs="Times New Roman"/>
          <w:sz w:val="24"/>
          <w:szCs w:val="24"/>
        </w:rPr>
        <w:t xml:space="preserve"> </w:t>
      </w:r>
      <w:proofErr w:type="spellStart"/>
      <w:r w:rsidR="000800E2">
        <w:rPr>
          <w:rFonts w:ascii="Times New Roman" w:hAnsi="Times New Roman" w:cs="Times New Roman"/>
          <w:sz w:val="24"/>
          <w:szCs w:val="24"/>
        </w:rPr>
        <w:t>Kudiwa</w:t>
      </w:r>
      <w:proofErr w:type="spellEnd"/>
      <w:r w:rsidR="000800E2">
        <w:rPr>
          <w:rFonts w:ascii="Times New Roman" w:hAnsi="Times New Roman" w:cs="Times New Roman"/>
          <w:sz w:val="24"/>
          <w:szCs w:val="24"/>
        </w:rPr>
        <w:t xml:space="preserve"> in terms of </w:t>
      </w:r>
      <w:r w:rsidR="00D302EC">
        <w:rPr>
          <w:rFonts w:ascii="Times New Roman" w:hAnsi="Times New Roman" w:cs="Times New Roman"/>
          <w:sz w:val="24"/>
          <w:szCs w:val="24"/>
        </w:rPr>
        <w:t xml:space="preserve">an </w:t>
      </w:r>
      <w:r w:rsidR="000800E2">
        <w:rPr>
          <w:rFonts w:ascii="Times New Roman" w:hAnsi="Times New Roman" w:cs="Times New Roman"/>
          <w:sz w:val="24"/>
          <w:szCs w:val="24"/>
        </w:rPr>
        <w:t xml:space="preserve">agreement of sale dated 7 August 2008.  The </w:t>
      </w:r>
      <w:r w:rsidR="002A28F7">
        <w:rPr>
          <w:rFonts w:ascii="Times New Roman" w:hAnsi="Times New Roman" w:cs="Times New Roman"/>
          <w:sz w:val="24"/>
          <w:szCs w:val="24"/>
        </w:rPr>
        <w:t>purchase price was US$9</w:t>
      </w:r>
      <w:r w:rsidR="000800E2">
        <w:rPr>
          <w:rFonts w:ascii="Times New Roman" w:hAnsi="Times New Roman" w:cs="Times New Roman"/>
          <w:sz w:val="24"/>
          <w:szCs w:val="24"/>
        </w:rPr>
        <w:t xml:space="preserve">000.00.  It is common cause that when Marshal </w:t>
      </w:r>
      <w:proofErr w:type="spellStart"/>
      <w:r w:rsidR="000800E2">
        <w:rPr>
          <w:rFonts w:ascii="Times New Roman" w:hAnsi="Times New Roman" w:cs="Times New Roman"/>
          <w:sz w:val="24"/>
          <w:szCs w:val="24"/>
        </w:rPr>
        <w:t>Kudiwa</w:t>
      </w:r>
      <w:proofErr w:type="spellEnd"/>
      <w:r w:rsidR="000800E2">
        <w:rPr>
          <w:rFonts w:ascii="Times New Roman" w:hAnsi="Times New Roman" w:cs="Times New Roman"/>
          <w:sz w:val="24"/>
          <w:szCs w:val="24"/>
        </w:rPr>
        <w:t xml:space="preserve"> entered into this earlier agreement of sale he had not received authority to do so from the Master of the High Court</w:t>
      </w:r>
      <w:r w:rsidR="00D302EC">
        <w:rPr>
          <w:rFonts w:ascii="Times New Roman" w:hAnsi="Times New Roman" w:cs="Times New Roman"/>
          <w:sz w:val="24"/>
          <w:szCs w:val="24"/>
        </w:rPr>
        <w:t xml:space="preserve"> nor had he even been granted the letter</w:t>
      </w:r>
      <w:r w:rsidR="006D63F1">
        <w:rPr>
          <w:rFonts w:ascii="Times New Roman" w:hAnsi="Times New Roman" w:cs="Times New Roman"/>
          <w:sz w:val="24"/>
          <w:szCs w:val="24"/>
        </w:rPr>
        <w:t>s</w:t>
      </w:r>
      <w:r w:rsidR="00D302EC">
        <w:rPr>
          <w:rFonts w:ascii="Times New Roman" w:hAnsi="Times New Roman" w:cs="Times New Roman"/>
          <w:sz w:val="24"/>
          <w:szCs w:val="24"/>
        </w:rPr>
        <w:t xml:space="preserve"> of administration</w:t>
      </w:r>
      <w:r w:rsidR="000800E2">
        <w:rPr>
          <w:rFonts w:ascii="Times New Roman" w:hAnsi="Times New Roman" w:cs="Times New Roman"/>
          <w:sz w:val="24"/>
          <w:szCs w:val="24"/>
        </w:rPr>
        <w:t>.</w:t>
      </w:r>
    </w:p>
    <w:p w:rsidR="00A61F3E" w:rsidRDefault="000800E2" w:rsidP="0086602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that reason the applicant contends that the sale to the first respondent be d</w:t>
      </w:r>
      <w:r w:rsidR="00A50AB7">
        <w:rPr>
          <w:rFonts w:ascii="Times New Roman" w:hAnsi="Times New Roman" w:cs="Times New Roman"/>
          <w:sz w:val="24"/>
          <w:szCs w:val="24"/>
        </w:rPr>
        <w:t>eclared null and void as Marsha</w:t>
      </w:r>
      <w:r>
        <w:rPr>
          <w:rFonts w:ascii="Times New Roman" w:hAnsi="Times New Roman" w:cs="Times New Roman"/>
          <w:sz w:val="24"/>
          <w:szCs w:val="24"/>
        </w:rPr>
        <w:t xml:space="preserve">l </w:t>
      </w:r>
      <w:proofErr w:type="spellStart"/>
      <w:r>
        <w:rPr>
          <w:rFonts w:ascii="Times New Roman" w:hAnsi="Times New Roman" w:cs="Times New Roman"/>
          <w:sz w:val="24"/>
          <w:szCs w:val="24"/>
        </w:rPr>
        <w:t>Kudiwa</w:t>
      </w:r>
      <w:proofErr w:type="spellEnd"/>
      <w:r>
        <w:rPr>
          <w:rFonts w:ascii="Times New Roman" w:hAnsi="Times New Roman" w:cs="Times New Roman"/>
          <w:sz w:val="24"/>
          <w:szCs w:val="24"/>
        </w:rPr>
        <w:t xml:space="preserve"> had no powers, authority or capacity to sell an estate property </w:t>
      </w:r>
      <w:r w:rsidR="0086602E">
        <w:rPr>
          <w:rFonts w:ascii="Times New Roman" w:hAnsi="Times New Roman" w:cs="Times New Roman"/>
          <w:sz w:val="24"/>
          <w:szCs w:val="24"/>
        </w:rPr>
        <w:t>without authority from the Master of the High Court.</w:t>
      </w:r>
      <w:r>
        <w:rPr>
          <w:rFonts w:ascii="Times New Roman" w:hAnsi="Times New Roman" w:cs="Times New Roman"/>
          <w:sz w:val="24"/>
          <w:szCs w:val="24"/>
        </w:rPr>
        <w:t xml:space="preserve">  </w:t>
      </w:r>
      <w:r w:rsidR="00A44043">
        <w:rPr>
          <w:rFonts w:ascii="Times New Roman" w:hAnsi="Times New Roman" w:cs="Times New Roman"/>
          <w:sz w:val="24"/>
          <w:szCs w:val="24"/>
        </w:rPr>
        <w:t xml:space="preserve"> </w:t>
      </w:r>
    </w:p>
    <w:p w:rsidR="0086602E" w:rsidRDefault="0086602E" w:rsidP="0086602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agree with the applicant.  The duty of a surviving spouse, the next of kin, or a </w:t>
      </w:r>
      <w:r w:rsidRPr="002A28F7">
        <w:rPr>
          <w:rFonts w:ascii="Times New Roman" w:hAnsi="Times New Roman" w:cs="Times New Roman"/>
          <w:i/>
          <w:sz w:val="24"/>
          <w:szCs w:val="24"/>
        </w:rPr>
        <w:t xml:space="preserve">curator </w:t>
      </w:r>
      <w:proofErr w:type="spellStart"/>
      <w:r w:rsidRPr="002A28F7">
        <w:rPr>
          <w:rFonts w:ascii="Times New Roman" w:hAnsi="Times New Roman" w:cs="Times New Roman"/>
          <w:i/>
          <w:sz w:val="24"/>
          <w:szCs w:val="24"/>
        </w:rPr>
        <w:t>bo</w:t>
      </w:r>
      <w:r w:rsidR="002A28F7" w:rsidRPr="002A28F7">
        <w:rPr>
          <w:rFonts w:ascii="Times New Roman" w:hAnsi="Times New Roman" w:cs="Times New Roman"/>
          <w:i/>
          <w:sz w:val="24"/>
          <w:szCs w:val="24"/>
        </w:rPr>
        <w:t>n</w:t>
      </w:r>
      <w:r w:rsidRPr="002A28F7">
        <w:rPr>
          <w:rFonts w:ascii="Times New Roman" w:hAnsi="Times New Roman" w:cs="Times New Roman"/>
          <w:i/>
          <w:sz w:val="24"/>
          <w:szCs w:val="24"/>
        </w:rPr>
        <w:t>is</w:t>
      </w:r>
      <w:proofErr w:type="spellEnd"/>
      <w:r>
        <w:rPr>
          <w:rFonts w:ascii="Times New Roman" w:hAnsi="Times New Roman" w:cs="Times New Roman"/>
          <w:sz w:val="24"/>
          <w:szCs w:val="24"/>
        </w:rPr>
        <w:t xml:space="preserve"> is </w:t>
      </w:r>
      <w:r w:rsidR="00D302EC">
        <w:rPr>
          <w:rFonts w:ascii="Times New Roman" w:hAnsi="Times New Roman" w:cs="Times New Roman"/>
          <w:sz w:val="24"/>
          <w:szCs w:val="24"/>
        </w:rPr>
        <w:t>to</w:t>
      </w:r>
      <w:r w:rsidR="002A28F7">
        <w:rPr>
          <w:rFonts w:ascii="Times New Roman" w:hAnsi="Times New Roman" w:cs="Times New Roman"/>
          <w:sz w:val="24"/>
          <w:szCs w:val="24"/>
        </w:rPr>
        <w:t xml:space="preserve"> preserve the estate which sh</w:t>
      </w:r>
      <w:r>
        <w:rPr>
          <w:rFonts w:ascii="Times New Roman" w:hAnsi="Times New Roman" w:cs="Times New Roman"/>
          <w:sz w:val="24"/>
          <w:szCs w:val="24"/>
        </w:rPr>
        <w:t xml:space="preserve">all remain in his or her custody pending the appointment of an executor or such other </w:t>
      </w:r>
      <w:r w:rsidR="008D1994">
        <w:rPr>
          <w:rFonts w:ascii="Times New Roman" w:hAnsi="Times New Roman" w:cs="Times New Roman"/>
          <w:sz w:val="24"/>
          <w:szCs w:val="24"/>
        </w:rPr>
        <w:t xml:space="preserve">lawfully appointed person who shall be in charge of the administration, </w:t>
      </w:r>
      <w:r w:rsidR="00BE4891">
        <w:rPr>
          <w:rFonts w:ascii="Times New Roman" w:hAnsi="Times New Roman" w:cs="Times New Roman"/>
          <w:sz w:val="24"/>
          <w:szCs w:val="24"/>
        </w:rPr>
        <w:t xml:space="preserve">distribution and final settlement of the </w:t>
      </w:r>
      <w:r w:rsidR="006715AB">
        <w:rPr>
          <w:rFonts w:ascii="Times New Roman" w:hAnsi="Times New Roman" w:cs="Times New Roman"/>
          <w:sz w:val="24"/>
          <w:szCs w:val="24"/>
        </w:rPr>
        <w:t>joint</w:t>
      </w:r>
      <w:r w:rsidR="00BE4891">
        <w:rPr>
          <w:rFonts w:ascii="Times New Roman" w:hAnsi="Times New Roman" w:cs="Times New Roman"/>
          <w:sz w:val="24"/>
          <w:szCs w:val="24"/>
        </w:rPr>
        <w:t xml:space="preserve"> estate.  A surviving spouse, child or next of kin has no </w:t>
      </w:r>
      <w:r w:rsidR="0025141D">
        <w:rPr>
          <w:rFonts w:ascii="Times New Roman" w:hAnsi="Times New Roman" w:cs="Times New Roman"/>
          <w:sz w:val="24"/>
          <w:szCs w:val="24"/>
        </w:rPr>
        <w:t>right</w:t>
      </w:r>
      <w:r w:rsidR="00BE4891">
        <w:rPr>
          <w:rFonts w:ascii="Times New Roman" w:hAnsi="Times New Roman" w:cs="Times New Roman"/>
          <w:sz w:val="24"/>
          <w:szCs w:val="24"/>
        </w:rPr>
        <w:t xml:space="preserve"> to dispose of assets of the estate without lawful authority granted by the courts, the Master of the High Court o</w:t>
      </w:r>
      <w:r w:rsidR="00FE6394">
        <w:rPr>
          <w:rFonts w:ascii="Times New Roman" w:hAnsi="Times New Roman" w:cs="Times New Roman"/>
          <w:sz w:val="24"/>
          <w:szCs w:val="24"/>
        </w:rPr>
        <w:t>r</w:t>
      </w:r>
      <w:r w:rsidR="00BE4891">
        <w:rPr>
          <w:rFonts w:ascii="Times New Roman" w:hAnsi="Times New Roman" w:cs="Times New Roman"/>
          <w:sz w:val="24"/>
          <w:szCs w:val="24"/>
        </w:rPr>
        <w:t xml:space="preserve"> the duly appointed executor (see sections 20, 21 and 22 of the </w:t>
      </w:r>
      <w:r w:rsidR="0025141D">
        <w:rPr>
          <w:rFonts w:ascii="Times New Roman" w:hAnsi="Times New Roman" w:cs="Times New Roman"/>
          <w:sz w:val="24"/>
          <w:szCs w:val="24"/>
        </w:rPr>
        <w:t xml:space="preserve">Administration of Estates </w:t>
      </w:r>
      <w:r w:rsidR="00BE4891">
        <w:rPr>
          <w:rFonts w:ascii="Times New Roman" w:hAnsi="Times New Roman" w:cs="Times New Roman"/>
          <w:sz w:val="24"/>
          <w:szCs w:val="24"/>
        </w:rPr>
        <w:t>Act</w:t>
      </w:r>
      <w:r w:rsidR="0025141D">
        <w:rPr>
          <w:rFonts w:ascii="Times New Roman" w:hAnsi="Times New Roman" w:cs="Times New Roman"/>
          <w:sz w:val="24"/>
          <w:szCs w:val="24"/>
        </w:rPr>
        <w:t xml:space="preserve"> [</w:t>
      </w:r>
      <w:r w:rsidR="0025141D" w:rsidRPr="0025141D">
        <w:rPr>
          <w:rFonts w:ascii="Times New Roman" w:hAnsi="Times New Roman" w:cs="Times New Roman"/>
          <w:i/>
          <w:sz w:val="24"/>
          <w:szCs w:val="24"/>
        </w:rPr>
        <w:t>Cap 6:07</w:t>
      </w:r>
      <w:r w:rsidR="0025141D">
        <w:rPr>
          <w:rFonts w:ascii="Times New Roman" w:hAnsi="Times New Roman" w:cs="Times New Roman"/>
          <w:sz w:val="24"/>
          <w:szCs w:val="24"/>
        </w:rPr>
        <w:t xml:space="preserve">] </w:t>
      </w:r>
      <w:r w:rsidR="00BE4891">
        <w:rPr>
          <w:rFonts w:ascii="Times New Roman" w:hAnsi="Times New Roman" w:cs="Times New Roman"/>
          <w:sz w:val="24"/>
          <w:szCs w:val="24"/>
        </w:rPr>
        <w:t>).</w:t>
      </w:r>
    </w:p>
    <w:p w:rsidR="00BE4891" w:rsidRDefault="00BE4891" w:rsidP="0086602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particular s</w:t>
      </w:r>
      <w:r w:rsidR="00FE6394">
        <w:rPr>
          <w:rFonts w:ascii="Times New Roman" w:hAnsi="Times New Roman" w:cs="Times New Roman"/>
          <w:sz w:val="24"/>
          <w:szCs w:val="24"/>
        </w:rPr>
        <w:t xml:space="preserve"> 120 of the A</w:t>
      </w:r>
      <w:r>
        <w:rPr>
          <w:rFonts w:ascii="Times New Roman" w:hAnsi="Times New Roman" w:cs="Times New Roman"/>
          <w:sz w:val="24"/>
          <w:szCs w:val="24"/>
        </w:rPr>
        <w:t xml:space="preserve">ct requires that even a duly appointed executor seeks the authority </w:t>
      </w:r>
      <w:r w:rsidR="002E06FE">
        <w:rPr>
          <w:rFonts w:ascii="Times New Roman" w:hAnsi="Times New Roman" w:cs="Times New Roman"/>
          <w:sz w:val="24"/>
          <w:szCs w:val="24"/>
        </w:rPr>
        <w:t>of the Master should it become necessary to dispose of immovable property otherwise than by public auction.  It reads:</w:t>
      </w:r>
    </w:p>
    <w:p w:rsidR="002E06FE" w:rsidRPr="006E4553" w:rsidRDefault="002E06FE" w:rsidP="00597912">
      <w:pPr>
        <w:pStyle w:val="NoSpacing"/>
        <w:ind w:left="720"/>
        <w:jc w:val="both"/>
        <w:rPr>
          <w:rFonts w:ascii="Times New Roman" w:hAnsi="Times New Roman" w:cs="Times New Roman"/>
          <w:sz w:val="24"/>
          <w:szCs w:val="24"/>
        </w:rPr>
      </w:pPr>
      <w:r>
        <w:rPr>
          <w:rFonts w:ascii="Times New Roman" w:hAnsi="Times New Roman" w:cs="Times New Roman"/>
          <w:sz w:val="24"/>
          <w:szCs w:val="24"/>
        </w:rPr>
        <w:t>“If after due inquiry the Master is of opi</w:t>
      </w:r>
      <w:r w:rsidR="0025141D">
        <w:rPr>
          <w:rFonts w:ascii="Times New Roman" w:hAnsi="Times New Roman" w:cs="Times New Roman"/>
          <w:sz w:val="24"/>
          <w:szCs w:val="24"/>
        </w:rPr>
        <w:t xml:space="preserve">nion that it would be to the </w:t>
      </w:r>
      <w:r>
        <w:rPr>
          <w:rFonts w:ascii="Times New Roman" w:hAnsi="Times New Roman" w:cs="Times New Roman"/>
          <w:sz w:val="24"/>
          <w:szCs w:val="24"/>
        </w:rPr>
        <w:t xml:space="preserve">advantage of persons interested in the estate to sell any property belonging to the such estate otherwise than by public auction </w:t>
      </w:r>
      <w:r w:rsidR="00597912">
        <w:rPr>
          <w:rFonts w:ascii="Times New Roman" w:hAnsi="Times New Roman" w:cs="Times New Roman"/>
          <w:sz w:val="24"/>
          <w:szCs w:val="24"/>
        </w:rPr>
        <w:t>he may, if the will of the deceased contains no provisions to the contrary, grant the necessary authority to the executor so to act.”</w:t>
      </w:r>
    </w:p>
    <w:p w:rsidR="006E4553" w:rsidRDefault="00597912" w:rsidP="002331C1">
      <w:pPr>
        <w:jc w:val="both"/>
      </w:pPr>
      <w:r>
        <w:tab/>
      </w:r>
    </w:p>
    <w:p w:rsidR="00597912" w:rsidRDefault="00597912" w:rsidP="00597912">
      <w:pPr>
        <w:spacing w:line="360" w:lineRule="auto"/>
        <w:jc w:val="both"/>
        <w:rPr>
          <w:rFonts w:ascii="Times New Roman" w:hAnsi="Times New Roman" w:cs="Times New Roman"/>
          <w:sz w:val="24"/>
          <w:szCs w:val="24"/>
        </w:rPr>
      </w:pPr>
      <w:r w:rsidRPr="00597912">
        <w:rPr>
          <w:rFonts w:ascii="Times New Roman" w:hAnsi="Times New Roman" w:cs="Times New Roman"/>
          <w:sz w:val="24"/>
          <w:szCs w:val="24"/>
        </w:rPr>
        <w:tab/>
        <w:t xml:space="preserve">Section </w:t>
      </w:r>
      <w:r w:rsidR="008274E7">
        <w:rPr>
          <w:rFonts w:ascii="Times New Roman" w:hAnsi="Times New Roman" w:cs="Times New Roman"/>
          <w:sz w:val="24"/>
          <w:szCs w:val="24"/>
        </w:rPr>
        <w:t>114 of the A</w:t>
      </w:r>
      <w:r w:rsidRPr="00597912">
        <w:rPr>
          <w:rFonts w:ascii="Times New Roman" w:hAnsi="Times New Roman" w:cs="Times New Roman"/>
          <w:sz w:val="24"/>
          <w:szCs w:val="24"/>
        </w:rPr>
        <w:t xml:space="preserve">ct provides for criminal </w:t>
      </w:r>
      <w:r>
        <w:rPr>
          <w:rFonts w:ascii="Times New Roman" w:hAnsi="Times New Roman" w:cs="Times New Roman"/>
          <w:sz w:val="24"/>
          <w:szCs w:val="24"/>
        </w:rPr>
        <w:t>penalties for persons who may violate these and v</w:t>
      </w:r>
      <w:r w:rsidR="008274E7">
        <w:rPr>
          <w:rFonts w:ascii="Times New Roman" w:hAnsi="Times New Roman" w:cs="Times New Roman"/>
          <w:sz w:val="24"/>
          <w:szCs w:val="24"/>
        </w:rPr>
        <w:t>arious other provisions of the A</w:t>
      </w:r>
      <w:r>
        <w:rPr>
          <w:rFonts w:ascii="Times New Roman" w:hAnsi="Times New Roman" w:cs="Times New Roman"/>
          <w:sz w:val="24"/>
          <w:szCs w:val="24"/>
        </w:rPr>
        <w:t>ct.</w:t>
      </w:r>
    </w:p>
    <w:p w:rsidR="00A07CF3" w:rsidRDefault="00A07CF3" w:rsidP="00597912">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foregoing it is clear that the sale to the first respondent was neither sanctioned by the Master of the High Court nor is i</w:t>
      </w:r>
      <w:r w:rsidR="00EA1E2C">
        <w:rPr>
          <w:rFonts w:ascii="Times New Roman" w:hAnsi="Times New Roman" w:cs="Times New Roman"/>
          <w:sz w:val="24"/>
          <w:szCs w:val="24"/>
        </w:rPr>
        <w:t>t justi</w:t>
      </w:r>
      <w:r w:rsidR="0025141D">
        <w:rPr>
          <w:rFonts w:ascii="Times New Roman" w:hAnsi="Times New Roman" w:cs="Times New Roman"/>
          <w:sz w:val="24"/>
          <w:szCs w:val="24"/>
        </w:rPr>
        <w:t>f</w:t>
      </w:r>
      <w:r w:rsidR="00EA1E2C">
        <w:rPr>
          <w:rFonts w:ascii="Times New Roman" w:hAnsi="Times New Roman" w:cs="Times New Roman"/>
          <w:sz w:val="24"/>
          <w:szCs w:val="24"/>
        </w:rPr>
        <w:t>iable</w:t>
      </w:r>
      <w:r w:rsidR="00D10617">
        <w:rPr>
          <w:rFonts w:ascii="Times New Roman" w:hAnsi="Times New Roman" w:cs="Times New Roman"/>
          <w:sz w:val="24"/>
          <w:szCs w:val="24"/>
        </w:rPr>
        <w:t xml:space="preserve">.  For that reason it was </w:t>
      </w:r>
      <w:r w:rsidR="00D10617" w:rsidRPr="000A6214">
        <w:rPr>
          <w:rFonts w:ascii="Times New Roman" w:hAnsi="Times New Roman" w:cs="Times New Roman"/>
          <w:sz w:val="24"/>
          <w:szCs w:val="24"/>
        </w:rPr>
        <w:t xml:space="preserve">void </w:t>
      </w:r>
      <w:r w:rsidR="00D10617">
        <w:rPr>
          <w:rFonts w:ascii="Times New Roman" w:hAnsi="Times New Roman" w:cs="Times New Roman"/>
          <w:i/>
          <w:sz w:val="24"/>
          <w:szCs w:val="24"/>
        </w:rPr>
        <w:t xml:space="preserve"> </w:t>
      </w:r>
      <w:r w:rsidR="000A6214">
        <w:rPr>
          <w:rFonts w:ascii="Times New Roman" w:hAnsi="Times New Roman" w:cs="Times New Roman"/>
          <w:i/>
          <w:sz w:val="24"/>
          <w:szCs w:val="24"/>
        </w:rPr>
        <w:t xml:space="preserve"> </w:t>
      </w:r>
      <w:proofErr w:type="spellStart"/>
      <w:r w:rsidR="000A6214">
        <w:rPr>
          <w:rFonts w:ascii="Times New Roman" w:hAnsi="Times New Roman" w:cs="Times New Roman"/>
          <w:i/>
          <w:sz w:val="24"/>
          <w:szCs w:val="24"/>
        </w:rPr>
        <w:t>ab</w:t>
      </w:r>
      <w:proofErr w:type="spellEnd"/>
      <w:r w:rsidR="000A6214">
        <w:rPr>
          <w:rFonts w:ascii="Times New Roman" w:hAnsi="Times New Roman" w:cs="Times New Roman"/>
          <w:i/>
          <w:sz w:val="24"/>
          <w:szCs w:val="24"/>
        </w:rPr>
        <w:t xml:space="preserve"> i</w:t>
      </w:r>
      <w:r w:rsidR="00D10617">
        <w:rPr>
          <w:rFonts w:ascii="Times New Roman" w:hAnsi="Times New Roman" w:cs="Times New Roman"/>
          <w:i/>
          <w:sz w:val="24"/>
          <w:szCs w:val="24"/>
        </w:rPr>
        <w:t>nitio</w:t>
      </w:r>
      <w:r w:rsidR="00D10617">
        <w:rPr>
          <w:rFonts w:ascii="Times New Roman" w:hAnsi="Times New Roman" w:cs="Times New Roman"/>
          <w:sz w:val="24"/>
          <w:szCs w:val="24"/>
        </w:rPr>
        <w:t xml:space="preserve"> </w:t>
      </w:r>
      <w:r w:rsidR="006D63F1">
        <w:rPr>
          <w:rFonts w:ascii="Times New Roman" w:hAnsi="Times New Roman" w:cs="Times New Roman"/>
          <w:sz w:val="24"/>
          <w:szCs w:val="24"/>
        </w:rPr>
        <w:t xml:space="preserve">for non-compliance with the provisions </w:t>
      </w:r>
      <w:r w:rsidR="00EA1E2C">
        <w:rPr>
          <w:rFonts w:ascii="Times New Roman" w:hAnsi="Times New Roman" w:cs="Times New Roman"/>
          <w:sz w:val="24"/>
          <w:szCs w:val="24"/>
        </w:rPr>
        <w:t>of the A</w:t>
      </w:r>
      <w:r>
        <w:rPr>
          <w:rFonts w:ascii="Times New Roman" w:hAnsi="Times New Roman" w:cs="Times New Roman"/>
          <w:sz w:val="24"/>
          <w:szCs w:val="24"/>
        </w:rPr>
        <w:t xml:space="preserve">ct.  Further it is evident that the first respondent and her legal practitioners acted in bad faith.  They knew or </w:t>
      </w:r>
      <w:r w:rsidR="006D63F1">
        <w:rPr>
          <w:rFonts w:ascii="Times New Roman" w:hAnsi="Times New Roman" w:cs="Times New Roman"/>
          <w:sz w:val="24"/>
          <w:szCs w:val="24"/>
        </w:rPr>
        <w:t>ought</w:t>
      </w:r>
      <w:r>
        <w:rPr>
          <w:rFonts w:ascii="Times New Roman" w:hAnsi="Times New Roman" w:cs="Times New Roman"/>
          <w:sz w:val="24"/>
          <w:szCs w:val="24"/>
        </w:rPr>
        <w:t xml:space="preserve"> to have known that the immovable property they sought to purchase was part of the estate of a deceased person.  They also knew or ought to have known that this property could not be dealt with without the involvement of a duly appointed executor and the authority of the Master.  They knew that the seller had not received letter</w:t>
      </w:r>
      <w:r w:rsidR="00EA1E2C">
        <w:rPr>
          <w:rFonts w:ascii="Times New Roman" w:hAnsi="Times New Roman" w:cs="Times New Roman"/>
          <w:sz w:val="24"/>
          <w:szCs w:val="24"/>
        </w:rPr>
        <w:t>s</w:t>
      </w:r>
      <w:r>
        <w:rPr>
          <w:rFonts w:ascii="Times New Roman" w:hAnsi="Times New Roman" w:cs="Times New Roman"/>
          <w:sz w:val="24"/>
          <w:szCs w:val="24"/>
        </w:rPr>
        <w:t xml:space="preserve"> of administration and therefore that he did not have authority to dispose of the assets of the estate.  They neither demanded to see nor were they shown such letter</w:t>
      </w:r>
      <w:r w:rsidR="00EA1E2C">
        <w:rPr>
          <w:rFonts w:ascii="Times New Roman" w:hAnsi="Times New Roman" w:cs="Times New Roman"/>
          <w:sz w:val="24"/>
          <w:szCs w:val="24"/>
        </w:rPr>
        <w:t>s</w:t>
      </w:r>
      <w:r>
        <w:rPr>
          <w:rFonts w:ascii="Times New Roman" w:hAnsi="Times New Roman" w:cs="Times New Roman"/>
          <w:sz w:val="24"/>
          <w:szCs w:val="24"/>
        </w:rPr>
        <w:t xml:space="preserve"> of administration by the purported seller.</w:t>
      </w:r>
      <w:r w:rsidR="00B71FFF">
        <w:rPr>
          <w:rFonts w:ascii="Times New Roman" w:hAnsi="Times New Roman" w:cs="Times New Roman"/>
          <w:sz w:val="24"/>
          <w:szCs w:val="24"/>
        </w:rPr>
        <w:t xml:space="preserve">  (See </w:t>
      </w:r>
      <w:proofErr w:type="spellStart"/>
      <w:r w:rsidR="00B71FFF" w:rsidRPr="003659DA">
        <w:rPr>
          <w:rFonts w:ascii="Times New Roman" w:hAnsi="Times New Roman" w:cs="Times New Roman"/>
          <w:i/>
          <w:sz w:val="24"/>
          <w:szCs w:val="24"/>
        </w:rPr>
        <w:t>Nemuseso</w:t>
      </w:r>
      <w:proofErr w:type="spellEnd"/>
      <w:r w:rsidR="00B71FFF" w:rsidRPr="003659DA">
        <w:rPr>
          <w:rFonts w:ascii="Times New Roman" w:hAnsi="Times New Roman" w:cs="Times New Roman"/>
          <w:i/>
          <w:sz w:val="24"/>
          <w:szCs w:val="24"/>
        </w:rPr>
        <w:t xml:space="preserve"> </w:t>
      </w:r>
      <w:proofErr w:type="spellStart"/>
      <w:r w:rsidR="00B71FFF" w:rsidRPr="003659DA">
        <w:rPr>
          <w:rFonts w:ascii="Times New Roman" w:hAnsi="Times New Roman" w:cs="Times New Roman"/>
          <w:i/>
          <w:sz w:val="24"/>
          <w:szCs w:val="24"/>
        </w:rPr>
        <w:t>vs</w:t>
      </w:r>
      <w:proofErr w:type="spellEnd"/>
      <w:r w:rsidR="00B71FFF" w:rsidRPr="003659DA">
        <w:rPr>
          <w:rFonts w:ascii="Times New Roman" w:hAnsi="Times New Roman" w:cs="Times New Roman"/>
          <w:i/>
          <w:sz w:val="24"/>
          <w:szCs w:val="24"/>
        </w:rPr>
        <w:t xml:space="preserve"> </w:t>
      </w:r>
      <w:proofErr w:type="spellStart"/>
      <w:r w:rsidR="00B71FFF" w:rsidRPr="003659DA">
        <w:rPr>
          <w:rFonts w:ascii="Times New Roman" w:hAnsi="Times New Roman" w:cs="Times New Roman"/>
          <w:i/>
          <w:sz w:val="24"/>
          <w:szCs w:val="24"/>
        </w:rPr>
        <w:t>Mashita</w:t>
      </w:r>
      <w:proofErr w:type="spellEnd"/>
      <w:r w:rsidR="00B71FFF" w:rsidRPr="003659DA">
        <w:rPr>
          <w:rFonts w:ascii="Times New Roman" w:hAnsi="Times New Roman" w:cs="Times New Roman"/>
          <w:i/>
          <w:sz w:val="24"/>
          <w:szCs w:val="24"/>
        </w:rPr>
        <w:t xml:space="preserve"> and </w:t>
      </w:r>
      <w:proofErr w:type="spellStart"/>
      <w:r w:rsidR="00B71FFF" w:rsidRPr="003659DA">
        <w:rPr>
          <w:rFonts w:ascii="Times New Roman" w:hAnsi="Times New Roman" w:cs="Times New Roman"/>
          <w:i/>
          <w:sz w:val="24"/>
          <w:szCs w:val="24"/>
        </w:rPr>
        <w:t>ors</w:t>
      </w:r>
      <w:proofErr w:type="spellEnd"/>
      <w:r w:rsidR="00CA0014">
        <w:rPr>
          <w:rFonts w:ascii="Times New Roman" w:hAnsi="Times New Roman" w:cs="Times New Roman"/>
          <w:sz w:val="24"/>
          <w:szCs w:val="24"/>
        </w:rPr>
        <w:t xml:space="preserve"> </w:t>
      </w:r>
      <w:r w:rsidR="00B71FFF">
        <w:rPr>
          <w:rFonts w:ascii="Times New Roman" w:hAnsi="Times New Roman" w:cs="Times New Roman"/>
          <w:sz w:val="24"/>
          <w:szCs w:val="24"/>
        </w:rPr>
        <w:t>2009 (2</w:t>
      </w:r>
      <w:proofErr w:type="gramStart"/>
      <w:r w:rsidR="00B71FFF">
        <w:rPr>
          <w:rFonts w:ascii="Times New Roman" w:hAnsi="Times New Roman" w:cs="Times New Roman"/>
          <w:sz w:val="24"/>
          <w:szCs w:val="24"/>
        </w:rPr>
        <w:t>)  ZLR</w:t>
      </w:r>
      <w:proofErr w:type="gramEnd"/>
      <w:r w:rsidR="00B71FFF">
        <w:rPr>
          <w:rFonts w:ascii="Times New Roman" w:hAnsi="Times New Roman" w:cs="Times New Roman"/>
          <w:sz w:val="24"/>
          <w:szCs w:val="24"/>
        </w:rPr>
        <w:t xml:space="preserve"> 298 (H) at p 306. See also </w:t>
      </w:r>
      <w:proofErr w:type="spellStart"/>
      <w:r w:rsidR="00B71FFF" w:rsidRPr="003659DA">
        <w:rPr>
          <w:rFonts w:ascii="Times New Roman" w:hAnsi="Times New Roman" w:cs="Times New Roman"/>
          <w:i/>
          <w:sz w:val="24"/>
          <w:szCs w:val="24"/>
        </w:rPr>
        <w:t>Klempman</w:t>
      </w:r>
      <w:proofErr w:type="spellEnd"/>
      <w:r w:rsidR="00B71FFF" w:rsidRPr="003659DA">
        <w:rPr>
          <w:rFonts w:ascii="Times New Roman" w:hAnsi="Times New Roman" w:cs="Times New Roman"/>
          <w:i/>
          <w:sz w:val="24"/>
          <w:szCs w:val="24"/>
        </w:rPr>
        <w:t xml:space="preserve"> N.O. </w:t>
      </w:r>
      <w:proofErr w:type="spellStart"/>
      <w:r w:rsidR="00B71FFF" w:rsidRPr="003659DA">
        <w:rPr>
          <w:rFonts w:ascii="Times New Roman" w:hAnsi="Times New Roman" w:cs="Times New Roman"/>
          <w:i/>
          <w:sz w:val="24"/>
          <w:szCs w:val="24"/>
        </w:rPr>
        <w:t>vs</w:t>
      </w:r>
      <w:proofErr w:type="spellEnd"/>
      <w:r w:rsidR="00B71FFF" w:rsidRPr="003659DA">
        <w:rPr>
          <w:rFonts w:ascii="Times New Roman" w:hAnsi="Times New Roman" w:cs="Times New Roman"/>
          <w:i/>
          <w:sz w:val="24"/>
          <w:szCs w:val="24"/>
        </w:rPr>
        <w:t xml:space="preserve"> Law Union and Rock Insurance</w:t>
      </w:r>
      <w:r w:rsidR="00B71FFF">
        <w:rPr>
          <w:rFonts w:ascii="Times New Roman" w:hAnsi="Times New Roman" w:cs="Times New Roman"/>
          <w:sz w:val="24"/>
          <w:szCs w:val="24"/>
        </w:rPr>
        <w:t xml:space="preserve"> 1957 (1) SA 506 W</w:t>
      </w:r>
      <w:r w:rsidR="00CA0014">
        <w:rPr>
          <w:rFonts w:ascii="Times New Roman" w:hAnsi="Times New Roman" w:cs="Times New Roman"/>
          <w:sz w:val="24"/>
          <w:szCs w:val="24"/>
        </w:rPr>
        <w:t>.</w:t>
      </w:r>
    </w:p>
    <w:p w:rsidR="0003456E" w:rsidRDefault="00A07CF3" w:rsidP="0059791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argues that the Master’s authority </w:t>
      </w:r>
      <w:r w:rsidR="00C25843">
        <w:rPr>
          <w:rFonts w:ascii="Times New Roman" w:hAnsi="Times New Roman" w:cs="Times New Roman"/>
          <w:sz w:val="24"/>
          <w:szCs w:val="24"/>
        </w:rPr>
        <w:t>is ofte</w:t>
      </w:r>
      <w:r>
        <w:rPr>
          <w:rFonts w:ascii="Times New Roman" w:hAnsi="Times New Roman" w:cs="Times New Roman"/>
          <w:sz w:val="24"/>
          <w:szCs w:val="24"/>
        </w:rPr>
        <w:t xml:space="preserve">n obtained after the event.  No authority </w:t>
      </w:r>
      <w:r w:rsidR="0003456E">
        <w:rPr>
          <w:rFonts w:ascii="Times New Roman" w:hAnsi="Times New Roman" w:cs="Times New Roman"/>
          <w:sz w:val="24"/>
          <w:szCs w:val="24"/>
        </w:rPr>
        <w:t xml:space="preserve">or provision of the Act has been cited to support this contention.  Even if it were to be shown that it was permissible to obtain such authority retrospectively, the fact remains that the Master neither granted his authority up front or subsequently.  The sale </w:t>
      </w:r>
      <w:r w:rsidR="0003456E">
        <w:rPr>
          <w:rFonts w:ascii="Times New Roman" w:hAnsi="Times New Roman" w:cs="Times New Roman"/>
          <w:sz w:val="24"/>
          <w:szCs w:val="24"/>
        </w:rPr>
        <w:lastRenderedPageBreak/>
        <w:t>remains unauthorised.  It is unlikely that the Master would grant such authority now in view of the fact that he has already authorised the executor to dispose of the property to the applicant.</w:t>
      </w:r>
      <w:r w:rsidR="003659DA">
        <w:rPr>
          <w:rFonts w:ascii="Times New Roman" w:hAnsi="Times New Roman" w:cs="Times New Roman"/>
          <w:sz w:val="24"/>
          <w:szCs w:val="24"/>
        </w:rPr>
        <w:t xml:space="preserve">  The applicant has fully paid for the property.  He states that the property has through </w:t>
      </w:r>
      <w:proofErr w:type="spellStart"/>
      <w:r w:rsidR="003659DA">
        <w:rPr>
          <w:rFonts w:ascii="Times New Roman" w:hAnsi="Times New Roman" w:cs="Times New Roman"/>
          <w:sz w:val="24"/>
          <w:szCs w:val="24"/>
        </w:rPr>
        <w:t>Chitungwiza</w:t>
      </w:r>
      <w:proofErr w:type="spellEnd"/>
      <w:r w:rsidR="003659DA">
        <w:rPr>
          <w:rFonts w:ascii="Times New Roman" w:hAnsi="Times New Roman" w:cs="Times New Roman"/>
          <w:sz w:val="24"/>
          <w:szCs w:val="24"/>
        </w:rPr>
        <w:t xml:space="preserve"> Municipality been ceded to him, a fact the respondents have not challenged.  The applicant has the right to vindicate this property.</w:t>
      </w:r>
    </w:p>
    <w:p w:rsidR="004B0AD8" w:rsidRDefault="0003456E" w:rsidP="0059791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these reasons I would hold that the sale to the first respondent, not having </w:t>
      </w:r>
      <w:r w:rsidR="004A6569">
        <w:rPr>
          <w:rFonts w:ascii="Times New Roman" w:hAnsi="Times New Roman" w:cs="Times New Roman"/>
          <w:sz w:val="24"/>
          <w:szCs w:val="24"/>
        </w:rPr>
        <w:t>been authorised by the Master and having been executed by a person not holding letters of administration is null and void.  It would be against public policy to hold otherwise.  If this had been a normal case of double sale I would have given consideration to the first respondent’s argument that her sale was concluded before the applicant’s transaction and for that reason should be upheld.  In view however</w:t>
      </w:r>
      <w:r w:rsidR="00165C82">
        <w:rPr>
          <w:rFonts w:ascii="Times New Roman" w:hAnsi="Times New Roman" w:cs="Times New Roman"/>
          <w:sz w:val="24"/>
          <w:szCs w:val="24"/>
        </w:rPr>
        <w:t xml:space="preserve"> of the legal improprieties discu</w:t>
      </w:r>
      <w:r w:rsidR="004A6569">
        <w:rPr>
          <w:rFonts w:ascii="Times New Roman" w:hAnsi="Times New Roman" w:cs="Times New Roman"/>
          <w:sz w:val="24"/>
          <w:szCs w:val="24"/>
        </w:rPr>
        <w:t xml:space="preserve">ssed </w:t>
      </w:r>
      <w:r w:rsidR="004B0AD8">
        <w:rPr>
          <w:rFonts w:ascii="Times New Roman" w:hAnsi="Times New Roman" w:cs="Times New Roman"/>
          <w:sz w:val="24"/>
          <w:szCs w:val="24"/>
        </w:rPr>
        <w:t xml:space="preserve">above, that argument cannot hold any water. </w:t>
      </w:r>
      <w:r w:rsidR="00FA75A0">
        <w:rPr>
          <w:rFonts w:ascii="Times New Roman" w:hAnsi="Times New Roman" w:cs="Times New Roman"/>
          <w:sz w:val="24"/>
          <w:szCs w:val="24"/>
        </w:rPr>
        <w:t xml:space="preserve">It is as if no agreement was ever entered into.   (See </w:t>
      </w:r>
      <w:proofErr w:type="spellStart"/>
      <w:r w:rsidR="00FA75A0" w:rsidRPr="00FA75A0">
        <w:rPr>
          <w:rFonts w:ascii="Times New Roman" w:hAnsi="Times New Roman" w:cs="Times New Roman"/>
          <w:i/>
          <w:sz w:val="24"/>
          <w:szCs w:val="24"/>
        </w:rPr>
        <w:t>Mugwebie</w:t>
      </w:r>
      <w:proofErr w:type="spellEnd"/>
      <w:r w:rsidR="00FA75A0" w:rsidRPr="00FA75A0">
        <w:rPr>
          <w:rFonts w:ascii="Times New Roman" w:hAnsi="Times New Roman" w:cs="Times New Roman"/>
          <w:i/>
          <w:sz w:val="24"/>
          <w:szCs w:val="24"/>
        </w:rPr>
        <w:t xml:space="preserve"> </w:t>
      </w:r>
      <w:proofErr w:type="spellStart"/>
      <w:r w:rsidR="00FA75A0" w:rsidRPr="00FA75A0">
        <w:rPr>
          <w:rFonts w:ascii="Times New Roman" w:hAnsi="Times New Roman" w:cs="Times New Roman"/>
          <w:i/>
          <w:sz w:val="24"/>
          <w:szCs w:val="24"/>
        </w:rPr>
        <w:t>vs</w:t>
      </w:r>
      <w:proofErr w:type="spellEnd"/>
      <w:r w:rsidR="00FA75A0" w:rsidRPr="00FA75A0">
        <w:rPr>
          <w:rFonts w:ascii="Times New Roman" w:hAnsi="Times New Roman" w:cs="Times New Roman"/>
          <w:i/>
          <w:sz w:val="24"/>
          <w:szCs w:val="24"/>
        </w:rPr>
        <w:t xml:space="preserve"> Seed Co and </w:t>
      </w:r>
      <w:proofErr w:type="spellStart"/>
      <w:r w:rsidR="00FA75A0" w:rsidRPr="00FA75A0">
        <w:rPr>
          <w:rFonts w:ascii="Times New Roman" w:hAnsi="Times New Roman" w:cs="Times New Roman"/>
          <w:i/>
          <w:sz w:val="24"/>
          <w:szCs w:val="24"/>
        </w:rPr>
        <w:t>Anor</w:t>
      </w:r>
      <w:proofErr w:type="spellEnd"/>
      <w:r w:rsidR="00FA75A0">
        <w:rPr>
          <w:rFonts w:ascii="Times New Roman" w:hAnsi="Times New Roman" w:cs="Times New Roman"/>
          <w:sz w:val="24"/>
          <w:szCs w:val="24"/>
        </w:rPr>
        <w:t xml:space="preserve"> 2000 (1) ZLR 93 (5). </w:t>
      </w:r>
      <w:r w:rsidR="004B0AD8">
        <w:rPr>
          <w:rFonts w:ascii="Times New Roman" w:hAnsi="Times New Roman" w:cs="Times New Roman"/>
          <w:sz w:val="24"/>
          <w:szCs w:val="24"/>
        </w:rPr>
        <w:t xml:space="preserve"> Her recourse should be against the seller.</w:t>
      </w:r>
    </w:p>
    <w:p w:rsidR="00FA75A0" w:rsidRDefault="00FA75A0" w:rsidP="0059791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proofErr w:type="gramStart"/>
      <w:r>
        <w:rPr>
          <w:rFonts w:ascii="Times New Roman" w:hAnsi="Times New Roman" w:cs="Times New Roman"/>
          <w:sz w:val="24"/>
          <w:szCs w:val="24"/>
        </w:rPr>
        <w:t xml:space="preserve">, </w:t>
      </w:r>
      <w:r w:rsidR="00CA0014">
        <w:rPr>
          <w:rFonts w:ascii="Times New Roman" w:hAnsi="Times New Roman" w:cs="Times New Roman"/>
          <w:sz w:val="24"/>
          <w:szCs w:val="24"/>
        </w:rPr>
        <w:t xml:space="preserve"> a</w:t>
      </w:r>
      <w:proofErr w:type="gramEnd"/>
      <w:r w:rsidR="00CA0014">
        <w:rPr>
          <w:rFonts w:ascii="Times New Roman" w:hAnsi="Times New Roman" w:cs="Times New Roman"/>
          <w:sz w:val="24"/>
          <w:szCs w:val="24"/>
        </w:rPr>
        <w:t xml:space="preserve"> self-</w:t>
      </w:r>
      <w:r>
        <w:rPr>
          <w:rFonts w:ascii="Times New Roman" w:hAnsi="Times New Roman" w:cs="Times New Roman"/>
          <w:sz w:val="24"/>
          <w:szCs w:val="24"/>
        </w:rPr>
        <w:t>actor, had neither cited nor served the Master with a copy of the application.  I directed that the Master be served and that he submits a written report.  The report is filed of record.  Although he does not say so in as many words, it is evident that the Master does not oppose the grant of this application.</w:t>
      </w:r>
    </w:p>
    <w:p w:rsidR="004B0AD8" w:rsidRDefault="004B0AD8" w:rsidP="00597912">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I granted the application with costs in the following terms:</w:t>
      </w:r>
    </w:p>
    <w:p w:rsidR="00A07CF3" w:rsidRPr="00597912" w:rsidRDefault="003D5D2E" w:rsidP="00165C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 the first respondent and all those claiming through her be and are hereby directed to vacate h</w:t>
      </w:r>
      <w:r w:rsidR="00586759">
        <w:rPr>
          <w:rFonts w:ascii="Times New Roman" w:hAnsi="Times New Roman" w:cs="Times New Roman"/>
          <w:sz w:val="24"/>
          <w:szCs w:val="24"/>
        </w:rPr>
        <w:t xml:space="preserve">ouse 50 </w:t>
      </w:r>
      <w:proofErr w:type="spellStart"/>
      <w:r w:rsidR="00586759">
        <w:rPr>
          <w:rFonts w:ascii="Times New Roman" w:hAnsi="Times New Roman" w:cs="Times New Roman"/>
          <w:sz w:val="24"/>
          <w:szCs w:val="24"/>
        </w:rPr>
        <w:t>Nzungu</w:t>
      </w:r>
      <w:proofErr w:type="spellEnd"/>
      <w:r w:rsidR="00586759">
        <w:rPr>
          <w:rFonts w:ascii="Times New Roman" w:hAnsi="Times New Roman" w:cs="Times New Roman"/>
          <w:sz w:val="24"/>
          <w:szCs w:val="24"/>
        </w:rPr>
        <w:t xml:space="preserve"> Street, Zengeza1</w:t>
      </w:r>
      <w:r w:rsidR="006349E5">
        <w:rPr>
          <w:rFonts w:ascii="Times New Roman" w:hAnsi="Times New Roman" w:cs="Times New Roman"/>
          <w:sz w:val="24"/>
          <w:szCs w:val="24"/>
        </w:rPr>
        <w:t xml:space="preserve">, </w:t>
      </w:r>
      <w:proofErr w:type="spellStart"/>
      <w:r w:rsidR="006349E5">
        <w:rPr>
          <w:rFonts w:ascii="Times New Roman" w:hAnsi="Times New Roman" w:cs="Times New Roman"/>
          <w:sz w:val="24"/>
          <w:szCs w:val="24"/>
        </w:rPr>
        <w:t>C</w:t>
      </w:r>
      <w:r w:rsidR="00586759">
        <w:rPr>
          <w:rFonts w:ascii="Times New Roman" w:hAnsi="Times New Roman" w:cs="Times New Roman"/>
          <w:sz w:val="24"/>
          <w:szCs w:val="24"/>
        </w:rPr>
        <w:t>hitungwiza</w:t>
      </w:r>
      <w:proofErr w:type="spellEnd"/>
      <w:r w:rsidR="00586759">
        <w:rPr>
          <w:rFonts w:ascii="Times New Roman" w:hAnsi="Times New Roman" w:cs="Times New Roman"/>
          <w:sz w:val="24"/>
          <w:szCs w:val="24"/>
        </w:rPr>
        <w:t xml:space="preserve">, on or before </w:t>
      </w:r>
      <w:r w:rsidR="00DB7B61">
        <w:rPr>
          <w:rFonts w:ascii="Times New Roman" w:hAnsi="Times New Roman" w:cs="Times New Roman"/>
          <w:sz w:val="24"/>
          <w:szCs w:val="24"/>
        </w:rPr>
        <w:t xml:space="preserve">     </w:t>
      </w:r>
      <w:r w:rsidR="00586759">
        <w:rPr>
          <w:rFonts w:ascii="Times New Roman" w:hAnsi="Times New Roman" w:cs="Times New Roman"/>
          <w:sz w:val="24"/>
          <w:szCs w:val="24"/>
        </w:rPr>
        <w:t>30 April 2011</w:t>
      </w:r>
      <w:r w:rsidR="00165C82">
        <w:rPr>
          <w:rFonts w:ascii="Times New Roman" w:hAnsi="Times New Roman" w:cs="Times New Roman"/>
          <w:sz w:val="24"/>
          <w:szCs w:val="24"/>
        </w:rPr>
        <w:t>, failing which the second respondent be and is hereby authorised to eject the said first respondent and all those claiming thr</w:t>
      </w:r>
      <w:r w:rsidR="00DB7B61">
        <w:rPr>
          <w:rFonts w:ascii="Times New Roman" w:hAnsi="Times New Roman" w:cs="Times New Roman"/>
          <w:sz w:val="24"/>
          <w:szCs w:val="24"/>
        </w:rPr>
        <w:t>ough her from the said property</w:t>
      </w:r>
      <w:r w:rsidR="00165C82">
        <w:rPr>
          <w:rFonts w:ascii="Times New Roman" w:hAnsi="Times New Roman" w:cs="Times New Roman"/>
          <w:sz w:val="24"/>
          <w:szCs w:val="24"/>
        </w:rPr>
        <w:t>.</w:t>
      </w:r>
      <w:r w:rsidR="0003456E">
        <w:rPr>
          <w:rFonts w:ascii="Times New Roman" w:hAnsi="Times New Roman" w:cs="Times New Roman"/>
          <w:sz w:val="24"/>
          <w:szCs w:val="24"/>
        </w:rPr>
        <w:t xml:space="preserve">  </w:t>
      </w:r>
    </w:p>
    <w:p w:rsidR="00597912" w:rsidRDefault="00597912" w:rsidP="002331C1">
      <w:pPr>
        <w:jc w:val="both"/>
      </w:pPr>
      <w:r>
        <w:tab/>
      </w:r>
    </w:p>
    <w:p w:rsidR="002331C1" w:rsidRDefault="002331C1"/>
    <w:p w:rsidR="00ED7BEF" w:rsidRDefault="00ED7BEF"/>
    <w:p w:rsidR="00ED7BEF" w:rsidRDefault="00ED7BEF"/>
    <w:p w:rsidR="002331C1" w:rsidRPr="002331C1" w:rsidRDefault="002331C1">
      <w:pPr>
        <w:rPr>
          <w:rFonts w:ascii="Times New Roman" w:hAnsi="Times New Roman" w:cs="Times New Roman"/>
          <w:i/>
          <w:sz w:val="24"/>
          <w:szCs w:val="24"/>
        </w:rPr>
      </w:pPr>
      <w:r w:rsidRPr="002331C1">
        <w:rPr>
          <w:rFonts w:ascii="Times New Roman" w:hAnsi="Times New Roman" w:cs="Times New Roman"/>
          <w:i/>
          <w:sz w:val="24"/>
          <w:szCs w:val="24"/>
        </w:rPr>
        <w:t xml:space="preserve">C. </w:t>
      </w:r>
      <w:proofErr w:type="spellStart"/>
      <w:r w:rsidRPr="002331C1">
        <w:rPr>
          <w:rFonts w:ascii="Times New Roman" w:hAnsi="Times New Roman" w:cs="Times New Roman"/>
          <w:i/>
          <w:sz w:val="24"/>
          <w:szCs w:val="24"/>
        </w:rPr>
        <w:t>Mpame</w:t>
      </w:r>
      <w:proofErr w:type="spellEnd"/>
      <w:r w:rsidRPr="002331C1">
        <w:rPr>
          <w:rFonts w:ascii="Times New Roman" w:hAnsi="Times New Roman" w:cs="Times New Roman"/>
          <w:i/>
          <w:sz w:val="24"/>
          <w:szCs w:val="24"/>
        </w:rPr>
        <w:t xml:space="preserve"> &amp; Associates, first respondent’s legal practitioners </w:t>
      </w:r>
    </w:p>
    <w:sectPr w:rsidR="002331C1" w:rsidRPr="002331C1" w:rsidSect="009D376F">
      <w:headerReference w:type="even" r:id="rId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DC" w:rsidRDefault="00EF0BDC" w:rsidP="00172944">
      <w:pPr>
        <w:spacing w:after="0" w:line="240" w:lineRule="auto"/>
      </w:pPr>
      <w:r>
        <w:separator/>
      </w:r>
    </w:p>
  </w:endnote>
  <w:endnote w:type="continuationSeparator" w:id="0">
    <w:p w:rsidR="00EF0BDC" w:rsidRDefault="00EF0BDC" w:rsidP="0017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DC" w:rsidRDefault="00EF0BDC" w:rsidP="00172944">
      <w:pPr>
        <w:spacing w:after="0" w:line="240" w:lineRule="auto"/>
      </w:pPr>
      <w:r>
        <w:separator/>
      </w:r>
    </w:p>
  </w:footnote>
  <w:footnote w:type="continuationSeparator" w:id="0">
    <w:p w:rsidR="00EF0BDC" w:rsidRDefault="00EF0BDC" w:rsidP="00172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02588350"/>
      <w:docPartObj>
        <w:docPartGallery w:val="Page Numbers (Top of Page)"/>
        <w:docPartUnique/>
      </w:docPartObj>
    </w:sdtPr>
    <w:sdtEndPr>
      <w:rPr>
        <w:noProof/>
      </w:rPr>
    </w:sdtEndPr>
    <w:sdtContent>
      <w:p w:rsidR="009D376F" w:rsidRPr="009D376F" w:rsidRDefault="009D376F">
        <w:pPr>
          <w:pStyle w:val="Header"/>
          <w:rPr>
            <w:rFonts w:ascii="Times New Roman" w:hAnsi="Times New Roman" w:cs="Times New Roman"/>
            <w:sz w:val="24"/>
            <w:szCs w:val="24"/>
          </w:rPr>
        </w:pPr>
        <w:r w:rsidRPr="009D376F">
          <w:rPr>
            <w:rFonts w:ascii="Times New Roman" w:hAnsi="Times New Roman" w:cs="Times New Roman"/>
            <w:sz w:val="24"/>
            <w:szCs w:val="24"/>
          </w:rPr>
          <w:fldChar w:fldCharType="begin"/>
        </w:r>
        <w:r w:rsidRPr="009D376F">
          <w:rPr>
            <w:rFonts w:ascii="Times New Roman" w:hAnsi="Times New Roman" w:cs="Times New Roman"/>
            <w:sz w:val="24"/>
            <w:szCs w:val="24"/>
          </w:rPr>
          <w:instrText xml:space="preserve"> PAGE   \* MERGEFORMAT </w:instrText>
        </w:r>
        <w:r w:rsidRPr="009D376F">
          <w:rPr>
            <w:rFonts w:ascii="Times New Roman" w:hAnsi="Times New Roman" w:cs="Times New Roman"/>
            <w:sz w:val="24"/>
            <w:szCs w:val="24"/>
          </w:rPr>
          <w:fldChar w:fldCharType="separate"/>
        </w:r>
        <w:r w:rsidR="00681FC6">
          <w:rPr>
            <w:rFonts w:ascii="Times New Roman" w:hAnsi="Times New Roman" w:cs="Times New Roman"/>
            <w:noProof/>
            <w:sz w:val="24"/>
            <w:szCs w:val="24"/>
          </w:rPr>
          <w:t>2</w:t>
        </w:r>
        <w:r w:rsidRPr="009D376F">
          <w:rPr>
            <w:rFonts w:ascii="Times New Roman" w:hAnsi="Times New Roman" w:cs="Times New Roman"/>
            <w:noProof/>
            <w:sz w:val="24"/>
            <w:szCs w:val="24"/>
          </w:rPr>
          <w:fldChar w:fldCharType="end"/>
        </w:r>
      </w:p>
    </w:sdtContent>
  </w:sdt>
  <w:p w:rsidR="006E4EA0" w:rsidRPr="009D376F" w:rsidRDefault="009D376F">
    <w:pPr>
      <w:pStyle w:val="Header"/>
      <w:rPr>
        <w:rFonts w:ascii="Times New Roman" w:hAnsi="Times New Roman" w:cs="Times New Roman"/>
        <w:sz w:val="24"/>
        <w:szCs w:val="24"/>
      </w:rPr>
    </w:pPr>
    <w:r w:rsidRPr="009D376F">
      <w:rPr>
        <w:rFonts w:ascii="Times New Roman" w:hAnsi="Times New Roman" w:cs="Times New Roman"/>
        <w:sz w:val="24"/>
        <w:szCs w:val="24"/>
      </w:rPr>
      <w:t>HH 201-12</w:t>
    </w:r>
  </w:p>
  <w:p w:rsidR="009D376F" w:rsidRPr="009D376F" w:rsidRDefault="009D376F">
    <w:pPr>
      <w:pStyle w:val="Header"/>
      <w:rPr>
        <w:rFonts w:ascii="Times New Roman" w:hAnsi="Times New Roman" w:cs="Times New Roman"/>
        <w:sz w:val="24"/>
        <w:szCs w:val="24"/>
      </w:rPr>
    </w:pPr>
    <w:r w:rsidRPr="009D376F">
      <w:rPr>
        <w:rFonts w:ascii="Times New Roman" w:hAnsi="Times New Roman" w:cs="Times New Roman"/>
        <w:sz w:val="24"/>
        <w:szCs w:val="24"/>
      </w:rPr>
      <w:t>5682/10</w:t>
    </w:r>
  </w:p>
  <w:p w:rsidR="009D376F" w:rsidRPr="009D376F" w:rsidRDefault="009D376F">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3668128"/>
      <w:docPartObj>
        <w:docPartGallery w:val="Page Numbers (Top of Page)"/>
        <w:docPartUnique/>
      </w:docPartObj>
    </w:sdtPr>
    <w:sdtEndPr>
      <w:rPr>
        <w:noProof/>
      </w:rPr>
    </w:sdtEndPr>
    <w:sdtContent>
      <w:p w:rsidR="00541C6F" w:rsidRPr="00373F63" w:rsidRDefault="009D376F" w:rsidP="009D376F">
        <w:pPr>
          <w:pStyle w:val="Header"/>
          <w:jc w:val="right"/>
          <w:rPr>
            <w:rFonts w:ascii="Times New Roman" w:hAnsi="Times New Roman" w:cs="Times New Roman"/>
            <w:noProof/>
            <w:sz w:val="24"/>
            <w:szCs w:val="24"/>
          </w:rPr>
        </w:pPr>
        <w:r>
          <w:rPr>
            <w:rFonts w:ascii="Times New Roman" w:hAnsi="Times New Roman" w:cs="Times New Roman"/>
            <w:sz w:val="24"/>
            <w:szCs w:val="24"/>
          </w:rPr>
          <w:t>3</w:t>
        </w:r>
      </w:p>
      <w:p w:rsidR="00B84DB7" w:rsidRPr="00373F63" w:rsidRDefault="00B84DB7" w:rsidP="00373F63">
        <w:pPr>
          <w:pStyle w:val="Header"/>
          <w:jc w:val="right"/>
          <w:rPr>
            <w:rFonts w:ascii="Times New Roman" w:hAnsi="Times New Roman" w:cs="Times New Roman"/>
            <w:noProof/>
            <w:sz w:val="24"/>
            <w:szCs w:val="24"/>
          </w:rPr>
        </w:pPr>
        <w:r w:rsidRPr="00373F63">
          <w:rPr>
            <w:rFonts w:ascii="Times New Roman" w:hAnsi="Times New Roman" w:cs="Times New Roman"/>
            <w:noProof/>
            <w:sz w:val="24"/>
            <w:szCs w:val="24"/>
          </w:rPr>
          <w:t>HH 201-12</w:t>
        </w:r>
      </w:p>
      <w:p w:rsidR="00541C6F" w:rsidRPr="00373F63" w:rsidRDefault="00B84DB7" w:rsidP="00373F63">
        <w:pPr>
          <w:pStyle w:val="Header"/>
          <w:jc w:val="right"/>
          <w:rPr>
            <w:rFonts w:ascii="Times New Roman" w:hAnsi="Times New Roman" w:cs="Times New Roman"/>
            <w:sz w:val="24"/>
            <w:szCs w:val="24"/>
          </w:rPr>
        </w:pPr>
        <w:r w:rsidRPr="00373F63">
          <w:rPr>
            <w:rFonts w:ascii="Times New Roman" w:hAnsi="Times New Roman" w:cs="Times New Roman"/>
            <w:noProof/>
            <w:sz w:val="24"/>
            <w:szCs w:val="24"/>
          </w:rPr>
          <w:t>HC 5682/10</w:t>
        </w:r>
      </w:p>
    </w:sdtContent>
  </w:sdt>
  <w:p w:rsidR="00172944" w:rsidRDefault="00172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76F" w:rsidRPr="009D376F" w:rsidRDefault="009D376F" w:rsidP="009D376F">
    <w:pPr>
      <w:pStyle w:val="Header"/>
      <w:jc w:val="right"/>
      <w:rPr>
        <w:rFonts w:ascii="Times New Roman" w:hAnsi="Times New Roman" w:cs="Times New Roman"/>
        <w:sz w:val="24"/>
        <w:szCs w:val="24"/>
      </w:rPr>
    </w:pPr>
    <w:r w:rsidRPr="009D376F">
      <w:rPr>
        <w:rFonts w:ascii="Times New Roman" w:hAnsi="Times New Roman" w:cs="Times New Roman"/>
        <w:sz w:val="24"/>
        <w:szCs w:val="24"/>
      </w:rPr>
      <w:t>HH 201-12</w:t>
    </w:r>
  </w:p>
  <w:p w:rsidR="009D376F" w:rsidRPr="009D376F" w:rsidRDefault="009D376F" w:rsidP="009D376F">
    <w:pPr>
      <w:pStyle w:val="Header"/>
      <w:jc w:val="right"/>
      <w:rPr>
        <w:rFonts w:ascii="Times New Roman" w:hAnsi="Times New Roman" w:cs="Times New Roman"/>
        <w:sz w:val="24"/>
        <w:szCs w:val="24"/>
      </w:rPr>
    </w:pPr>
    <w:r w:rsidRPr="009D376F">
      <w:rPr>
        <w:rFonts w:ascii="Times New Roman" w:hAnsi="Times New Roman" w:cs="Times New Roman"/>
        <w:sz w:val="24"/>
        <w:szCs w:val="24"/>
      </w:rPr>
      <w:t>HC 5682/10</w:t>
    </w:r>
  </w:p>
  <w:p w:rsidR="009D376F" w:rsidRDefault="009D37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53"/>
    <w:rsid w:val="0003456E"/>
    <w:rsid w:val="000800E2"/>
    <w:rsid w:val="000A6214"/>
    <w:rsid w:val="00150F7B"/>
    <w:rsid w:val="001558E0"/>
    <w:rsid w:val="00165C82"/>
    <w:rsid w:val="00172944"/>
    <w:rsid w:val="00180B42"/>
    <w:rsid w:val="00213B81"/>
    <w:rsid w:val="002331C1"/>
    <w:rsid w:val="0025141D"/>
    <w:rsid w:val="002758AC"/>
    <w:rsid w:val="00291755"/>
    <w:rsid w:val="002A28F7"/>
    <w:rsid w:val="002A31F7"/>
    <w:rsid w:val="002C15A6"/>
    <w:rsid w:val="002E06FE"/>
    <w:rsid w:val="003207B3"/>
    <w:rsid w:val="0032675B"/>
    <w:rsid w:val="003659DA"/>
    <w:rsid w:val="00373F63"/>
    <w:rsid w:val="003938DE"/>
    <w:rsid w:val="00395EAA"/>
    <w:rsid w:val="003D51C5"/>
    <w:rsid w:val="003D5D2E"/>
    <w:rsid w:val="004A6569"/>
    <w:rsid w:val="004B0AD8"/>
    <w:rsid w:val="004E45B5"/>
    <w:rsid w:val="00541C6F"/>
    <w:rsid w:val="00586759"/>
    <w:rsid w:val="00597912"/>
    <w:rsid w:val="005D0A77"/>
    <w:rsid w:val="00603338"/>
    <w:rsid w:val="006349E5"/>
    <w:rsid w:val="006715AB"/>
    <w:rsid w:val="00676B27"/>
    <w:rsid w:val="00681FC6"/>
    <w:rsid w:val="006D63F1"/>
    <w:rsid w:val="006E4553"/>
    <w:rsid w:val="006E4EA0"/>
    <w:rsid w:val="00720969"/>
    <w:rsid w:val="007567DF"/>
    <w:rsid w:val="008274E7"/>
    <w:rsid w:val="008574FE"/>
    <w:rsid w:val="0086602E"/>
    <w:rsid w:val="008749D1"/>
    <w:rsid w:val="008D1994"/>
    <w:rsid w:val="00944628"/>
    <w:rsid w:val="00966793"/>
    <w:rsid w:val="009D376F"/>
    <w:rsid w:val="00A0248E"/>
    <w:rsid w:val="00A07CF3"/>
    <w:rsid w:val="00A44043"/>
    <w:rsid w:val="00A50AB7"/>
    <w:rsid w:val="00A61F3E"/>
    <w:rsid w:val="00B71FFF"/>
    <w:rsid w:val="00B84DB7"/>
    <w:rsid w:val="00BE4891"/>
    <w:rsid w:val="00C25843"/>
    <w:rsid w:val="00C521D7"/>
    <w:rsid w:val="00C70385"/>
    <w:rsid w:val="00C94529"/>
    <w:rsid w:val="00CA0014"/>
    <w:rsid w:val="00CE7816"/>
    <w:rsid w:val="00D0514A"/>
    <w:rsid w:val="00D10617"/>
    <w:rsid w:val="00D302EC"/>
    <w:rsid w:val="00D5516B"/>
    <w:rsid w:val="00D64B58"/>
    <w:rsid w:val="00D97658"/>
    <w:rsid w:val="00DA4D20"/>
    <w:rsid w:val="00DB7B61"/>
    <w:rsid w:val="00E822B4"/>
    <w:rsid w:val="00EA1E2C"/>
    <w:rsid w:val="00ED7BEF"/>
    <w:rsid w:val="00EF0BDC"/>
    <w:rsid w:val="00FA75A0"/>
    <w:rsid w:val="00FE63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553"/>
    <w:pPr>
      <w:spacing w:after="0" w:line="240" w:lineRule="auto"/>
    </w:pPr>
  </w:style>
  <w:style w:type="paragraph" w:styleId="Header">
    <w:name w:val="header"/>
    <w:basedOn w:val="Normal"/>
    <w:link w:val="HeaderChar"/>
    <w:uiPriority w:val="99"/>
    <w:unhideWhenUsed/>
    <w:rsid w:val="00172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944"/>
  </w:style>
  <w:style w:type="paragraph" w:styleId="Footer">
    <w:name w:val="footer"/>
    <w:basedOn w:val="Normal"/>
    <w:link w:val="FooterChar"/>
    <w:uiPriority w:val="99"/>
    <w:unhideWhenUsed/>
    <w:rsid w:val="00172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944"/>
  </w:style>
  <w:style w:type="paragraph" w:styleId="BalloonText">
    <w:name w:val="Balloon Text"/>
    <w:basedOn w:val="Normal"/>
    <w:link w:val="BalloonTextChar"/>
    <w:uiPriority w:val="99"/>
    <w:semiHidden/>
    <w:unhideWhenUsed/>
    <w:rsid w:val="0017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553"/>
    <w:pPr>
      <w:spacing w:after="0" w:line="240" w:lineRule="auto"/>
    </w:pPr>
  </w:style>
  <w:style w:type="paragraph" w:styleId="Header">
    <w:name w:val="header"/>
    <w:basedOn w:val="Normal"/>
    <w:link w:val="HeaderChar"/>
    <w:uiPriority w:val="99"/>
    <w:unhideWhenUsed/>
    <w:rsid w:val="00172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944"/>
  </w:style>
  <w:style w:type="paragraph" w:styleId="Footer">
    <w:name w:val="footer"/>
    <w:basedOn w:val="Normal"/>
    <w:link w:val="FooterChar"/>
    <w:uiPriority w:val="99"/>
    <w:unhideWhenUsed/>
    <w:rsid w:val="00172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944"/>
  </w:style>
  <w:style w:type="paragraph" w:styleId="BalloonText">
    <w:name w:val="Balloon Text"/>
    <w:basedOn w:val="Normal"/>
    <w:link w:val="BalloonTextChar"/>
    <w:uiPriority w:val="99"/>
    <w:semiHidden/>
    <w:unhideWhenUsed/>
    <w:rsid w:val="0017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2012-05-09T11:00:00Z</cp:lastPrinted>
  <dcterms:created xsi:type="dcterms:W3CDTF">2012-05-31T08:26:00Z</dcterms:created>
  <dcterms:modified xsi:type="dcterms:W3CDTF">2012-05-31T08:26:00Z</dcterms:modified>
</cp:coreProperties>
</file>