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proofErr w:type="gramStart"/>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w:t>
      </w:r>
      <w:proofErr w:type="gramEnd"/>
      <w:r w:rsidRPr="00A70728">
        <w:rPr>
          <w:rFonts w:ascii="Tahoma" w:hAnsi="Tahoma" w:cs="Tahoma"/>
          <w:b/>
          <w:sz w:val="24"/>
          <w:szCs w:val="24"/>
        </w:rPr>
        <w:t xml:space="preserve"> LC/H/</w:t>
      </w:r>
      <w:r w:rsidR="00176651">
        <w:rPr>
          <w:rFonts w:ascii="Tahoma" w:hAnsi="Tahoma" w:cs="Tahoma"/>
          <w:b/>
          <w:sz w:val="24"/>
          <w:szCs w:val="24"/>
        </w:rPr>
        <w:t>616</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176651">
        <w:rPr>
          <w:rFonts w:ascii="Tahoma" w:hAnsi="Tahoma" w:cs="Tahoma"/>
          <w:b/>
          <w:sz w:val="24"/>
          <w:szCs w:val="24"/>
        </w:rPr>
        <w:t>12</w:t>
      </w:r>
      <w:r w:rsidR="008160DC" w:rsidRPr="008160DC">
        <w:rPr>
          <w:rFonts w:ascii="Tahoma" w:hAnsi="Tahoma" w:cs="Tahoma"/>
          <w:b/>
          <w:sz w:val="24"/>
          <w:szCs w:val="24"/>
          <w:vertAlign w:val="superscript"/>
        </w:rPr>
        <w:t>TH</w:t>
      </w:r>
      <w:r w:rsidR="00250097">
        <w:rPr>
          <w:rFonts w:ascii="Tahoma" w:hAnsi="Tahoma" w:cs="Tahoma"/>
          <w:b/>
          <w:sz w:val="24"/>
          <w:szCs w:val="24"/>
        </w:rPr>
        <w:t xml:space="preserve"> </w:t>
      </w:r>
      <w:r w:rsidR="00176651">
        <w:rPr>
          <w:rFonts w:ascii="Tahoma" w:hAnsi="Tahoma" w:cs="Tahoma"/>
          <w:b/>
          <w:sz w:val="24"/>
          <w:szCs w:val="24"/>
        </w:rPr>
        <w:t>SEPTEMBER</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176651">
        <w:rPr>
          <w:rFonts w:ascii="Tahoma" w:hAnsi="Tahoma" w:cs="Tahoma"/>
          <w:b/>
          <w:sz w:val="24"/>
          <w:szCs w:val="24"/>
        </w:rPr>
        <w:t>913</w:t>
      </w:r>
      <w:r w:rsidR="00A70728" w:rsidRPr="00A70728">
        <w:rPr>
          <w:rFonts w:ascii="Tahoma" w:hAnsi="Tahoma" w:cs="Tahoma"/>
          <w:b/>
          <w:sz w:val="24"/>
          <w:szCs w:val="24"/>
        </w:rPr>
        <w:t>/</w:t>
      </w:r>
      <w:r w:rsidR="00176651">
        <w:rPr>
          <w:rFonts w:ascii="Tahoma" w:hAnsi="Tahoma" w:cs="Tahoma"/>
          <w:b/>
          <w:sz w:val="24"/>
          <w:szCs w:val="24"/>
        </w:rPr>
        <w:t>15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8160DC">
        <w:rPr>
          <w:rFonts w:ascii="Tahoma" w:hAnsi="Tahoma" w:cs="Tahoma"/>
          <w:b/>
          <w:sz w:val="24"/>
          <w:szCs w:val="24"/>
        </w:rPr>
        <w:t>7</w:t>
      </w:r>
      <w:r w:rsidR="008160DC" w:rsidRPr="008160DC">
        <w:rPr>
          <w:rFonts w:ascii="Tahoma" w:hAnsi="Tahoma" w:cs="Tahoma"/>
          <w:b/>
          <w:sz w:val="24"/>
          <w:szCs w:val="24"/>
          <w:vertAlign w:val="superscript"/>
        </w:rPr>
        <w:t>TH</w:t>
      </w:r>
      <w:r w:rsidR="008160DC">
        <w:rPr>
          <w:rFonts w:ascii="Tahoma" w:hAnsi="Tahoma" w:cs="Tahoma"/>
          <w:b/>
          <w:sz w:val="24"/>
          <w:szCs w:val="24"/>
        </w:rPr>
        <w:t xml:space="preserve"> OCTOBER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17665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176651">
      <w:pPr>
        <w:spacing w:after="0" w:line="240" w:lineRule="auto"/>
        <w:rPr>
          <w:rFonts w:ascii="Tahoma" w:hAnsi="Tahoma" w:cs="Tahoma"/>
          <w:sz w:val="25"/>
          <w:szCs w:val="25"/>
        </w:rPr>
      </w:pPr>
    </w:p>
    <w:p w:rsidR="0011530D" w:rsidRDefault="0011530D"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2620CB" w:rsidP="00772D5C">
      <w:pPr>
        <w:spacing w:after="0" w:line="360" w:lineRule="auto"/>
        <w:rPr>
          <w:rFonts w:ascii="Tahoma" w:hAnsi="Tahoma" w:cs="Tahoma"/>
          <w:b/>
          <w:sz w:val="25"/>
          <w:szCs w:val="25"/>
        </w:rPr>
      </w:pPr>
      <w:r>
        <w:rPr>
          <w:rFonts w:ascii="Tahoma" w:hAnsi="Tahoma" w:cs="Tahoma"/>
          <w:b/>
          <w:sz w:val="25"/>
          <w:szCs w:val="25"/>
        </w:rPr>
        <w:t>HAPPY PRIMARY SCHOOL</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2620CB" w:rsidP="00743501">
      <w:pPr>
        <w:spacing w:after="0" w:line="240" w:lineRule="auto"/>
        <w:rPr>
          <w:rFonts w:ascii="Tahoma" w:hAnsi="Tahoma" w:cs="Tahoma"/>
          <w:b/>
          <w:sz w:val="25"/>
          <w:szCs w:val="25"/>
        </w:rPr>
      </w:pPr>
      <w:r>
        <w:rPr>
          <w:rFonts w:ascii="Tahoma" w:hAnsi="Tahoma" w:cs="Tahoma"/>
          <w:b/>
          <w:sz w:val="25"/>
          <w:szCs w:val="25"/>
        </w:rPr>
        <w:t>TENDAI MASHEKETE</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2620CB">
        <w:rPr>
          <w:rFonts w:ascii="Tahoma" w:hAnsi="Tahoma" w:cs="Tahoma"/>
          <w:b/>
          <w:sz w:val="25"/>
          <w:szCs w:val="25"/>
        </w:rPr>
        <w:t xml:space="preserve">N. </w:t>
      </w:r>
      <w:proofErr w:type="spellStart"/>
      <w:r w:rsidR="002620CB">
        <w:rPr>
          <w:rFonts w:ascii="Tahoma" w:hAnsi="Tahoma" w:cs="Tahoma"/>
          <w:b/>
          <w:sz w:val="25"/>
          <w:szCs w:val="25"/>
        </w:rPr>
        <w:t>Chikowore</w:t>
      </w:r>
      <w:proofErr w:type="spellEnd"/>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B3048B" w:rsidP="00652B98">
      <w:pPr>
        <w:tabs>
          <w:tab w:val="left" w:pos="2160"/>
        </w:tabs>
        <w:spacing w:after="0" w:line="240" w:lineRule="auto"/>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2620CB">
        <w:rPr>
          <w:rFonts w:ascii="Tahoma" w:hAnsi="Tahoma" w:cs="Tahoma"/>
          <w:b/>
          <w:sz w:val="25"/>
          <w:szCs w:val="25"/>
        </w:rPr>
        <w:t xml:space="preserve">F. </w:t>
      </w:r>
      <w:proofErr w:type="spellStart"/>
      <w:r w:rsidR="002620CB">
        <w:rPr>
          <w:rFonts w:ascii="Tahoma" w:hAnsi="Tahoma" w:cs="Tahoma"/>
          <w:b/>
          <w:sz w:val="25"/>
          <w:szCs w:val="25"/>
        </w:rPr>
        <w:t>Mupezeni</w:t>
      </w:r>
      <w:proofErr w:type="spellEnd"/>
      <w:r w:rsidR="00772D5C">
        <w:rPr>
          <w:rFonts w:ascii="Tahoma" w:hAnsi="Tahoma" w:cs="Tahoma"/>
          <w:b/>
          <w:sz w:val="25"/>
          <w:szCs w:val="25"/>
        </w:rPr>
        <w:t xml:space="preserve"> (</w:t>
      </w:r>
      <w:r w:rsidR="002620CB">
        <w:rPr>
          <w:rFonts w:ascii="Tahoma" w:hAnsi="Tahoma" w:cs="Tahoma"/>
          <w:b/>
          <w:sz w:val="25"/>
          <w:szCs w:val="25"/>
        </w:rPr>
        <w:t>Organising Secretary ZFTU)</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2620CB"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2620CB">
        <w:rPr>
          <w:rFonts w:ascii="Tahoma" w:hAnsi="Tahoma" w:cs="Tahoma"/>
          <w:sz w:val="25"/>
          <w:szCs w:val="25"/>
        </w:rPr>
        <w:t xml:space="preserve">At the hearing of this appeal, Appellant’s legal practitioner raised two points </w:t>
      </w:r>
      <w:r w:rsidR="002620CB" w:rsidRPr="002620CB">
        <w:rPr>
          <w:rFonts w:ascii="Tahoma" w:hAnsi="Tahoma" w:cs="Tahoma"/>
          <w:i/>
          <w:sz w:val="25"/>
          <w:szCs w:val="25"/>
        </w:rPr>
        <w:t xml:space="preserve">in </w:t>
      </w:r>
      <w:proofErr w:type="spellStart"/>
      <w:r w:rsidR="002620CB" w:rsidRPr="002620CB">
        <w:rPr>
          <w:rFonts w:ascii="Tahoma" w:hAnsi="Tahoma" w:cs="Tahoma"/>
          <w:i/>
          <w:sz w:val="25"/>
          <w:szCs w:val="25"/>
        </w:rPr>
        <w:t>limine</w:t>
      </w:r>
      <w:proofErr w:type="spellEnd"/>
      <w:r w:rsidR="002620CB">
        <w:rPr>
          <w:rFonts w:ascii="Tahoma" w:hAnsi="Tahoma" w:cs="Tahoma"/>
          <w:sz w:val="25"/>
          <w:szCs w:val="25"/>
        </w:rPr>
        <w:t>.  These were that:</w:t>
      </w:r>
    </w:p>
    <w:p w:rsidR="009E7D2A" w:rsidRDefault="009E7D2A" w:rsidP="00A42E04">
      <w:pPr>
        <w:spacing w:after="0" w:line="360" w:lineRule="auto"/>
        <w:jc w:val="both"/>
        <w:rPr>
          <w:rFonts w:ascii="Tahoma" w:hAnsi="Tahoma" w:cs="Tahoma"/>
          <w:sz w:val="25"/>
          <w:szCs w:val="25"/>
        </w:rPr>
      </w:pPr>
    </w:p>
    <w:p w:rsidR="002620CB" w:rsidRDefault="002620CB" w:rsidP="002620CB">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Respondent’s notice of response is improperly before the Court as it was filed out of time. </w:t>
      </w:r>
    </w:p>
    <w:p w:rsidR="002620CB" w:rsidRPr="002620CB" w:rsidRDefault="002620CB" w:rsidP="002620CB">
      <w:pPr>
        <w:spacing w:after="0" w:line="360" w:lineRule="auto"/>
        <w:jc w:val="both"/>
        <w:rPr>
          <w:rFonts w:ascii="Tahoma" w:hAnsi="Tahoma" w:cs="Tahoma"/>
          <w:sz w:val="25"/>
          <w:szCs w:val="25"/>
        </w:rPr>
      </w:pPr>
      <w:proofErr w:type="gramStart"/>
      <w:r>
        <w:rPr>
          <w:rFonts w:ascii="Tahoma" w:hAnsi="Tahoma" w:cs="Tahoma"/>
          <w:sz w:val="25"/>
          <w:szCs w:val="25"/>
        </w:rPr>
        <w:t>and</w:t>
      </w:r>
      <w:proofErr w:type="gramEnd"/>
    </w:p>
    <w:p w:rsidR="002620CB" w:rsidRDefault="002620CB" w:rsidP="002620CB">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Respondent’s document titled Respondent’s replication submissions filed in this Court is a process not provided in the Court’s Rules and must be struck out. </w:t>
      </w:r>
    </w:p>
    <w:p w:rsidR="002620CB" w:rsidRPr="002620CB" w:rsidRDefault="002620CB" w:rsidP="002620CB">
      <w:pPr>
        <w:pStyle w:val="ListParagraph"/>
        <w:spacing w:after="0" w:line="360" w:lineRule="auto"/>
        <w:ind w:left="1080"/>
        <w:jc w:val="both"/>
        <w:rPr>
          <w:rFonts w:ascii="Tahoma" w:hAnsi="Tahoma" w:cs="Tahoma"/>
          <w:sz w:val="25"/>
          <w:szCs w:val="25"/>
        </w:rPr>
      </w:pPr>
    </w:p>
    <w:p w:rsidR="00A42E04" w:rsidRDefault="009E7D2A" w:rsidP="00E304B8">
      <w:pPr>
        <w:spacing w:after="0" w:line="360" w:lineRule="auto"/>
        <w:jc w:val="both"/>
        <w:rPr>
          <w:rFonts w:ascii="Tahoma" w:hAnsi="Tahoma" w:cs="Tahoma"/>
          <w:sz w:val="25"/>
          <w:szCs w:val="25"/>
        </w:rPr>
      </w:pPr>
      <w:r>
        <w:rPr>
          <w:rFonts w:ascii="Tahoma" w:hAnsi="Tahoma" w:cs="Tahoma"/>
          <w:sz w:val="25"/>
          <w:szCs w:val="25"/>
        </w:rPr>
        <w:tab/>
      </w:r>
      <w:r w:rsidR="002620CB">
        <w:rPr>
          <w:rFonts w:ascii="Tahoma" w:hAnsi="Tahoma" w:cs="Tahoma"/>
          <w:sz w:val="25"/>
          <w:szCs w:val="25"/>
        </w:rPr>
        <w:t>It was Appellant’s submission that the notice of appeal was filed and served on the Respondent on the 15</w:t>
      </w:r>
      <w:r w:rsidR="002620CB" w:rsidRPr="002620CB">
        <w:rPr>
          <w:rFonts w:ascii="Tahoma" w:hAnsi="Tahoma" w:cs="Tahoma"/>
          <w:sz w:val="25"/>
          <w:szCs w:val="25"/>
          <w:vertAlign w:val="superscript"/>
        </w:rPr>
        <w:t>th</w:t>
      </w:r>
      <w:r w:rsidR="002620CB">
        <w:rPr>
          <w:rFonts w:ascii="Tahoma" w:hAnsi="Tahoma" w:cs="Tahoma"/>
          <w:sz w:val="25"/>
          <w:szCs w:val="25"/>
        </w:rPr>
        <w:t xml:space="preserve"> October, 2015.  Respondent was required, in terms of the Rules to file his response within 14 days</w:t>
      </w:r>
      <w:r w:rsidR="00471019">
        <w:rPr>
          <w:rFonts w:ascii="Tahoma" w:hAnsi="Tahoma" w:cs="Tahoma"/>
          <w:sz w:val="25"/>
          <w:szCs w:val="25"/>
        </w:rPr>
        <w:t xml:space="preserve"> to wit by the 4</w:t>
      </w:r>
      <w:r w:rsidR="00471019" w:rsidRPr="00471019">
        <w:rPr>
          <w:rFonts w:ascii="Tahoma" w:hAnsi="Tahoma" w:cs="Tahoma"/>
          <w:sz w:val="25"/>
          <w:szCs w:val="25"/>
          <w:vertAlign w:val="superscript"/>
        </w:rPr>
        <w:t>th</w:t>
      </w:r>
      <w:r w:rsidR="00471019">
        <w:rPr>
          <w:rFonts w:ascii="Tahoma" w:hAnsi="Tahoma" w:cs="Tahoma"/>
          <w:sz w:val="25"/>
          <w:szCs w:val="25"/>
        </w:rPr>
        <w:t xml:space="preserve"> </w:t>
      </w:r>
      <w:r w:rsidR="00471019">
        <w:rPr>
          <w:rFonts w:ascii="Tahoma" w:hAnsi="Tahoma" w:cs="Tahoma"/>
          <w:sz w:val="25"/>
          <w:szCs w:val="25"/>
        </w:rPr>
        <w:lastRenderedPageBreak/>
        <w:t>November, 2015.  Respondent filed his response on the 6</w:t>
      </w:r>
      <w:r w:rsidR="00471019" w:rsidRPr="00471019">
        <w:rPr>
          <w:rFonts w:ascii="Tahoma" w:hAnsi="Tahoma" w:cs="Tahoma"/>
          <w:sz w:val="25"/>
          <w:szCs w:val="25"/>
          <w:vertAlign w:val="superscript"/>
        </w:rPr>
        <w:t>th</w:t>
      </w:r>
      <w:r w:rsidR="00471019">
        <w:rPr>
          <w:rFonts w:ascii="Tahoma" w:hAnsi="Tahoma" w:cs="Tahoma"/>
          <w:sz w:val="25"/>
          <w:szCs w:val="25"/>
        </w:rPr>
        <w:t xml:space="preserve"> November, 2015 i.e. 2 days out of time.</w:t>
      </w:r>
    </w:p>
    <w:p w:rsidR="00471019" w:rsidRDefault="00471019" w:rsidP="00E304B8">
      <w:pPr>
        <w:spacing w:after="0" w:line="360" w:lineRule="auto"/>
        <w:jc w:val="both"/>
        <w:rPr>
          <w:rFonts w:ascii="Tahoma" w:hAnsi="Tahoma" w:cs="Tahoma"/>
          <w:sz w:val="25"/>
          <w:szCs w:val="25"/>
        </w:rPr>
      </w:pPr>
    </w:p>
    <w:p w:rsidR="00471019" w:rsidRDefault="00471019" w:rsidP="00471019">
      <w:pPr>
        <w:spacing w:after="0" w:line="360" w:lineRule="auto"/>
        <w:ind w:firstLine="720"/>
        <w:jc w:val="both"/>
        <w:rPr>
          <w:rFonts w:ascii="Tahoma" w:hAnsi="Tahoma" w:cs="Tahoma"/>
          <w:sz w:val="25"/>
          <w:szCs w:val="25"/>
        </w:rPr>
      </w:pPr>
      <w:r>
        <w:rPr>
          <w:rFonts w:ascii="Tahoma" w:hAnsi="Tahoma" w:cs="Tahoma"/>
          <w:sz w:val="25"/>
          <w:szCs w:val="25"/>
        </w:rPr>
        <w:t xml:space="preserve">Respondent did not apply for </w:t>
      </w:r>
      <w:proofErr w:type="spellStart"/>
      <w:r>
        <w:rPr>
          <w:rFonts w:ascii="Tahoma" w:hAnsi="Tahoma" w:cs="Tahoma"/>
          <w:sz w:val="25"/>
          <w:szCs w:val="25"/>
        </w:rPr>
        <w:t>condonation</w:t>
      </w:r>
      <w:proofErr w:type="spellEnd"/>
      <w:r>
        <w:rPr>
          <w:rFonts w:ascii="Tahoma" w:hAnsi="Tahoma" w:cs="Tahoma"/>
          <w:sz w:val="25"/>
          <w:szCs w:val="25"/>
        </w:rPr>
        <w:t xml:space="preserve"> of late filing of the response neither did he give an explanation for the late filing.  </w:t>
      </w:r>
    </w:p>
    <w:p w:rsidR="00471019" w:rsidRDefault="00471019" w:rsidP="00471019">
      <w:pPr>
        <w:spacing w:after="0" w:line="360" w:lineRule="auto"/>
        <w:ind w:firstLine="720"/>
        <w:jc w:val="both"/>
        <w:rPr>
          <w:rFonts w:ascii="Tahoma" w:hAnsi="Tahoma" w:cs="Tahoma"/>
          <w:sz w:val="25"/>
          <w:szCs w:val="25"/>
        </w:rPr>
      </w:pPr>
    </w:p>
    <w:p w:rsidR="00471019" w:rsidRDefault="00471019" w:rsidP="00471019">
      <w:pPr>
        <w:spacing w:after="0" w:line="360" w:lineRule="auto"/>
        <w:ind w:firstLine="720"/>
        <w:jc w:val="both"/>
        <w:rPr>
          <w:rFonts w:ascii="Tahoma" w:hAnsi="Tahoma" w:cs="Tahoma"/>
          <w:sz w:val="25"/>
          <w:szCs w:val="25"/>
        </w:rPr>
      </w:pPr>
      <w:r>
        <w:rPr>
          <w:rFonts w:ascii="Tahoma" w:hAnsi="Tahoma" w:cs="Tahoma"/>
          <w:sz w:val="25"/>
          <w:szCs w:val="25"/>
        </w:rPr>
        <w:t>As regards the second point, it was Appellant’s submission that, it filed its heads of argument on the 30</w:t>
      </w:r>
      <w:r w:rsidRPr="00471019">
        <w:rPr>
          <w:rFonts w:ascii="Tahoma" w:hAnsi="Tahoma" w:cs="Tahoma"/>
          <w:sz w:val="25"/>
          <w:szCs w:val="25"/>
          <w:vertAlign w:val="superscript"/>
        </w:rPr>
        <w:t>th</w:t>
      </w:r>
      <w:r>
        <w:rPr>
          <w:rFonts w:ascii="Tahoma" w:hAnsi="Tahoma" w:cs="Tahoma"/>
          <w:sz w:val="25"/>
          <w:szCs w:val="25"/>
        </w:rPr>
        <w:t xml:space="preserve"> November, 2015 and Respondent filed his process headed Respondent’s Replication Submissions on the 1</w:t>
      </w:r>
      <w:r w:rsidRPr="00471019">
        <w:rPr>
          <w:rFonts w:ascii="Tahoma" w:hAnsi="Tahoma" w:cs="Tahoma"/>
          <w:sz w:val="25"/>
          <w:szCs w:val="25"/>
          <w:vertAlign w:val="superscript"/>
        </w:rPr>
        <w:t>st</w:t>
      </w:r>
      <w:r>
        <w:rPr>
          <w:rFonts w:ascii="Tahoma" w:hAnsi="Tahoma" w:cs="Tahoma"/>
          <w:sz w:val="25"/>
          <w:szCs w:val="25"/>
        </w:rPr>
        <w:t xml:space="preserve"> February, 2016 i.e. some 2 months later.  The Rules prescribe when such process must be filed.  In terms of the Rules, the only process to be filed after the Appellant’s heads of argument is Respondent’s heads of argument.  If any supplementary process is to be filed it has to be filed with leave of the Court.</w:t>
      </w:r>
    </w:p>
    <w:p w:rsidR="00471019" w:rsidRDefault="00471019" w:rsidP="00471019">
      <w:pPr>
        <w:spacing w:after="0" w:line="360" w:lineRule="auto"/>
        <w:ind w:firstLine="720"/>
        <w:jc w:val="both"/>
        <w:rPr>
          <w:rFonts w:ascii="Tahoma" w:hAnsi="Tahoma" w:cs="Tahoma"/>
          <w:sz w:val="25"/>
          <w:szCs w:val="25"/>
        </w:rPr>
      </w:pPr>
    </w:p>
    <w:p w:rsidR="00471019" w:rsidRDefault="00471019" w:rsidP="00471019">
      <w:pPr>
        <w:spacing w:after="0" w:line="360" w:lineRule="auto"/>
        <w:ind w:firstLine="720"/>
        <w:jc w:val="both"/>
        <w:rPr>
          <w:rFonts w:ascii="Tahoma" w:hAnsi="Tahoma" w:cs="Tahoma"/>
          <w:sz w:val="25"/>
          <w:szCs w:val="25"/>
        </w:rPr>
      </w:pPr>
      <w:r>
        <w:rPr>
          <w:rFonts w:ascii="Tahoma" w:hAnsi="Tahoma" w:cs="Tahoma"/>
          <w:sz w:val="25"/>
          <w:szCs w:val="25"/>
        </w:rPr>
        <w:t xml:space="preserve">The process field by Respondent is not heads of argument, was filed after 2 months without leave of the Court and is therefore improperly before the Court. </w:t>
      </w:r>
    </w:p>
    <w:p w:rsidR="00471019" w:rsidRDefault="00471019" w:rsidP="00471019">
      <w:pPr>
        <w:spacing w:after="0" w:line="360" w:lineRule="auto"/>
        <w:ind w:firstLine="720"/>
        <w:jc w:val="both"/>
        <w:rPr>
          <w:rFonts w:ascii="Tahoma" w:hAnsi="Tahoma" w:cs="Tahoma"/>
          <w:sz w:val="25"/>
          <w:szCs w:val="25"/>
        </w:rPr>
      </w:pPr>
    </w:p>
    <w:p w:rsidR="00471019" w:rsidRDefault="00471019" w:rsidP="00471019">
      <w:pPr>
        <w:spacing w:after="0" w:line="360" w:lineRule="auto"/>
        <w:ind w:firstLine="720"/>
        <w:jc w:val="both"/>
        <w:rPr>
          <w:rFonts w:ascii="Tahoma" w:hAnsi="Tahoma" w:cs="Tahoma"/>
          <w:sz w:val="25"/>
          <w:szCs w:val="25"/>
        </w:rPr>
      </w:pPr>
      <w:r>
        <w:rPr>
          <w:rFonts w:ascii="Tahoma" w:hAnsi="Tahoma" w:cs="Tahoma"/>
          <w:sz w:val="25"/>
          <w:szCs w:val="25"/>
        </w:rPr>
        <w:t xml:space="preserve">Respondent’s representative conceded that indeed both the notice of response and the process were filed </w:t>
      </w:r>
      <w:r w:rsidR="007D48A5">
        <w:rPr>
          <w:rFonts w:ascii="Tahoma" w:hAnsi="Tahoma" w:cs="Tahoma"/>
          <w:sz w:val="25"/>
          <w:szCs w:val="25"/>
        </w:rPr>
        <w:t>out of time.  The explanation for the late filing of the response was that the Respondent was of the view that the 6</w:t>
      </w:r>
      <w:r w:rsidR="007D48A5" w:rsidRPr="007D48A5">
        <w:rPr>
          <w:rFonts w:ascii="Tahoma" w:hAnsi="Tahoma" w:cs="Tahoma"/>
          <w:sz w:val="25"/>
          <w:szCs w:val="25"/>
          <w:vertAlign w:val="superscript"/>
        </w:rPr>
        <w:t>th</w:t>
      </w:r>
      <w:r w:rsidR="007D48A5">
        <w:rPr>
          <w:rFonts w:ascii="Tahoma" w:hAnsi="Tahoma" w:cs="Tahoma"/>
          <w:sz w:val="25"/>
          <w:szCs w:val="25"/>
        </w:rPr>
        <w:t xml:space="preserve"> was the 14</w:t>
      </w:r>
      <w:r w:rsidR="007D48A5" w:rsidRPr="007D48A5">
        <w:rPr>
          <w:rFonts w:ascii="Tahoma" w:hAnsi="Tahoma" w:cs="Tahoma"/>
          <w:sz w:val="25"/>
          <w:szCs w:val="25"/>
          <w:vertAlign w:val="superscript"/>
        </w:rPr>
        <w:t>th</w:t>
      </w:r>
      <w:r w:rsidR="007D48A5">
        <w:rPr>
          <w:rFonts w:ascii="Tahoma" w:hAnsi="Tahoma" w:cs="Tahoma"/>
          <w:sz w:val="25"/>
          <w:szCs w:val="25"/>
        </w:rPr>
        <w:t xml:space="preserve"> day and he diarized the date of filing as the 6</w:t>
      </w:r>
      <w:r w:rsidR="007D48A5" w:rsidRPr="007D48A5">
        <w:rPr>
          <w:rFonts w:ascii="Tahoma" w:hAnsi="Tahoma" w:cs="Tahoma"/>
          <w:sz w:val="25"/>
          <w:szCs w:val="25"/>
          <w:vertAlign w:val="superscript"/>
        </w:rPr>
        <w:t>th</w:t>
      </w:r>
      <w:r w:rsidR="007D48A5">
        <w:rPr>
          <w:rFonts w:ascii="Tahoma" w:hAnsi="Tahoma" w:cs="Tahoma"/>
          <w:sz w:val="25"/>
          <w:szCs w:val="25"/>
        </w:rPr>
        <w:t xml:space="preserve">.  He only became aware of his mistake in Court when Appellant’s Legal Practitioner raised it as an issue.  He was however opposed to the granting of a default judgment on the basis that Appellant had responded to through Heads of Argument. </w:t>
      </w:r>
    </w:p>
    <w:p w:rsidR="007D48A5" w:rsidRDefault="007D48A5" w:rsidP="00471019">
      <w:pPr>
        <w:spacing w:after="0" w:line="360" w:lineRule="auto"/>
        <w:ind w:firstLine="720"/>
        <w:jc w:val="both"/>
        <w:rPr>
          <w:rFonts w:ascii="Tahoma" w:hAnsi="Tahoma" w:cs="Tahoma"/>
          <w:sz w:val="25"/>
          <w:szCs w:val="25"/>
        </w:rPr>
      </w:pPr>
    </w:p>
    <w:p w:rsidR="007D48A5" w:rsidRDefault="007D48A5" w:rsidP="00471019">
      <w:pPr>
        <w:spacing w:after="0" w:line="360" w:lineRule="auto"/>
        <w:ind w:firstLine="720"/>
        <w:jc w:val="both"/>
        <w:rPr>
          <w:rFonts w:ascii="Tahoma" w:hAnsi="Tahoma" w:cs="Tahoma"/>
          <w:sz w:val="25"/>
          <w:szCs w:val="25"/>
        </w:rPr>
      </w:pPr>
      <w:r>
        <w:rPr>
          <w:rFonts w:ascii="Tahoma" w:hAnsi="Tahoma" w:cs="Tahoma"/>
          <w:sz w:val="25"/>
          <w:szCs w:val="25"/>
        </w:rPr>
        <w:t>As regards the 2</w:t>
      </w:r>
      <w:r w:rsidRPr="007D48A5">
        <w:rPr>
          <w:rFonts w:ascii="Tahoma" w:hAnsi="Tahoma" w:cs="Tahoma"/>
          <w:sz w:val="25"/>
          <w:szCs w:val="25"/>
          <w:vertAlign w:val="superscript"/>
        </w:rPr>
        <w:t>nd</w:t>
      </w:r>
      <w:r>
        <w:rPr>
          <w:rFonts w:ascii="Tahoma" w:hAnsi="Tahoma" w:cs="Tahoma"/>
          <w:sz w:val="25"/>
          <w:szCs w:val="25"/>
        </w:rPr>
        <w:t xml:space="preserve"> point, Respondent submitted that the document, are Heads of Argument. </w:t>
      </w:r>
    </w:p>
    <w:p w:rsidR="007D48A5" w:rsidRDefault="007D48A5" w:rsidP="00471019">
      <w:pPr>
        <w:spacing w:after="0" w:line="360" w:lineRule="auto"/>
        <w:ind w:firstLine="720"/>
        <w:jc w:val="both"/>
        <w:rPr>
          <w:rFonts w:ascii="Tahoma" w:hAnsi="Tahoma" w:cs="Tahoma"/>
          <w:sz w:val="25"/>
          <w:szCs w:val="25"/>
        </w:rPr>
      </w:pPr>
    </w:p>
    <w:p w:rsidR="007D48A5" w:rsidRDefault="007D48A5" w:rsidP="007D48A5">
      <w:pPr>
        <w:spacing w:after="0" w:line="360" w:lineRule="auto"/>
        <w:ind w:firstLine="720"/>
        <w:jc w:val="both"/>
        <w:rPr>
          <w:rFonts w:ascii="Tahoma" w:hAnsi="Tahoma" w:cs="Tahoma"/>
          <w:sz w:val="25"/>
          <w:szCs w:val="25"/>
        </w:rPr>
      </w:pPr>
      <w:r>
        <w:rPr>
          <w:rFonts w:ascii="Tahoma" w:hAnsi="Tahoma" w:cs="Tahoma"/>
          <w:sz w:val="25"/>
          <w:szCs w:val="25"/>
        </w:rPr>
        <w:t>In terms of Rule 22 of this Court’s Rules Statutory Instrument 59 of 2006 (THE RULES) where a Pa</w:t>
      </w:r>
      <w:r w:rsidR="008B30B3">
        <w:rPr>
          <w:rFonts w:ascii="Tahoma" w:hAnsi="Tahoma" w:cs="Tahoma"/>
          <w:sz w:val="25"/>
          <w:szCs w:val="25"/>
        </w:rPr>
        <w:t>r</w:t>
      </w:r>
      <w:r>
        <w:rPr>
          <w:rFonts w:ascii="Tahoma" w:hAnsi="Tahoma" w:cs="Tahoma"/>
          <w:sz w:val="25"/>
          <w:szCs w:val="25"/>
        </w:rPr>
        <w:t xml:space="preserve">ty fails to file a notice of response within the time frame (14 days) stipulated in the Rules, appears on the day of the hearing and shows good cause, why he did not file the response, the Court has a discretion to either postpone the matter to enable the filing of the response, or proceed to determine the matter. </w:t>
      </w:r>
    </w:p>
    <w:p w:rsidR="007D48A5" w:rsidRDefault="007D48A5" w:rsidP="007D48A5">
      <w:pPr>
        <w:spacing w:after="0" w:line="360" w:lineRule="auto"/>
        <w:ind w:firstLine="720"/>
        <w:jc w:val="both"/>
        <w:rPr>
          <w:rFonts w:ascii="Tahoma" w:hAnsi="Tahoma" w:cs="Tahoma"/>
          <w:sz w:val="25"/>
          <w:szCs w:val="25"/>
        </w:rPr>
      </w:pPr>
    </w:p>
    <w:p w:rsidR="007D48A5" w:rsidRDefault="007D48A5" w:rsidP="007D48A5">
      <w:pPr>
        <w:spacing w:after="0" w:line="360" w:lineRule="auto"/>
        <w:ind w:firstLine="720"/>
        <w:jc w:val="both"/>
        <w:rPr>
          <w:rFonts w:ascii="Tahoma" w:hAnsi="Tahoma" w:cs="Tahoma"/>
          <w:sz w:val="25"/>
          <w:szCs w:val="25"/>
        </w:rPr>
      </w:pPr>
      <w:r>
        <w:rPr>
          <w:rFonts w:ascii="Tahoma" w:hAnsi="Tahoma" w:cs="Tahoma"/>
          <w:sz w:val="25"/>
          <w:szCs w:val="25"/>
        </w:rPr>
        <w:t xml:space="preserve">Where the Party does not appear or show good cause for his failure, the Court may either enter default judgment or proceed to determine the matter. </w:t>
      </w:r>
    </w:p>
    <w:p w:rsidR="007D48A5" w:rsidRDefault="007D48A5" w:rsidP="007D48A5">
      <w:pPr>
        <w:spacing w:after="0" w:line="360" w:lineRule="auto"/>
        <w:ind w:firstLine="720"/>
        <w:jc w:val="both"/>
        <w:rPr>
          <w:rFonts w:ascii="Tahoma" w:hAnsi="Tahoma" w:cs="Tahoma"/>
          <w:sz w:val="25"/>
          <w:szCs w:val="25"/>
        </w:rPr>
      </w:pPr>
    </w:p>
    <w:p w:rsidR="007D48A5" w:rsidRDefault="007D48A5" w:rsidP="007D48A5">
      <w:pPr>
        <w:spacing w:after="0" w:line="360" w:lineRule="auto"/>
        <w:ind w:firstLine="720"/>
        <w:jc w:val="both"/>
        <w:rPr>
          <w:rFonts w:ascii="Tahoma" w:hAnsi="Tahoma" w:cs="Tahoma"/>
          <w:sz w:val="25"/>
          <w:szCs w:val="25"/>
        </w:rPr>
      </w:pPr>
      <w:r>
        <w:rPr>
          <w:rFonts w:ascii="Tahoma" w:hAnsi="Tahoma" w:cs="Tahoma"/>
          <w:sz w:val="25"/>
          <w:szCs w:val="25"/>
        </w:rPr>
        <w:t xml:space="preserve">In </w:t>
      </w:r>
      <w:proofErr w:type="spellStart"/>
      <w:r>
        <w:rPr>
          <w:rFonts w:ascii="Tahoma" w:hAnsi="Tahoma" w:cs="Tahoma"/>
          <w:sz w:val="25"/>
          <w:szCs w:val="25"/>
        </w:rPr>
        <w:t>casu</w:t>
      </w:r>
      <w:proofErr w:type="spellEnd"/>
      <w:r>
        <w:rPr>
          <w:rFonts w:ascii="Tahoma" w:hAnsi="Tahoma" w:cs="Tahoma"/>
          <w:sz w:val="25"/>
          <w:szCs w:val="25"/>
        </w:rPr>
        <w:t>, Respondent through his Union representative appeared for the hearing.  He gave an explanation why his response was filed out of time.</w:t>
      </w:r>
    </w:p>
    <w:p w:rsidR="007D48A5" w:rsidRDefault="007D48A5" w:rsidP="007D48A5">
      <w:pPr>
        <w:spacing w:after="0" w:line="360" w:lineRule="auto"/>
        <w:ind w:firstLine="720"/>
        <w:jc w:val="both"/>
        <w:rPr>
          <w:rFonts w:ascii="Tahoma" w:hAnsi="Tahoma" w:cs="Tahoma"/>
          <w:sz w:val="25"/>
          <w:szCs w:val="25"/>
        </w:rPr>
      </w:pPr>
    </w:p>
    <w:p w:rsidR="007D48A5" w:rsidRDefault="007D48A5" w:rsidP="007D48A5">
      <w:pPr>
        <w:spacing w:after="0" w:line="360" w:lineRule="auto"/>
        <w:ind w:firstLine="720"/>
        <w:jc w:val="both"/>
        <w:rPr>
          <w:rFonts w:ascii="Tahoma" w:hAnsi="Tahoma" w:cs="Tahoma"/>
          <w:sz w:val="25"/>
          <w:szCs w:val="25"/>
        </w:rPr>
      </w:pPr>
      <w:r>
        <w:rPr>
          <w:rFonts w:ascii="Tahoma" w:hAnsi="Tahoma" w:cs="Tahoma"/>
          <w:sz w:val="25"/>
          <w:szCs w:val="25"/>
        </w:rPr>
        <w:t>The response was out of time by about 2 days.  This, in my view is not an inordinate delay.  The ex</w:t>
      </w:r>
      <w:r w:rsidR="00E85FA3">
        <w:rPr>
          <w:rFonts w:ascii="Tahoma" w:hAnsi="Tahoma" w:cs="Tahoma"/>
          <w:sz w:val="25"/>
          <w:szCs w:val="25"/>
        </w:rPr>
        <w:t>planation given is in my view satisfactory.  I am satisfied that Respondent has shown good cause.  In terms of sub</w:t>
      </w:r>
      <w:r w:rsidR="008B30B3">
        <w:rPr>
          <w:rFonts w:ascii="Tahoma" w:hAnsi="Tahoma" w:cs="Tahoma"/>
          <w:sz w:val="25"/>
          <w:szCs w:val="25"/>
        </w:rPr>
        <w:t>-</w:t>
      </w:r>
      <w:r w:rsidR="00E85FA3">
        <w:rPr>
          <w:rFonts w:ascii="Tahoma" w:hAnsi="Tahoma" w:cs="Tahoma"/>
          <w:sz w:val="25"/>
          <w:szCs w:val="25"/>
        </w:rPr>
        <w:t>rule (a) subparagraph (ii) the Court will proceed to determine the ma</w:t>
      </w:r>
      <w:r w:rsidR="008B30B3">
        <w:rPr>
          <w:rFonts w:ascii="Tahoma" w:hAnsi="Tahoma" w:cs="Tahoma"/>
          <w:sz w:val="25"/>
          <w:szCs w:val="25"/>
        </w:rPr>
        <w:t>t</w:t>
      </w:r>
      <w:r w:rsidR="00E85FA3">
        <w:rPr>
          <w:rFonts w:ascii="Tahoma" w:hAnsi="Tahoma" w:cs="Tahoma"/>
          <w:sz w:val="25"/>
          <w:szCs w:val="25"/>
        </w:rPr>
        <w:t xml:space="preserve">ter. </w:t>
      </w:r>
    </w:p>
    <w:p w:rsidR="00E85FA3" w:rsidRDefault="00E85FA3" w:rsidP="007D48A5">
      <w:pPr>
        <w:spacing w:after="0" w:line="360" w:lineRule="auto"/>
        <w:ind w:firstLine="720"/>
        <w:jc w:val="both"/>
        <w:rPr>
          <w:rFonts w:ascii="Tahoma" w:hAnsi="Tahoma" w:cs="Tahoma"/>
          <w:sz w:val="25"/>
          <w:szCs w:val="25"/>
        </w:rPr>
      </w:pPr>
    </w:p>
    <w:p w:rsidR="00E85FA3" w:rsidRDefault="00E85FA3" w:rsidP="007D48A5">
      <w:pPr>
        <w:spacing w:after="0" w:line="360" w:lineRule="auto"/>
        <w:ind w:firstLine="720"/>
        <w:jc w:val="both"/>
        <w:rPr>
          <w:rFonts w:ascii="Tahoma" w:hAnsi="Tahoma" w:cs="Tahoma"/>
          <w:sz w:val="25"/>
          <w:szCs w:val="25"/>
        </w:rPr>
      </w:pPr>
      <w:r>
        <w:rPr>
          <w:rFonts w:ascii="Tahoma" w:hAnsi="Tahoma" w:cs="Tahoma"/>
          <w:sz w:val="25"/>
          <w:szCs w:val="25"/>
        </w:rPr>
        <w:t>As regards the 2</w:t>
      </w:r>
      <w:r w:rsidRPr="00E85FA3">
        <w:rPr>
          <w:rFonts w:ascii="Tahoma" w:hAnsi="Tahoma" w:cs="Tahoma"/>
          <w:sz w:val="25"/>
          <w:szCs w:val="25"/>
          <w:vertAlign w:val="superscript"/>
        </w:rPr>
        <w:t>nd</w:t>
      </w:r>
      <w:r>
        <w:rPr>
          <w:rFonts w:ascii="Tahoma" w:hAnsi="Tahoma" w:cs="Tahoma"/>
          <w:sz w:val="25"/>
          <w:szCs w:val="25"/>
        </w:rPr>
        <w:t xml:space="preserve"> point</w:t>
      </w:r>
      <w:r w:rsidR="008B30B3">
        <w:rPr>
          <w:rFonts w:ascii="Tahoma" w:hAnsi="Tahoma" w:cs="Tahoma"/>
          <w:sz w:val="25"/>
          <w:szCs w:val="25"/>
        </w:rPr>
        <w:t>,</w:t>
      </w:r>
      <w:r>
        <w:rPr>
          <w:rFonts w:ascii="Tahoma" w:hAnsi="Tahoma" w:cs="Tahoma"/>
          <w:sz w:val="25"/>
          <w:szCs w:val="25"/>
        </w:rPr>
        <w:t xml:space="preserve"> Respondent’s document in issue is titled, </w:t>
      </w:r>
      <w:r w:rsidRPr="00E85FA3">
        <w:rPr>
          <w:rFonts w:ascii="Tahoma" w:hAnsi="Tahoma" w:cs="Tahoma"/>
          <w:i/>
          <w:sz w:val="25"/>
          <w:szCs w:val="25"/>
        </w:rPr>
        <w:t>“RESPONDENT’S REPLICATION SUBMISSION”</w:t>
      </w:r>
      <w:r>
        <w:rPr>
          <w:rFonts w:ascii="Tahoma" w:hAnsi="Tahoma" w:cs="Tahoma"/>
          <w:i/>
          <w:sz w:val="25"/>
          <w:szCs w:val="25"/>
        </w:rPr>
        <w:t xml:space="preserve">.  </w:t>
      </w:r>
      <w:r>
        <w:rPr>
          <w:rFonts w:ascii="Tahoma" w:hAnsi="Tahoma" w:cs="Tahoma"/>
          <w:sz w:val="25"/>
          <w:szCs w:val="25"/>
        </w:rPr>
        <w:t>It was filed on the 1</w:t>
      </w:r>
      <w:r w:rsidRPr="00E85FA3">
        <w:rPr>
          <w:rFonts w:ascii="Tahoma" w:hAnsi="Tahoma" w:cs="Tahoma"/>
          <w:sz w:val="25"/>
          <w:szCs w:val="25"/>
          <w:vertAlign w:val="superscript"/>
        </w:rPr>
        <w:t>st</w:t>
      </w:r>
      <w:r>
        <w:rPr>
          <w:rFonts w:ascii="Tahoma" w:hAnsi="Tahoma" w:cs="Tahoma"/>
          <w:sz w:val="25"/>
          <w:szCs w:val="25"/>
        </w:rPr>
        <w:t xml:space="preserve"> February, 2016.  It is clear from its reading that Respondent was responding to Appellant’s Heads of Argument paragraph by paragraph.  Respondent’s representative submitted that the document is Respondent’s Heads of Argument. </w:t>
      </w:r>
    </w:p>
    <w:p w:rsidR="00E85FA3" w:rsidRDefault="00E85FA3" w:rsidP="007D48A5">
      <w:pPr>
        <w:spacing w:after="0" w:line="360" w:lineRule="auto"/>
        <w:ind w:firstLine="720"/>
        <w:jc w:val="both"/>
        <w:rPr>
          <w:rFonts w:ascii="Tahoma" w:hAnsi="Tahoma" w:cs="Tahoma"/>
          <w:sz w:val="25"/>
          <w:szCs w:val="25"/>
        </w:rPr>
      </w:pPr>
    </w:p>
    <w:p w:rsidR="00E85FA3" w:rsidRDefault="00E85FA3" w:rsidP="007D48A5">
      <w:pPr>
        <w:spacing w:after="0" w:line="360" w:lineRule="auto"/>
        <w:ind w:firstLine="720"/>
        <w:jc w:val="both"/>
        <w:rPr>
          <w:rFonts w:ascii="Tahoma" w:hAnsi="Tahoma" w:cs="Tahoma"/>
          <w:sz w:val="25"/>
          <w:szCs w:val="25"/>
        </w:rPr>
      </w:pPr>
      <w:r>
        <w:rPr>
          <w:rFonts w:ascii="Tahoma" w:hAnsi="Tahoma" w:cs="Tahoma"/>
          <w:sz w:val="25"/>
          <w:szCs w:val="25"/>
        </w:rPr>
        <w:t>In terms of Rule 19 where a party is represented by a legal practitioner the legal practitioner is obliged to file Heads of Argument</w:t>
      </w:r>
      <w:r w:rsidR="008B30B3">
        <w:rPr>
          <w:rFonts w:ascii="Tahoma" w:hAnsi="Tahoma" w:cs="Tahoma"/>
          <w:sz w:val="25"/>
          <w:szCs w:val="25"/>
        </w:rPr>
        <w:t xml:space="preserve"> within the set time frames (14 days of receiving a response – Appellant and 14 days of receiving Appellant’s Heads of Argument</w:t>
      </w:r>
      <w:bookmarkStart w:id="0" w:name="_GoBack"/>
      <w:bookmarkEnd w:id="0"/>
      <w:r>
        <w:rPr>
          <w:rFonts w:ascii="Tahoma" w:hAnsi="Tahoma" w:cs="Tahoma"/>
          <w:sz w:val="25"/>
          <w:szCs w:val="25"/>
        </w:rPr>
        <w:t xml:space="preserve"> – Respondent.  A party who is not represented by a Legal Practitioner is not obliged to file Heads of Argument.  However in terms of sub-rule (5) if a party who is not legally represented decides to file Heads of Argument he is to comply with the time frames as stated above.  If Respondent’s document is to be accepted </w:t>
      </w:r>
      <w:r w:rsidR="008B30B3">
        <w:rPr>
          <w:rFonts w:ascii="Tahoma" w:hAnsi="Tahoma" w:cs="Tahoma"/>
          <w:sz w:val="25"/>
          <w:szCs w:val="25"/>
        </w:rPr>
        <w:t>as</w:t>
      </w:r>
      <w:r>
        <w:rPr>
          <w:rFonts w:ascii="Tahoma" w:hAnsi="Tahoma" w:cs="Tahoma"/>
          <w:sz w:val="25"/>
          <w:szCs w:val="25"/>
        </w:rPr>
        <w:t xml:space="preserve"> Heads of Argument, it was filed way </w:t>
      </w:r>
      <w:proofErr w:type="spellStart"/>
      <w:r>
        <w:rPr>
          <w:rFonts w:ascii="Tahoma" w:hAnsi="Tahoma" w:cs="Tahoma"/>
          <w:sz w:val="25"/>
          <w:szCs w:val="25"/>
        </w:rPr>
        <w:t>way</w:t>
      </w:r>
      <w:proofErr w:type="spellEnd"/>
      <w:r>
        <w:rPr>
          <w:rFonts w:ascii="Tahoma" w:hAnsi="Tahoma" w:cs="Tahoma"/>
          <w:sz w:val="25"/>
          <w:szCs w:val="25"/>
        </w:rPr>
        <w:t xml:space="preserve"> out of time.  No application was made for its late filing.  In terms of Rule 19(3</w:t>
      </w:r>
      <w:proofErr w:type="gramStart"/>
      <w:r>
        <w:rPr>
          <w:rFonts w:ascii="Tahoma" w:hAnsi="Tahoma" w:cs="Tahoma"/>
          <w:sz w:val="25"/>
          <w:szCs w:val="25"/>
        </w:rPr>
        <w:t>)(</w:t>
      </w:r>
      <w:proofErr w:type="gramEnd"/>
      <w:r>
        <w:rPr>
          <w:rFonts w:ascii="Tahoma" w:hAnsi="Tahoma" w:cs="Tahoma"/>
          <w:sz w:val="25"/>
          <w:szCs w:val="25"/>
        </w:rPr>
        <w:t>b) Respondent would be barred.</w:t>
      </w:r>
    </w:p>
    <w:p w:rsidR="00E85FA3" w:rsidRDefault="00E85FA3" w:rsidP="007D48A5">
      <w:pPr>
        <w:spacing w:after="0" w:line="360" w:lineRule="auto"/>
        <w:ind w:firstLine="720"/>
        <w:jc w:val="both"/>
        <w:rPr>
          <w:rFonts w:ascii="Tahoma" w:hAnsi="Tahoma" w:cs="Tahoma"/>
          <w:sz w:val="25"/>
          <w:szCs w:val="25"/>
        </w:rPr>
      </w:pPr>
    </w:p>
    <w:p w:rsidR="00E85FA3" w:rsidRDefault="00E85FA3" w:rsidP="007D48A5">
      <w:pPr>
        <w:spacing w:after="0" w:line="360" w:lineRule="auto"/>
        <w:ind w:firstLine="720"/>
        <w:jc w:val="both"/>
        <w:rPr>
          <w:rFonts w:ascii="Tahoma" w:hAnsi="Tahoma" w:cs="Tahoma"/>
          <w:sz w:val="25"/>
          <w:szCs w:val="25"/>
        </w:rPr>
      </w:pPr>
      <w:r>
        <w:rPr>
          <w:rFonts w:ascii="Tahoma" w:hAnsi="Tahoma" w:cs="Tahoma"/>
          <w:sz w:val="25"/>
          <w:szCs w:val="25"/>
        </w:rPr>
        <w:t xml:space="preserve">Respondent is represented by a Union representative – an organizing secretary.  Union officials are well versed with the law.  They are taken to know the Rules of the Court. I do </w:t>
      </w:r>
      <w:r w:rsidR="00646DFC">
        <w:rPr>
          <w:rFonts w:ascii="Tahoma" w:hAnsi="Tahoma" w:cs="Tahoma"/>
          <w:sz w:val="25"/>
          <w:szCs w:val="25"/>
        </w:rPr>
        <w:t xml:space="preserve">not accept his submission that the </w:t>
      </w:r>
      <w:proofErr w:type="gramStart"/>
      <w:r w:rsidR="00646DFC">
        <w:rPr>
          <w:rFonts w:ascii="Tahoma" w:hAnsi="Tahoma" w:cs="Tahoma"/>
          <w:sz w:val="25"/>
          <w:szCs w:val="25"/>
        </w:rPr>
        <w:t>document are</w:t>
      </w:r>
      <w:proofErr w:type="gramEnd"/>
      <w:r w:rsidR="00646DFC">
        <w:rPr>
          <w:rFonts w:ascii="Tahoma" w:hAnsi="Tahoma" w:cs="Tahoma"/>
          <w:sz w:val="25"/>
          <w:szCs w:val="25"/>
        </w:rPr>
        <w:t xml:space="preserve"> Heads of Argument.   Why did he not simply title it Respondent’s Heads of Argument as Appellant had done a</w:t>
      </w:r>
      <w:r w:rsidR="008B30B3">
        <w:rPr>
          <w:rFonts w:ascii="Tahoma" w:hAnsi="Tahoma" w:cs="Tahoma"/>
          <w:sz w:val="25"/>
          <w:szCs w:val="25"/>
        </w:rPr>
        <w:t xml:space="preserve">s </w:t>
      </w:r>
      <w:r w:rsidR="00646DFC">
        <w:rPr>
          <w:rFonts w:ascii="Tahoma" w:hAnsi="Tahoma" w:cs="Tahoma"/>
          <w:sz w:val="25"/>
          <w:szCs w:val="25"/>
        </w:rPr>
        <w:t xml:space="preserve">he was in receipt of Appellant’s Heads of </w:t>
      </w:r>
      <w:proofErr w:type="gramStart"/>
      <w:r w:rsidR="00646DFC">
        <w:rPr>
          <w:rFonts w:ascii="Tahoma" w:hAnsi="Tahoma" w:cs="Tahoma"/>
          <w:sz w:val="25"/>
          <w:szCs w:val="25"/>
        </w:rPr>
        <w:t>Argument.</w:t>
      </w:r>
      <w:proofErr w:type="gramEnd"/>
      <w:r w:rsidR="00646DFC">
        <w:rPr>
          <w:rFonts w:ascii="Tahoma" w:hAnsi="Tahoma" w:cs="Tahoma"/>
          <w:sz w:val="25"/>
          <w:szCs w:val="25"/>
        </w:rPr>
        <w:t xml:space="preserve">  From the look of things, he was responding to Appellant’s Heads of Argument (response).</w:t>
      </w:r>
    </w:p>
    <w:p w:rsidR="00646DFC" w:rsidRDefault="00646DFC" w:rsidP="007D48A5">
      <w:pPr>
        <w:spacing w:after="0" w:line="360" w:lineRule="auto"/>
        <w:ind w:firstLine="720"/>
        <w:jc w:val="both"/>
        <w:rPr>
          <w:rFonts w:ascii="Tahoma" w:hAnsi="Tahoma" w:cs="Tahoma"/>
          <w:sz w:val="25"/>
          <w:szCs w:val="25"/>
        </w:rPr>
      </w:pPr>
    </w:p>
    <w:p w:rsidR="00646DFC" w:rsidRDefault="00975A33" w:rsidP="007D48A5">
      <w:pPr>
        <w:spacing w:after="0" w:line="360" w:lineRule="auto"/>
        <w:ind w:firstLine="720"/>
        <w:jc w:val="both"/>
        <w:rPr>
          <w:rFonts w:ascii="Tahoma" w:hAnsi="Tahoma" w:cs="Tahoma"/>
          <w:sz w:val="25"/>
          <w:szCs w:val="25"/>
        </w:rPr>
      </w:pPr>
      <w:r>
        <w:rPr>
          <w:rFonts w:ascii="Tahoma" w:hAnsi="Tahoma" w:cs="Tahoma"/>
          <w:sz w:val="25"/>
          <w:szCs w:val="25"/>
        </w:rPr>
        <w:t>In terms of sub-rule (6) after Heads of Argument have been lodged with the Registrar, a party requires leave of the Court to file further papers.  Appellant’s Heads of Argument were filed on 30</w:t>
      </w:r>
      <w:r w:rsidRPr="00975A33">
        <w:rPr>
          <w:rFonts w:ascii="Tahoma" w:hAnsi="Tahoma" w:cs="Tahoma"/>
          <w:sz w:val="25"/>
          <w:szCs w:val="25"/>
          <w:vertAlign w:val="superscript"/>
        </w:rPr>
        <w:t>th</w:t>
      </w:r>
      <w:r>
        <w:rPr>
          <w:rFonts w:ascii="Tahoma" w:hAnsi="Tahoma" w:cs="Tahoma"/>
          <w:sz w:val="25"/>
          <w:szCs w:val="25"/>
        </w:rPr>
        <w:t xml:space="preserve"> November, 2015.  After this date no further papers could be filed by either party without leave of Court.  Respondent’s </w:t>
      </w:r>
      <w:proofErr w:type="gramStart"/>
      <w:r>
        <w:rPr>
          <w:rFonts w:ascii="Tahoma" w:hAnsi="Tahoma" w:cs="Tahoma"/>
          <w:sz w:val="25"/>
          <w:szCs w:val="25"/>
        </w:rPr>
        <w:t>document,</w:t>
      </w:r>
      <w:proofErr w:type="gramEnd"/>
      <w:r>
        <w:rPr>
          <w:rFonts w:ascii="Tahoma" w:hAnsi="Tahoma" w:cs="Tahoma"/>
          <w:sz w:val="25"/>
          <w:szCs w:val="25"/>
        </w:rPr>
        <w:t xml:space="preserve"> could not be filed without first obtaining leave. </w:t>
      </w:r>
    </w:p>
    <w:p w:rsidR="00975A33" w:rsidRDefault="00975A33" w:rsidP="007D48A5">
      <w:pPr>
        <w:spacing w:after="0" w:line="360" w:lineRule="auto"/>
        <w:ind w:firstLine="720"/>
        <w:jc w:val="both"/>
        <w:rPr>
          <w:rFonts w:ascii="Tahoma" w:hAnsi="Tahoma" w:cs="Tahoma"/>
          <w:sz w:val="25"/>
          <w:szCs w:val="25"/>
        </w:rPr>
      </w:pPr>
    </w:p>
    <w:p w:rsidR="00975A33" w:rsidRDefault="00975A33" w:rsidP="007D48A5">
      <w:pPr>
        <w:spacing w:after="0" w:line="360" w:lineRule="auto"/>
        <w:ind w:firstLine="720"/>
        <w:jc w:val="both"/>
        <w:rPr>
          <w:rFonts w:ascii="Tahoma" w:hAnsi="Tahoma" w:cs="Tahoma"/>
          <w:sz w:val="25"/>
          <w:szCs w:val="25"/>
        </w:rPr>
      </w:pPr>
      <w:r>
        <w:rPr>
          <w:rFonts w:ascii="Tahoma" w:hAnsi="Tahoma" w:cs="Tahoma"/>
          <w:sz w:val="25"/>
          <w:szCs w:val="25"/>
        </w:rPr>
        <w:t xml:space="preserve">I find therefore that this document was improperly filed and therefore is improperly before the Court and is to be struck out.  The point </w:t>
      </w:r>
      <w:r w:rsidRPr="008C7D34">
        <w:rPr>
          <w:rFonts w:ascii="Tahoma" w:hAnsi="Tahoma" w:cs="Tahoma"/>
          <w:i/>
          <w:sz w:val="25"/>
          <w:szCs w:val="25"/>
        </w:rPr>
        <w:t xml:space="preserve">in </w:t>
      </w:r>
      <w:proofErr w:type="spellStart"/>
      <w:r w:rsidRPr="008C7D34">
        <w:rPr>
          <w:rFonts w:ascii="Tahoma" w:hAnsi="Tahoma" w:cs="Tahoma"/>
          <w:i/>
          <w:sz w:val="25"/>
          <w:szCs w:val="25"/>
        </w:rPr>
        <w:t>limine</w:t>
      </w:r>
      <w:proofErr w:type="spellEnd"/>
      <w:r>
        <w:rPr>
          <w:rFonts w:ascii="Tahoma" w:hAnsi="Tahoma" w:cs="Tahoma"/>
          <w:sz w:val="25"/>
          <w:szCs w:val="25"/>
        </w:rPr>
        <w:t xml:space="preserve"> was properly </w:t>
      </w:r>
      <w:r w:rsidR="008C7D34">
        <w:rPr>
          <w:rFonts w:ascii="Tahoma" w:hAnsi="Tahoma" w:cs="Tahoma"/>
          <w:sz w:val="25"/>
          <w:szCs w:val="25"/>
        </w:rPr>
        <w:t xml:space="preserve">taken and is upheld.  The document is struck out as prayed by Appellant. </w:t>
      </w:r>
    </w:p>
    <w:p w:rsidR="008C7D34" w:rsidRDefault="008C7D34" w:rsidP="007D48A5">
      <w:pPr>
        <w:spacing w:after="0" w:line="360" w:lineRule="auto"/>
        <w:ind w:firstLine="720"/>
        <w:jc w:val="both"/>
        <w:rPr>
          <w:rFonts w:ascii="Tahoma" w:hAnsi="Tahoma" w:cs="Tahoma"/>
          <w:sz w:val="25"/>
          <w:szCs w:val="25"/>
        </w:rPr>
      </w:pPr>
    </w:p>
    <w:p w:rsidR="008C7D34" w:rsidRPr="00E85FA3" w:rsidRDefault="008C7D34" w:rsidP="007D48A5">
      <w:pPr>
        <w:spacing w:after="0" w:line="360" w:lineRule="auto"/>
        <w:ind w:firstLine="720"/>
        <w:jc w:val="both"/>
        <w:rPr>
          <w:rFonts w:ascii="Tahoma" w:hAnsi="Tahoma" w:cs="Tahoma"/>
          <w:sz w:val="25"/>
          <w:szCs w:val="25"/>
        </w:rPr>
      </w:pPr>
      <w:r>
        <w:rPr>
          <w:rFonts w:ascii="Tahoma" w:hAnsi="Tahoma" w:cs="Tahoma"/>
          <w:sz w:val="25"/>
          <w:szCs w:val="25"/>
        </w:rPr>
        <w:t xml:space="preserve">In the circumstances, the Registrar is directed to re-set the appeal for hearing on the merits. </w:t>
      </w:r>
    </w:p>
    <w:p w:rsidR="00B8682C" w:rsidRDefault="00B8682C" w:rsidP="00B10417">
      <w:pPr>
        <w:spacing w:after="0" w:line="360" w:lineRule="auto"/>
        <w:rPr>
          <w:rFonts w:ascii="Tahoma" w:hAnsi="Tahoma" w:cs="Tahoma"/>
          <w:sz w:val="25"/>
          <w:szCs w:val="25"/>
        </w:rPr>
      </w:pPr>
    </w:p>
    <w:p w:rsidR="008C7D34" w:rsidRPr="00D95B8F" w:rsidRDefault="008C7D34" w:rsidP="00B10417">
      <w:pPr>
        <w:spacing w:after="0" w:line="360" w:lineRule="auto"/>
        <w:rPr>
          <w:rFonts w:ascii="Tahoma" w:hAnsi="Tahoma" w:cs="Tahoma"/>
          <w:b/>
          <w:i/>
          <w:sz w:val="25"/>
          <w:szCs w:val="25"/>
        </w:rPr>
      </w:pPr>
    </w:p>
    <w:p w:rsidR="00025B6C" w:rsidRPr="00011069" w:rsidRDefault="002620CB" w:rsidP="00B10417">
      <w:pPr>
        <w:spacing w:after="0" w:line="360" w:lineRule="auto"/>
        <w:rPr>
          <w:rFonts w:ascii="Tahoma" w:hAnsi="Tahoma" w:cs="Tahoma"/>
          <w:b/>
          <w:i/>
          <w:sz w:val="24"/>
          <w:szCs w:val="24"/>
        </w:rPr>
      </w:pPr>
      <w:r>
        <w:rPr>
          <w:rFonts w:ascii="Tahoma" w:hAnsi="Tahoma" w:cs="Tahoma"/>
          <w:b/>
          <w:i/>
          <w:sz w:val="24"/>
          <w:szCs w:val="24"/>
        </w:rPr>
        <w:t>GWAUNZA AND MAPOTA</w:t>
      </w:r>
      <w:r w:rsidRPr="00011069">
        <w:rPr>
          <w:rFonts w:ascii="Tahoma" w:hAnsi="Tahoma" w:cs="Tahoma"/>
          <w:b/>
          <w:i/>
          <w:sz w:val="24"/>
          <w:szCs w:val="24"/>
        </w:rPr>
        <w:t xml:space="preserve"> </w:t>
      </w:r>
      <w:r w:rsidR="00025B6C" w:rsidRPr="00011069">
        <w:rPr>
          <w:rFonts w:ascii="Tahoma" w:hAnsi="Tahoma" w:cs="Tahoma"/>
          <w:b/>
          <w:i/>
          <w:sz w:val="24"/>
          <w:szCs w:val="24"/>
        </w:rPr>
        <w:t>– Appellant’s legal practitioners</w:t>
      </w:r>
    </w:p>
    <w:p w:rsidR="00093A54" w:rsidRPr="00011069" w:rsidRDefault="002620CB" w:rsidP="00B10417">
      <w:pPr>
        <w:spacing w:after="0" w:line="360" w:lineRule="auto"/>
        <w:rPr>
          <w:rFonts w:ascii="Tahoma" w:hAnsi="Tahoma" w:cs="Tahoma"/>
          <w:b/>
          <w:i/>
          <w:sz w:val="24"/>
          <w:szCs w:val="24"/>
        </w:rPr>
      </w:pPr>
      <w:r>
        <w:rPr>
          <w:rFonts w:ascii="Tahoma" w:hAnsi="Tahoma" w:cs="Tahoma"/>
          <w:b/>
          <w:i/>
          <w:sz w:val="24"/>
          <w:szCs w:val="24"/>
        </w:rPr>
        <w:t>ZFTU – Respondent’s representatives</w:t>
      </w:r>
    </w:p>
    <w:sectPr w:rsidR="00093A54" w:rsidRPr="00011069"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41C" w:rsidRDefault="00DA341C" w:rsidP="007C5CA3">
      <w:pPr>
        <w:spacing w:after="0" w:line="240" w:lineRule="auto"/>
      </w:pPr>
      <w:r>
        <w:separator/>
      </w:r>
    </w:p>
  </w:endnote>
  <w:endnote w:type="continuationSeparator" w:id="0">
    <w:p w:rsidR="00DA341C" w:rsidRDefault="00DA341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83D3F">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41C" w:rsidRDefault="00DA341C" w:rsidP="007C5CA3">
      <w:pPr>
        <w:spacing w:after="0" w:line="240" w:lineRule="auto"/>
      </w:pPr>
      <w:r>
        <w:separator/>
      </w:r>
    </w:p>
  </w:footnote>
  <w:footnote w:type="continuationSeparator" w:id="0">
    <w:p w:rsidR="00DA341C" w:rsidRDefault="00DA341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8C7D34">
      <w:rPr>
        <w:rFonts w:ascii="Tahoma" w:hAnsi="Tahoma" w:cs="Tahoma"/>
        <w:b/>
        <w:sz w:val="24"/>
        <w:szCs w:val="24"/>
      </w:rPr>
      <w:t>616</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6399"/>
    <w:multiLevelType w:val="hybridMultilevel"/>
    <w:tmpl w:val="DCA085E2"/>
    <w:lvl w:ilvl="0" w:tplc="BF50D730">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7584"/>
    <w:rsid w:val="00176651"/>
    <w:rsid w:val="0018688E"/>
    <w:rsid w:val="00192EC2"/>
    <w:rsid w:val="001A037B"/>
    <w:rsid w:val="001B520A"/>
    <w:rsid w:val="001B5CA8"/>
    <w:rsid w:val="001B7DFE"/>
    <w:rsid w:val="001E59E3"/>
    <w:rsid w:val="001F2A28"/>
    <w:rsid w:val="001F6C80"/>
    <w:rsid w:val="00250097"/>
    <w:rsid w:val="00257D13"/>
    <w:rsid w:val="00257EAA"/>
    <w:rsid w:val="002620CB"/>
    <w:rsid w:val="002708FC"/>
    <w:rsid w:val="00276D4A"/>
    <w:rsid w:val="002813AD"/>
    <w:rsid w:val="002972ED"/>
    <w:rsid w:val="002A3347"/>
    <w:rsid w:val="002A4EA4"/>
    <w:rsid w:val="002A7A29"/>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6134D"/>
    <w:rsid w:val="00471019"/>
    <w:rsid w:val="00471F6B"/>
    <w:rsid w:val="004770D4"/>
    <w:rsid w:val="004905CF"/>
    <w:rsid w:val="004927A7"/>
    <w:rsid w:val="004C0E8D"/>
    <w:rsid w:val="004C3334"/>
    <w:rsid w:val="004D303B"/>
    <w:rsid w:val="004E2B68"/>
    <w:rsid w:val="004E6DBC"/>
    <w:rsid w:val="00521048"/>
    <w:rsid w:val="00535E77"/>
    <w:rsid w:val="00542814"/>
    <w:rsid w:val="005A3B8C"/>
    <w:rsid w:val="005B403F"/>
    <w:rsid w:val="005B6B07"/>
    <w:rsid w:val="005E4CBF"/>
    <w:rsid w:val="005F3C09"/>
    <w:rsid w:val="00637CA0"/>
    <w:rsid w:val="006462FD"/>
    <w:rsid w:val="00646DFC"/>
    <w:rsid w:val="00652B98"/>
    <w:rsid w:val="006676CB"/>
    <w:rsid w:val="006766B6"/>
    <w:rsid w:val="00680357"/>
    <w:rsid w:val="00694322"/>
    <w:rsid w:val="006A098A"/>
    <w:rsid w:val="006C3BA2"/>
    <w:rsid w:val="006E73F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48A5"/>
    <w:rsid w:val="007D717D"/>
    <w:rsid w:val="007E274A"/>
    <w:rsid w:val="007E544C"/>
    <w:rsid w:val="007F16D4"/>
    <w:rsid w:val="007F7ECE"/>
    <w:rsid w:val="008160DC"/>
    <w:rsid w:val="0083632A"/>
    <w:rsid w:val="00853204"/>
    <w:rsid w:val="00857174"/>
    <w:rsid w:val="00867C88"/>
    <w:rsid w:val="008710BD"/>
    <w:rsid w:val="008759B5"/>
    <w:rsid w:val="00876084"/>
    <w:rsid w:val="008B30B3"/>
    <w:rsid w:val="008C57F8"/>
    <w:rsid w:val="008C7D34"/>
    <w:rsid w:val="008F1680"/>
    <w:rsid w:val="00904DDA"/>
    <w:rsid w:val="009111D0"/>
    <w:rsid w:val="00912EF0"/>
    <w:rsid w:val="00914FC6"/>
    <w:rsid w:val="00940DD4"/>
    <w:rsid w:val="0095112E"/>
    <w:rsid w:val="0095114C"/>
    <w:rsid w:val="00970BED"/>
    <w:rsid w:val="00974217"/>
    <w:rsid w:val="00975A33"/>
    <w:rsid w:val="0098286B"/>
    <w:rsid w:val="0098406A"/>
    <w:rsid w:val="009951A3"/>
    <w:rsid w:val="009A1F2F"/>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3048B"/>
    <w:rsid w:val="00B40117"/>
    <w:rsid w:val="00B45562"/>
    <w:rsid w:val="00B56A25"/>
    <w:rsid w:val="00B621A5"/>
    <w:rsid w:val="00B630AF"/>
    <w:rsid w:val="00B6717B"/>
    <w:rsid w:val="00B819ED"/>
    <w:rsid w:val="00B83D3F"/>
    <w:rsid w:val="00B841C4"/>
    <w:rsid w:val="00B8682C"/>
    <w:rsid w:val="00B8731A"/>
    <w:rsid w:val="00B91278"/>
    <w:rsid w:val="00BA5626"/>
    <w:rsid w:val="00BB724E"/>
    <w:rsid w:val="00BD43C4"/>
    <w:rsid w:val="00BE7503"/>
    <w:rsid w:val="00C279F3"/>
    <w:rsid w:val="00C41ABD"/>
    <w:rsid w:val="00C469DD"/>
    <w:rsid w:val="00C63A75"/>
    <w:rsid w:val="00CA5589"/>
    <w:rsid w:val="00CB2223"/>
    <w:rsid w:val="00CE61E0"/>
    <w:rsid w:val="00CF7FB6"/>
    <w:rsid w:val="00D13C45"/>
    <w:rsid w:val="00D34EA0"/>
    <w:rsid w:val="00D35D61"/>
    <w:rsid w:val="00D66B99"/>
    <w:rsid w:val="00D6717B"/>
    <w:rsid w:val="00D95B8F"/>
    <w:rsid w:val="00DA341C"/>
    <w:rsid w:val="00DA5F18"/>
    <w:rsid w:val="00DD7258"/>
    <w:rsid w:val="00E04088"/>
    <w:rsid w:val="00E304B8"/>
    <w:rsid w:val="00E40848"/>
    <w:rsid w:val="00E5115D"/>
    <w:rsid w:val="00E85FA3"/>
    <w:rsid w:val="00E86E3D"/>
    <w:rsid w:val="00E93740"/>
    <w:rsid w:val="00EA5CF8"/>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84242"/>
    <w:rsid w:val="00FA6517"/>
    <w:rsid w:val="00FC68ED"/>
    <w:rsid w:val="00FC6B97"/>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2016-10-06T07:38:00Z</cp:lastPrinted>
  <dcterms:created xsi:type="dcterms:W3CDTF">2016-10-05T14:32:00Z</dcterms:created>
  <dcterms:modified xsi:type="dcterms:W3CDTF">2016-10-06T08:07:00Z</dcterms:modified>
</cp:coreProperties>
</file>