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EB6E49" w14:textId="38461FD8" w:rsidR="0075558F" w:rsidRDefault="008E35B1" w:rsidP="00CD0DAE">
      <w:pPr>
        <w:spacing w:after="0" w:line="240" w:lineRule="auto"/>
        <w:jc w:val="both"/>
        <w:rPr>
          <w:rFonts w:ascii="Times New Roman" w:eastAsia="Times New Roman" w:hAnsi="Times New Roman" w:cs="Times New Roman"/>
          <w:kern w:val="0"/>
          <w:sz w:val="24"/>
          <w:szCs w:val="24"/>
          <w14:ligatures w14:val="none"/>
        </w:rPr>
      </w:pPr>
      <w:bookmarkStart w:id="0" w:name="_GoBack"/>
      <w:bookmarkEnd w:id="0"/>
      <w:r>
        <w:rPr>
          <w:rFonts w:ascii="Times New Roman" w:eastAsia="Times New Roman" w:hAnsi="Times New Roman" w:cs="Times New Roman"/>
          <w:kern w:val="0"/>
          <w:sz w:val="24"/>
          <w:szCs w:val="24"/>
          <w14:ligatures w14:val="none"/>
        </w:rPr>
        <w:t>HANIF BHIKA</w:t>
      </w:r>
    </w:p>
    <w:p w14:paraId="46BBAC61" w14:textId="329779C6" w:rsidR="008E35B1" w:rsidRDefault="00CD0DAE" w:rsidP="00CD0DAE">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versus</w:t>
      </w:r>
    </w:p>
    <w:p w14:paraId="5024BAD2" w14:textId="6E387D69" w:rsidR="008E35B1" w:rsidRDefault="008E35B1" w:rsidP="00CD0DAE">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BIKA BROTHERS GROUP OF COMPANIES</w:t>
      </w:r>
    </w:p>
    <w:p w14:paraId="78276B68" w14:textId="77777777" w:rsidR="00CD0DAE" w:rsidRDefault="00CD0DAE" w:rsidP="00CD0DAE">
      <w:pPr>
        <w:spacing w:after="0" w:line="240" w:lineRule="auto"/>
        <w:jc w:val="both"/>
        <w:rPr>
          <w:rFonts w:ascii="Times New Roman" w:eastAsia="Times New Roman" w:hAnsi="Times New Roman" w:cs="Times New Roman"/>
          <w:kern w:val="0"/>
          <w:sz w:val="24"/>
          <w:szCs w:val="24"/>
          <w14:ligatures w14:val="none"/>
        </w:rPr>
      </w:pPr>
    </w:p>
    <w:p w14:paraId="1B5063C1" w14:textId="77777777" w:rsidR="00CD0DAE" w:rsidRDefault="00CD0DAE" w:rsidP="00CD0DAE">
      <w:pPr>
        <w:spacing w:after="0" w:line="240" w:lineRule="auto"/>
        <w:jc w:val="both"/>
        <w:rPr>
          <w:rFonts w:ascii="Times New Roman" w:eastAsia="Times New Roman" w:hAnsi="Times New Roman" w:cs="Times New Roman"/>
          <w:kern w:val="0"/>
          <w:sz w:val="24"/>
          <w:szCs w:val="24"/>
          <w14:ligatures w14:val="none"/>
        </w:rPr>
      </w:pPr>
    </w:p>
    <w:p w14:paraId="7FFB8B82" w14:textId="111413A4" w:rsidR="008E35B1" w:rsidRDefault="008E35B1" w:rsidP="00CD0DAE">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HIGH COURT OF ZIMBABWE</w:t>
      </w:r>
    </w:p>
    <w:p w14:paraId="6B90F6DB" w14:textId="290BF903" w:rsidR="008E35B1" w:rsidRPr="00CD0DAE" w:rsidRDefault="008E35B1" w:rsidP="00CD0DAE">
      <w:pPr>
        <w:spacing w:after="0" w:line="240" w:lineRule="auto"/>
        <w:jc w:val="both"/>
        <w:rPr>
          <w:rFonts w:ascii="Times New Roman" w:eastAsia="Times New Roman" w:hAnsi="Times New Roman" w:cs="Times New Roman"/>
          <w:b/>
          <w:kern w:val="0"/>
          <w:sz w:val="24"/>
          <w:szCs w:val="24"/>
          <w14:ligatures w14:val="none"/>
        </w:rPr>
      </w:pPr>
      <w:r w:rsidRPr="00CD0DAE">
        <w:rPr>
          <w:rFonts w:ascii="Times New Roman" w:eastAsia="Times New Roman" w:hAnsi="Times New Roman" w:cs="Times New Roman"/>
          <w:b/>
          <w:kern w:val="0"/>
          <w:sz w:val="24"/>
          <w:szCs w:val="24"/>
          <w14:ligatures w14:val="none"/>
        </w:rPr>
        <w:t>DEME J</w:t>
      </w:r>
    </w:p>
    <w:p w14:paraId="3C24ABB3" w14:textId="19B3FDF9" w:rsidR="008E35B1" w:rsidRPr="00D3490E" w:rsidRDefault="008E35B1" w:rsidP="00CD0DAE">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HARARE, 20 September 2024 and 13 November 2024</w:t>
      </w:r>
    </w:p>
    <w:p w14:paraId="526C8200" w14:textId="77777777" w:rsidR="003918B5" w:rsidRDefault="003918B5" w:rsidP="00CD0DAE">
      <w:pPr>
        <w:spacing w:after="0" w:line="240" w:lineRule="auto"/>
        <w:jc w:val="both"/>
        <w:rPr>
          <w:rFonts w:ascii="Times New Roman" w:eastAsia="Times New Roman" w:hAnsi="Times New Roman" w:cs="Times New Roman"/>
          <w:kern w:val="0"/>
          <w:sz w:val="24"/>
          <w:szCs w:val="24"/>
          <w14:ligatures w14:val="none"/>
        </w:rPr>
      </w:pPr>
    </w:p>
    <w:p w14:paraId="17D5FE6B" w14:textId="77777777" w:rsidR="00CD0DAE" w:rsidRPr="00856991" w:rsidRDefault="00CD0DAE" w:rsidP="00CD0DAE">
      <w:pPr>
        <w:spacing w:after="0" w:line="240" w:lineRule="auto"/>
        <w:jc w:val="both"/>
        <w:rPr>
          <w:rFonts w:ascii="Times New Roman" w:eastAsia="Times New Roman" w:hAnsi="Times New Roman" w:cs="Times New Roman"/>
          <w:i/>
          <w:kern w:val="0"/>
          <w:sz w:val="24"/>
          <w:szCs w:val="24"/>
          <w14:ligatures w14:val="none"/>
        </w:rPr>
      </w:pPr>
    </w:p>
    <w:p w14:paraId="19674DC9" w14:textId="6B1E9F38" w:rsidR="00856991" w:rsidRDefault="003918B5" w:rsidP="00CD0DAE">
      <w:pPr>
        <w:spacing w:after="0" w:line="240" w:lineRule="auto"/>
        <w:jc w:val="both"/>
        <w:rPr>
          <w:rFonts w:ascii="Times New Roman" w:eastAsia="Times New Roman" w:hAnsi="Times New Roman" w:cs="Times New Roman"/>
          <w:b/>
          <w:i/>
          <w:kern w:val="0"/>
          <w:sz w:val="24"/>
          <w:szCs w:val="24"/>
          <w14:ligatures w14:val="none"/>
        </w:rPr>
      </w:pPr>
      <w:r w:rsidRPr="00856991">
        <w:rPr>
          <w:rFonts w:ascii="Times New Roman" w:eastAsia="Times New Roman" w:hAnsi="Times New Roman" w:cs="Times New Roman"/>
          <w:b/>
          <w:i/>
          <w:kern w:val="0"/>
          <w:sz w:val="24"/>
          <w:szCs w:val="24"/>
          <w14:ligatures w14:val="none"/>
        </w:rPr>
        <w:t xml:space="preserve">Urgent </w:t>
      </w:r>
      <w:r w:rsidR="0087503C" w:rsidRPr="00856991">
        <w:rPr>
          <w:rFonts w:ascii="Times New Roman" w:eastAsia="Times New Roman" w:hAnsi="Times New Roman" w:cs="Times New Roman"/>
          <w:b/>
          <w:i/>
          <w:kern w:val="0"/>
          <w:sz w:val="24"/>
          <w:szCs w:val="24"/>
          <w14:ligatures w14:val="none"/>
        </w:rPr>
        <w:t xml:space="preserve">Chamber </w:t>
      </w:r>
      <w:r w:rsidRPr="00856991">
        <w:rPr>
          <w:rFonts w:ascii="Times New Roman" w:eastAsia="Times New Roman" w:hAnsi="Times New Roman" w:cs="Times New Roman"/>
          <w:b/>
          <w:i/>
          <w:kern w:val="0"/>
          <w:sz w:val="24"/>
          <w:szCs w:val="24"/>
          <w14:ligatures w14:val="none"/>
        </w:rPr>
        <w:t>Application</w:t>
      </w:r>
    </w:p>
    <w:p w14:paraId="2B1FE725" w14:textId="77777777" w:rsidR="00856991" w:rsidRDefault="00856991" w:rsidP="00CD0DAE">
      <w:pPr>
        <w:spacing w:after="0" w:line="240" w:lineRule="auto"/>
        <w:jc w:val="both"/>
        <w:rPr>
          <w:rFonts w:ascii="Times New Roman" w:eastAsia="Times New Roman" w:hAnsi="Times New Roman" w:cs="Times New Roman"/>
          <w:b/>
          <w:i/>
          <w:kern w:val="0"/>
          <w:sz w:val="24"/>
          <w:szCs w:val="24"/>
          <w14:ligatures w14:val="none"/>
        </w:rPr>
      </w:pPr>
    </w:p>
    <w:p w14:paraId="06C161D8" w14:textId="77777777" w:rsidR="00CD0DAE" w:rsidRPr="00CD0DAE" w:rsidRDefault="00CD0DAE" w:rsidP="00CD0DAE">
      <w:pPr>
        <w:spacing w:after="0" w:line="240" w:lineRule="auto"/>
        <w:jc w:val="both"/>
        <w:rPr>
          <w:rFonts w:ascii="Times New Roman" w:eastAsia="Times New Roman" w:hAnsi="Times New Roman" w:cs="Times New Roman"/>
          <w:b/>
          <w:kern w:val="0"/>
          <w:sz w:val="24"/>
          <w:szCs w:val="24"/>
          <w14:ligatures w14:val="none"/>
        </w:rPr>
      </w:pPr>
    </w:p>
    <w:p w14:paraId="726149BF" w14:textId="59FCF163" w:rsidR="0087503C" w:rsidRPr="00D3490E" w:rsidRDefault="00CD0DAE" w:rsidP="00D3490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DEME J:    </w:t>
      </w:r>
      <w:r w:rsidR="003A56D0" w:rsidRPr="00D3490E">
        <w:rPr>
          <w:rFonts w:ascii="Times New Roman" w:hAnsi="Times New Roman" w:cs="Times New Roman"/>
          <w:sz w:val="24"/>
          <w:szCs w:val="24"/>
        </w:rPr>
        <w:t>On 20 September 2024, I struck the present application from the urgent roll. I am now supplying the reasons for the order of 20 September 2024</w:t>
      </w:r>
      <w:r>
        <w:rPr>
          <w:rFonts w:ascii="Times New Roman" w:hAnsi="Times New Roman" w:cs="Times New Roman"/>
          <w:sz w:val="24"/>
          <w:szCs w:val="24"/>
        </w:rPr>
        <w:t xml:space="preserve"> upon a</w:t>
      </w:r>
      <w:r w:rsidR="0087503C" w:rsidRPr="00D3490E">
        <w:rPr>
          <w:rFonts w:ascii="Times New Roman" w:hAnsi="Times New Roman" w:cs="Times New Roman"/>
          <w:sz w:val="24"/>
          <w:szCs w:val="24"/>
        </w:rPr>
        <w:t>pplicant’s request</w:t>
      </w:r>
      <w:r w:rsidR="003A56D0" w:rsidRPr="00D3490E">
        <w:rPr>
          <w:rFonts w:ascii="Times New Roman" w:hAnsi="Times New Roman" w:cs="Times New Roman"/>
          <w:sz w:val="24"/>
          <w:szCs w:val="24"/>
        </w:rPr>
        <w:t>.</w:t>
      </w:r>
    </w:p>
    <w:p w14:paraId="3FD2DEA4" w14:textId="56FD79A7" w:rsidR="0087503C" w:rsidRPr="00D3490E" w:rsidRDefault="00CD0DAE" w:rsidP="00D3490E">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w:t>
      </w:r>
      <w:r w:rsidR="00760D72" w:rsidRPr="00D3490E">
        <w:rPr>
          <w:rFonts w:ascii="Times New Roman" w:hAnsi="Times New Roman" w:cs="Times New Roman"/>
          <w:sz w:val="24"/>
          <w:szCs w:val="24"/>
        </w:rPr>
        <w:t xml:space="preserve">pplicant approached this court </w:t>
      </w:r>
      <w:r w:rsidR="0087503C" w:rsidRPr="00D3490E">
        <w:rPr>
          <w:rFonts w:ascii="Times New Roman" w:hAnsi="Times New Roman" w:cs="Times New Roman"/>
          <w:sz w:val="24"/>
          <w:szCs w:val="24"/>
        </w:rPr>
        <w:t xml:space="preserve">on an urgent basis </w:t>
      </w:r>
      <w:r w:rsidR="00760D72" w:rsidRPr="00D3490E">
        <w:rPr>
          <w:rFonts w:ascii="Times New Roman" w:hAnsi="Times New Roman" w:cs="Times New Roman"/>
          <w:sz w:val="24"/>
          <w:szCs w:val="24"/>
        </w:rPr>
        <w:t>seeking the following relief under the terms of the final order:</w:t>
      </w:r>
    </w:p>
    <w:p w14:paraId="5152A85A" w14:textId="143E5015" w:rsidR="00760D72" w:rsidRPr="00CD0DAE" w:rsidRDefault="00E55662" w:rsidP="00E55662">
      <w:pPr>
        <w:pStyle w:val="ListParagraph"/>
        <w:numPr>
          <w:ilvl w:val="0"/>
          <w:numId w:val="3"/>
        </w:numPr>
        <w:spacing w:line="240" w:lineRule="auto"/>
        <w:jc w:val="both"/>
        <w:rPr>
          <w:rFonts w:ascii="Times New Roman" w:hAnsi="Times New Roman" w:cs="Times New Roman"/>
          <w:szCs w:val="24"/>
        </w:rPr>
      </w:pPr>
      <w:r w:rsidRPr="00CD0DAE">
        <w:rPr>
          <w:rFonts w:ascii="Times New Roman" w:hAnsi="Times New Roman" w:cs="Times New Roman"/>
          <w:szCs w:val="24"/>
        </w:rPr>
        <w:t>“</w:t>
      </w:r>
      <w:r w:rsidR="00CD0DAE">
        <w:rPr>
          <w:rFonts w:ascii="Times New Roman" w:hAnsi="Times New Roman" w:cs="Times New Roman"/>
          <w:szCs w:val="24"/>
        </w:rPr>
        <w:t>That the r</w:t>
      </w:r>
      <w:r w:rsidR="00760D72" w:rsidRPr="00CD0DAE">
        <w:rPr>
          <w:rFonts w:ascii="Times New Roman" w:hAnsi="Times New Roman" w:cs="Times New Roman"/>
          <w:szCs w:val="24"/>
        </w:rPr>
        <w:t xml:space="preserve">espondent to continue </w:t>
      </w:r>
      <w:r w:rsidR="0087503C" w:rsidRPr="00CD0DAE">
        <w:rPr>
          <w:rFonts w:ascii="Times New Roman" w:hAnsi="Times New Roman" w:cs="Times New Roman"/>
          <w:szCs w:val="24"/>
        </w:rPr>
        <w:t xml:space="preserve">(sic) </w:t>
      </w:r>
      <w:r w:rsidR="00760D72" w:rsidRPr="00CD0DAE">
        <w:rPr>
          <w:rFonts w:ascii="Times New Roman" w:hAnsi="Times New Roman" w:cs="Times New Roman"/>
          <w:szCs w:val="24"/>
        </w:rPr>
        <w:t xml:space="preserve">to pay the </w:t>
      </w:r>
      <w:r w:rsidR="00CD0DAE">
        <w:rPr>
          <w:rFonts w:ascii="Times New Roman" w:hAnsi="Times New Roman" w:cs="Times New Roman"/>
          <w:szCs w:val="24"/>
        </w:rPr>
        <w:t>a</w:t>
      </w:r>
      <w:r w:rsidR="00760D72" w:rsidRPr="00CD0DAE">
        <w:rPr>
          <w:rFonts w:ascii="Times New Roman" w:hAnsi="Times New Roman" w:cs="Times New Roman"/>
          <w:szCs w:val="24"/>
        </w:rPr>
        <w:t>pplicant's monthly stipend as per agreed verbal agreement.</w:t>
      </w:r>
    </w:p>
    <w:p w14:paraId="1B4A5791" w14:textId="1A69ADBF" w:rsidR="0087503C" w:rsidRPr="00CD0DAE" w:rsidRDefault="00CD0DAE" w:rsidP="00CD0DAE">
      <w:pPr>
        <w:pStyle w:val="ListParagraph"/>
        <w:numPr>
          <w:ilvl w:val="0"/>
          <w:numId w:val="3"/>
        </w:numPr>
        <w:spacing w:line="240" w:lineRule="auto"/>
        <w:jc w:val="both"/>
        <w:rPr>
          <w:rFonts w:ascii="Times New Roman" w:hAnsi="Times New Roman" w:cs="Times New Roman"/>
          <w:szCs w:val="24"/>
        </w:rPr>
      </w:pPr>
      <w:r>
        <w:rPr>
          <w:rFonts w:ascii="Times New Roman" w:hAnsi="Times New Roman" w:cs="Times New Roman"/>
          <w:szCs w:val="24"/>
        </w:rPr>
        <w:t>That the r</w:t>
      </w:r>
      <w:r w:rsidR="00760D72" w:rsidRPr="00CD0DAE">
        <w:rPr>
          <w:rFonts w:ascii="Times New Roman" w:hAnsi="Times New Roman" w:cs="Times New Roman"/>
          <w:szCs w:val="24"/>
        </w:rPr>
        <w:t xml:space="preserve">espondent pay </w:t>
      </w:r>
      <w:r w:rsidR="0087503C" w:rsidRPr="00CD0DAE">
        <w:rPr>
          <w:rFonts w:ascii="Times New Roman" w:hAnsi="Times New Roman" w:cs="Times New Roman"/>
          <w:szCs w:val="24"/>
        </w:rPr>
        <w:t xml:space="preserve">(sic) </w:t>
      </w:r>
      <w:r w:rsidR="00760D72" w:rsidRPr="00CD0DAE">
        <w:rPr>
          <w:rFonts w:ascii="Times New Roman" w:hAnsi="Times New Roman" w:cs="Times New Roman"/>
          <w:szCs w:val="24"/>
        </w:rPr>
        <w:t>costs of this application on a legal practitioner and client scale.</w:t>
      </w:r>
      <w:r w:rsidR="0087503C" w:rsidRPr="00CD0DAE">
        <w:rPr>
          <w:rFonts w:ascii="Times New Roman" w:hAnsi="Times New Roman" w:cs="Times New Roman"/>
          <w:szCs w:val="24"/>
        </w:rPr>
        <w:t>”</w:t>
      </w:r>
    </w:p>
    <w:p w14:paraId="3E9E3B05" w14:textId="186408E4" w:rsidR="0087503C" w:rsidRPr="00D3490E" w:rsidRDefault="00CD0DAE" w:rsidP="00D3490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D3C39" w:rsidRPr="00D3490E">
        <w:rPr>
          <w:rFonts w:ascii="Times New Roman" w:hAnsi="Times New Roman" w:cs="Times New Roman"/>
          <w:sz w:val="24"/>
          <w:szCs w:val="24"/>
        </w:rPr>
        <w:t>T</w:t>
      </w:r>
      <w:r>
        <w:rPr>
          <w:rFonts w:ascii="Times New Roman" w:hAnsi="Times New Roman" w:cs="Times New Roman"/>
          <w:sz w:val="24"/>
          <w:szCs w:val="24"/>
        </w:rPr>
        <w:t>he a</w:t>
      </w:r>
      <w:r w:rsidR="001D3C39" w:rsidRPr="00D3490E">
        <w:rPr>
          <w:rFonts w:ascii="Times New Roman" w:hAnsi="Times New Roman" w:cs="Times New Roman"/>
          <w:sz w:val="24"/>
          <w:szCs w:val="24"/>
        </w:rPr>
        <w:t>pplicant sought the following interim relief:</w:t>
      </w:r>
    </w:p>
    <w:p w14:paraId="778E6123" w14:textId="34C8E0DD" w:rsidR="0025268F" w:rsidRPr="00E55662" w:rsidRDefault="0087503C" w:rsidP="00E55662">
      <w:pPr>
        <w:pStyle w:val="ListParagraph"/>
        <w:numPr>
          <w:ilvl w:val="0"/>
          <w:numId w:val="4"/>
        </w:numPr>
        <w:spacing w:line="240" w:lineRule="auto"/>
        <w:jc w:val="both"/>
        <w:rPr>
          <w:rFonts w:ascii="Times New Roman" w:hAnsi="Times New Roman" w:cs="Times New Roman"/>
          <w:sz w:val="24"/>
          <w:szCs w:val="24"/>
        </w:rPr>
      </w:pPr>
      <w:r w:rsidRPr="00CD0DAE">
        <w:rPr>
          <w:rFonts w:ascii="Times New Roman" w:hAnsi="Times New Roman" w:cs="Times New Roman"/>
          <w:szCs w:val="24"/>
        </w:rPr>
        <w:t>“</w:t>
      </w:r>
      <w:r w:rsidR="00856991">
        <w:rPr>
          <w:rFonts w:ascii="Times New Roman" w:hAnsi="Times New Roman" w:cs="Times New Roman"/>
          <w:szCs w:val="24"/>
        </w:rPr>
        <w:t>That the r</w:t>
      </w:r>
      <w:r w:rsidR="001D3C39" w:rsidRPr="00CD0DAE">
        <w:rPr>
          <w:rFonts w:ascii="Times New Roman" w:hAnsi="Times New Roman" w:cs="Times New Roman"/>
          <w:szCs w:val="24"/>
        </w:rPr>
        <w:t xml:space="preserve">espondent to pay </w:t>
      </w:r>
      <w:r w:rsidRPr="00CD0DAE">
        <w:rPr>
          <w:rFonts w:ascii="Times New Roman" w:hAnsi="Times New Roman" w:cs="Times New Roman"/>
          <w:szCs w:val="24"/>
        </w:rPr>
        <w:t xml:space="preserve">(sic) </w:t>
      </w:r>
      <w:r w:rsidR="001D3C39" w:rsidRPr="00CD0DAE">
        <w:rPr>
          <w:rFonts w:ascii="Times New Roman" w:hAnsi="Times New Roman" w:cs="Times New Roman"/>
          <w:szCs w:val="24"/>
        </w:rPr>
        <w:t>outstanding 7 months monthly stipend.</w:t>
      </w:r>
      <w:r w:rsidRPr="00CD0DAE">
        <w:rPr>
          <w:rFonts w:ascii="Times New Roman" w:hAnsi="Times New Roman" w:cs="Times New Roman"/>
          <w:szCs w:val="24"/>
        </w:rPr>
        <w:t>”</w:t>
      </w:r>
      <w:r w:rsidR="001D3C39" w:rsidRPr="00CD0DAE">
        <w:rPr>
          <w:rFonts w:ascii="Times New Roman" w:hAnsi="Times New Roman" w:cs="Times New Roman"/>
          <w:szCs w:val="24"/>
        </w:rPr>
        <w:t xml:space="preserve"> </w:t>
      </w:r>
    </w:p>
    <w:p w14:paraId="0D0BA71F" w14:textId="1B103E4F" w:rsidR="0075558F" w:rsidRPr="00D3490E" w:rsidRDefault="00CD0DAE" w:rsidP="00CD0D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5268F" w:rsidRPr="00D3490E">
        <w:rPr>
          <w:rFonts w:ascii="Times New Roman" w:hAnsi="Times New Roman" w:cs="Times New Roman"/>
          <w:sz w:val="24"/>
          <w:szCs w:val="24"/>
        </w:rPr>
        <w:t xml:space="preserve">It is </w:t>
      </w:r>
      <w:r>
        <w:rPr>
          <w:rFonts w:ascii="Times New Roman" w:hAnsi="Times New Roman" w:cs="Times New Roman"/>
          <w:sz w:val="24"/>
          <w:szCs w:val="24"/>
        </w:rPr>
        <w:t>the a</w:t>
      </w:r>
      <w:r w:rsidR="00DA371C" w:rsidRPr="00D3490E">
        <w:rPr>
          <w:rFonts w:ascii="Times New Roman" w:hAnsi="Times New Roman" w:cs="Times New Roman"/>
          <w:sz w:val="24"/>
          <w:szCs w:val="24"/>
        </w:rPr>
        <w:t>pplicant’s testimony that his late father w</w:t>
      </w:r>
      <w:r>
        <w:rPr>
          <w:rFonts w:ascii="Times New Roman" w:hAnsi="Times New Roman" w:cs="Times New Roman"/>
          <w:sz w:val="24"/>
          <w:szCs w:val="24"/>
        </w:rPr>
        <w:t>as one of the Directors of the r</w:t>
      </w:r>
      <w:r w:rsidR="00DA371C" w:rsidRPr="00D3490E">
        <w:rPr>
          <w:rFonts w:ascii="Times New Roman" w:hAnsi="Times New Roman" w:cs="Times New Roman"/>
          <w:sz w:val="24"/>
          <w:szCs w:val="24"/>
        </w:rPr>
        <w:t>espondent.</w:t>
      </w:r>
      <w:r w:rsidR="002625F7" w:rsidRPr="00D3490E">
        <w:rPr>
          <w:rFonts w:ascii="Times New Roman" w:hAnsi="Times New Roman" w:cs="Times New Roman"/>
          <w:sz w:val="24"/>
          <w:szCs w:val="24"/>
        </w:rPr>
        <w:t xml:space="preserve"> </w:t>
      </w:r>
      <w:r w:rsidR="00DA371C" w:rsidRPr="00D3490E">
        <w:rPr>
          <w:rFonts w:ascii="Times New Roman" w:hAnsi="Times New Roman" w:cs="Times New Roman"/>
          <w:sz w:val="24"/>
          <w:szCs w:val="24"/>
        </w:rPr>
        <w:t xml:space="preserve"> </w:t>
      </w:r>
      <w:r w:rsidR="002625F7" w:rsidRPr="00D3490E">
        <w:rPr>
          <w:rFonts w:ascii="Times New Roman" w:hAnsi="Times New Roman" w:cs="Times New Roman"/>
          <w:sz w:val="24"/>
          <w:szCs w:val="24"/>
        </w:rPr>
        <w:t xml:space="preserve"> He further all</w:t>
      </w:r>
      <w:r>
        <w:rPr>
          <w:rFonts w:ascii="Times New Roman" w:hAnsi="Times New Roman" w:cs="Times New Roman"/>
          <w:sz w:val="24"/>
          <w:szCs w:val="24"/>
        </w:rPr>
        <w:t>eged that the r</w:t>
      </w:r>
      <w:r w:rsidR="0075558F" w:rsidRPr="00D3490E">
        <w:rPr>
          <w:rFonts w:ascii="Times New Roman" w:hAnsi="Times New Roman" w:cs="Times New Roman"/>
          <w:sz w:val="24"/>
          <w:szCs w:val="24"/>
        </w:rPr>
        <w:t>espondent</w:t>
      </w:r>
      <w:r w:rsidR="00291958">
        <w:rPr>
          <w:rFonts w:ascii="Times New Roman" w:hAnsi="Times New Roman" w:cs="Times New Roman"/>
          <w:sz w:val="24"/>
          <w:szCs w:val="24"/>
        </w:rPr>
        <w:t>, through the Directors who were in office at the material time,</w:t>
      </w:r>
      <w:r w:rsidR="00E55662">
        <w:rPr>
          <w:rFonts w:ascii="Times New Roman" w:hAnsi="Times New Roman" w:cs="Times New Roman"/>
          <w:sz w:val="24"/>
          <w:szCs w:val="24"/>
        </w:rPr>
        <w:t xml:space="preserve"> </w:t>
      </w:r>
      <w:r w:rsidR="0075558F" w:rsidRPr="00D3490E">
        <w:rPr>
          <w:rFonts w:ascii="Times New Roman" w:hAnsi="Times New Roman" w:cs="Times New Roman"/>
          <w:sz w:val="24"/>
          <w:szCs w:val="24"/>
        </w:rPr>
        <w:t xml:space="preserve">made </w:t>
      </w:r>
      <w:r w:rsidR="00C764C1" w:rsidRPr="00D3490E">
        <w:rPr>
          <w:rFonts w:ascii="Times New Roman" w:hAnsi="Times New Roman" w:cs="Times New Roman"/>
          <w:sz w:val="24"/>
          <w:szCs w:val="24"/>
        </w:rPr>
        <w:t>a verbal undertaking</w:t>
      </w:r>
      <w:r w:rsidR="002625F7" w:rsidRPr="00D3490E">
        <w:rPr>
          <w:rFonts w:ascii="Times New Roman" w:hAnsi="Times New Roman" w:cs="Times New Roman"/>
          <w:sz w:val="24"/>
          <w:szCs w:val="24"/>
        </w:rPr>
        <w:t xml:space="preserve"> of paying him, his mother and </w:t>
      </w:r>
      <w:r w:rsidR="00C764C1" w:rsidRPr="00D3490E">
        <w:rPr>
          <w:rFonts w:ascii="Times New Roman" w:hAnsi="Times New Roman" w:cs="Times New Roman"/>
          <w:sz w:val="24"/>
          <w:szCs w:val="24"/>
        </w:rPr>
        <w:t>his sister</w:t>
      </w:r>
      <w:r w:rsidR="002625F7" w:rsidRPr="00D3490E">
        <w:rPr>
          <w:rFonts w:ascii="Times New Roman" w:hAnsi="Times New Roman" w:cs="Times New Roman"/>
          <w:sz w:val="24"/>
          <w:szCs w:val="24"/>
        </w:rPr>
        <w:t xml:space="preserve"> a monthly allowance of US$200 per month</w:t>
      </w:r>
      <w:r w:rsidR="00203E1E" w:rsidRPr="00D3490E">
        <w:rPr>
          <w:rFonts w:ascii="Times New Roman" w:hAnsi="Times New Roman" w:cs="Times New Roman"/>
          <w:sz w:val="24"/>
          <w:szCs w:val="24"/>
        </w:rPr>
        <w:t xml:space="preserve"> per individual</w:t>
      </w:r>
      <w:r w:rsidR="002625F7" w:rsidRPr="00D3490E">
        <w:rPr>
          <w:rFonts w:ascii="Times New Roman" w:hAnsi="Times New Roman" w:cs="Times New Roman"/>
          <w:sz w:val="24"/>
          <w:szCs w:val="24"/>
        </w:rPr>
        <w:t>.</w:t>
      </w:r>
      <w:r w:rsidR="0075558F" w:rsidRPr="00D3490E">
        <w:rPr>
          <w:rFonts w:ascii="Times New Roman" w:hAnsi="Times New Roman" w:cs="Times New Roman"/>
          <w:sz w:val="24"/>
          <w:szCs w:val="24"/>
        </w:rPr>
        <w:t xml:space="preserve"> The monthly allowance was la</w:t>
      </w:r>
      <w:r w:rsidR="00203E1E" w:rsidRPr="00D3490E">
        <w:rPr>
          <w:rFonts w:ascii="Times New Roman" w:hAnsi="Times New Roman" w:cs="Times New Roman"/>
          <w:sz w:val="24"/>
          <w:szCs w:val="24"/>
        </w:rPr>
        <w:t xml:space="preserve">ter increased to US$400. </w:t>
      </w:r>
      <w:r>
        <w:rPr>
          <w:rFonts w:ascii="Times New Roman" w:hAnsi="Times New Roman" w:cs="Times New Roman"/>
          <w:sz w:val="24"/>
          <w:szCs w:val="24"/>
        </w:rPr>
        <w:t xml:space="preserve"> According to the a</w:t>
      </w:r>
      <w:r w:rsidR="002625F7" w:rsidRPr="00D3490E">
        <w:rPr>
          <w:rFonts w:ascii="Times New Roman" w:hAnsi="Times New Roman" w:cs="Times New Roman"/>
          <w:sz w:val="24"/>
          <w:szCs w:val="24"/>
        </w:rPr>
        <w:t xml:space="preserve">pplicant, the arrangement </w:t>
      </w:r>
      <w:r>
        <w:rPr>
          <w:rFonts w:ascii="Times New Roman" w:hAnsi="Times New Roman" w:cs="Times New Roman"/>
          <w:sz w:val="24"/>
          <w:szCs w:val="24"/>
        </w:rPr>
        <w:t>was to continue as long as the r</w:t>
      </w:r>
      <w:r w:rsidR="002625F7" w:rsidRPr="00D3490E">
        <w:rPr>
          <w:rFonts w:ascii="Times New Roman" w:hAnsi="Times New Roman" w:cs="Times New Roman"/>
          <w:sz w:val="24"/>
          <w:szCs w:val="24"/>
        </w:rPr>
        <w:t>espondent was still in existence and had not been liquidated.</w:t>
      </w:r>
      <w:r w:rsidR="001B0651" w:rsidRPr="00D3490E">
        <w:rPr>
          <w:rFonts w:ascii="Times New Roman" w:hAnsi="Times New Roman" w:cs="Times New Roman"/>
          <w:sz w:val="24"/>
          <w:szCs w:val="24"/>
        </w:rPr>
        <w:t xml:space="preserve"> </w:t>
      </w:r>
    </w:p>
    <w:p w14:paraId="56E78369" w14:textId="761CBAF4" w:rsidR="00B2018E" w:rsidRPr="00D3490E" w:rsidRDefault="00CD0DAE" w:rsidP="00CD0D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according to the a</w:t>
      </w:r>
      <w:r w:rsidR="00211317" w:rsidRPr="00D3490E">
        <w:rPr>
          <w:rFonts w:ascii="Times New Roman" w:hAnsi="Times New Roman" w:cs="Times New Roman"/>
          <w:sz w:val="24"/>
          <w:szCs w:val="24"/>
        </w:rPr>
        <w:t xml:space="preserve">pplicant, </w:t>
      </w:r>
      <w:r w:rsidR="00C764C1" w:rsidRPr="00D3490E">
        <w:rPr>
          <w:rFonts w:ascii="Times New Roman" w:hAnsi="Times New Roman" w:cs="Times New Roman"/>
          <w:sz w:val="24"/>
          <w:szCs w:val="24"/>
        </w:rPr>
        <w:t>unilaterally ceased</w:t>
      </w:r>
      <w:r w:rsidR="00211317" w:rsidRPr="00D3490E">
        <w:rPr>
          <w:rFonts w:ascii="Times New Roman" w:hAnsi="Times New Roman" w:cs="Times New Roman"/>
          <w:sz w:val="24"/>
          <w:szCs w:val="24"/>
        </w:rPr>
        <w:t xml:space="preserve"> the payment of his monthly allowance</w:t>
      </w:r>
      <w:r w:rsidR="00FB02AD" w:rsidRPr="00D3490E">
        <w:rPr>
          <w:rFonts w:ascii="Times New Roman" w:hAnsi="Times New Roman" w:cs="Times New Roman"/>
          <w:sz w:val="24"/>
          <w:szCs w:val="24"/>
        </w:rPr>
        <w:t xml:space="preserve"> without notice</w:t>
      </w:r>
      <w:r w:rsidR="00211317" w:rsidRPr="00D3490E">
        <w:rPr>
          <w:rFonts w:ascii="Times New Roman" w:hAnsi="Times New Roman" w:cs="Times New Roman"/>
          <w:sz w:val="24"/>
          <w:szCs w:val="24"/>
        </w:rPr>
        <w:t>.</w:t>
      </w:r>
      <w:r w:rsidR="001B0651" w:rsidRPr="00D3490E">
        <w:rPr>
          <w:rFonts w:ascii="Times New Roman" w:hAnsi="Times New Roman" w:cs="Times New Roman"/>
          <w:sz w:val="24"/>
          <w:szCs w:val="24"/>
        </w:rPr>
        <w:t xml:space="preserve"> He further alleged that his mother and his sister are still receiving their monthly allowances. </w:t>
      </w:r>
      <w:r>
        <w:rPr>
          <w:rFonts w:ascii="Times New Roman" w:hAnsi="Times New Roman" w:cs="Times New Roman"/>
          <w:sz w:val="24"/>
          <w:szCs w:val="24"/>
        </w:rPr>
        <w:t xml:space="preserve"> The a</w:t>
      </w:r>
      <w:r w:rsidR="00051021" w:rsidRPr="00D3490E">
        <w:rPr>
          <w:rFonts w:ascii="Times New Roman" w:hAnsi="Times New Roman" w:cs="Times New Roman"/>
          <w:sz w:val="24"/>
          <w:szCs w:val="24"/>
        </w:rPr>
        <w:t xml:space="preserve">pplicant further affirmed that he was not favoured with the reasons for the cessation of </w:t>
      </w:r>
      <w:r w:rsidR="0075558F" w:rsidRPr="00D3490E">
        <w:rPr>
          <w:rFonts w:ascii="Times New Roman" w:hAnsi="Times New Roman" w:cs="Times New Roman"/>
          <w:sz w:val="24"/>
          <w:szCs w:val="24"/>
        </w:rPr>
        <w:t xml:space="preserve">his </w:t>
      </w:r>
      <w:r w:rsidR="00051021" w:rsidRPr="00D3490E">
        <w:rPr>
          <w:rFonts w:ascii="Times New Roman" w:hAnsi="Times New Roman" w:cs="Times New Roman"/>
          <w:sz w:val="24"/>
          <w:szCs w:val="24"/>
        </w:rPr>
        <w:t xml:space="preserve">monthly allowance. </w:t>
      </w:r>
      <w:r w:rsidR="00B312E7" w:rsidRPr="00D3490E">
        <w:rPr>
          <w:rFonts w:ascii="Times New Roman" w:hAnsi="Times New Roman" w:cs="Times New Roman"/>
          <w:sz w:val="24"/>
          <w:szCs w:val="24"/>
        </w:rPr>
        <w:t xml:space="preserve"> He also </w:t>
      </w:r>
      <w:r w:rsidR="00C764C1" w:rsidRPr="00D3490E">
        <w:rPr>
          <w:rFonts w:ascii="Times New Roman" w:hAnsi="Times New Roman" w:cs="Times New Roman"/>
          <w:sz w:val="24"/>
          <w:szCs w:val="24"/>
        </w:rPr>
        <w:t>averred</w:t>
      </w:r>
      <w:r w:rsidR="00B312E7" w:rsidRPr="00D3490E">
        <w:rPr>
          <w:rFonts w:ascii="Times New Roman" w:hAnsi="Times New Roman" w:cs="Times New Roman"/>
          <w:sz w:val="24"/>
          <w:szCs w:val="24"/>
        </w:rPr>
        <w:t xml:space="preserve"> that </w:t>
      </w:r>
      <w:r>
        <w:rPr>
          <w:rFonts w:ascii="Times New Roman" w:hAnsi="Times New Roman" w:cs="Times New Roman"/>
          <w:sz w:val="24"/>
          <w:szCs w:val="24"/>
        </w:rPr>
        <w:t>he wrote to the r</w:t>
      </w:r>
      <w:r w:rsidR="002A77DD" w:rsidRPr="00D3490E">
        <w:rPr>
          <w:rFonts w:ascii="Times New Roman" w:hAnsi="Times New Roman" w:cs="Times New Roman"/>
          <w:sz w:val="24"/>
          <w:szCs w:val="24"/>
        </w:rPr>
        <w:t>espondent requesting the reason why the monthly allowance was terminated but failed to get any response therefrom.</w:t>
      </w:r>
      <w:r w:rsidR="00C707AA" w:rsidRPr="00D3490E">
        <w:rPr>
          <w:rFonts w:ascii="Times New Roman" w:hAnsi="Times New Roman" w:cs="Times New Roman"/>
          <w:sz w:val="24"/>
          <w:szCs w:val="24"/>
        </w:rPr>
        <w:t xml:space="preserve"> As a result of the termination</w:t>
      </w:r>
      <w:r>
        <w:rPr>
          <w:rFonts w:ascii="Times New Roman" w:hAnsi="Times New Roman" w:cs="Times New Roman"/>
          <w:sz w:val="24"/>
          <w:szCs w:val="24"/>
        </w:rPr>
        <w:t xml:space="preserve"> of his monthly allowance, the a</w:t>
      </w:r>
      <w:r w:rsidR="00C707AA" w:rsidRPr="00D3490E">
        <w:rPr>
          <w:rFonts w:ascii="Times New Roman" w:hAnsi="Times New Roman" w:cs="Times New Roman"/>
          <w:sz w:val="24"/>
          <w:szCs w:val="24"/>
        </w:rPr>
        <w:t xml:space="preserve">pplicant affirmed that he is no longer </w:t>
      </w:r>
      <w:r w:rsidR="00C707AA" w:rsidRPr="00D3490E">
        <w:rPr>
          <w:rFonts w:ascii="Times New Roman" w:hAnsi="Times New Roman" w:cs="Times New Roman"/>
          <w:sz w:val="24"/>
          <w:szCs w:val="24"/>
        </w:rPr>
        <w:lastRenderedPageBreak/>
        <w:t>able to pay school fe</w:t>
      </w:r>
      <w:r w:rsidR="0075558F" w:rsidRPr="00D3490E">
        <w:rPr>
          <w:rFonts w:ascii="Times New Roman" w:hAnsi="Times New Roman" w:cs="Times New Roman"/>
          <w:sz w:val="24"/>
          <w:szCs w:val="24"/>
        </w:rPr>
        <w:t>es</w:t>
      </w:r>
      <w:r w:rsidR="00C707AA" w:rsidRPr="00D3490E">
        <w:rPr>
          <w:rFonts w:ascii="Times New Roman" w:hAnsi="Times New Roman" w:cs="Times New Roman"/>
          <w:sz w:val="24"/>
          <w:szCs w:val="24"/>
        </w:rPr>
        <w:t xml:space="preserve"> for his daughter. He further alleged that his daughter is no longer going to school </w:t>
      </w:r>
      <w:r w:rsidR="00E55662">
        <w:rPr>
          <w:rFonts w:ascii="Times New Roman" w:hAnsi="Times New Roman" w:cs="Times New Roman"/>
          <w:sz w:val="24"/>
          <w:szCs w:val="24"/>
        </w:rPr>
        <w:t>as a result</w:t>
      </w:r>
      <w:r w:rsidR="00C707AA" w:rsidRPr="00D3490E">
        <w:rPr>
          <w:rFonts w:ascii="Times New Roman" w:hAnsi="Times New Roman" w:cs="Times New Roman"/>
          <w:sz w:val="24"/>
          <w:szCs w:val="24"/>
        </w:rPr>
        <w:t xml:space="preserve"> of his failure to pay her school fees.</w:t>
      </w:r>
      <w:r w:rsidR="00E55662">
        <w:rPr>
          <w:rFonts w:ascii="Times New Roman" w:hAnsi="Times New Roman" w:cs="Times New Roman"/>
          <w:sz w:val="24"/>
          <w:szCs w:val="24"/>
        </w:rPr>
        <w:t xml:space="preserve"> </w:t>
      </w:r>
      <w:r w:rsidR="000B2977" w:rsidRPr="00D3490E">
        <w:rPr>
          <w:rFonts w:ascii="Times New Roman" w:hAnsi="Times New Roman" w:cs="Times New Roman"/>
          <w:sz w:val="24"/>
          <w:szCs w:val="24"/>
        </w:rPr>
        <w:t>It is</w:t>
      </w:r>
      <w:r w:rsidR="00E55662">
        <w:rPr>
          <w:rFonts w:ascii="Times New Roman" w:hAnsi="Times New Roman" w:cs="Times New Roman"/>
          <w:sz w:val="24"/>
          <w:szCs w:val="24"/>
        </w:rPr>
        <w:t xml:space="preserve"> </w:t>
      </w:r>
      <w:r>
        <w:rPr>
          <w:rFonts w:ascii="Times New Roman" w:hAnsi="Times New Roman" w:cs="Times New Roman"/>
          <w:sz w:val="24"/>
          <w:szCs w:val="24"/>
        </w:rPr>
        <w:t>the a</w:t>
      </w:r>
      <w:r w:rsidR="000B2977" w:rsidRPr="00D3490E">
        <w:rPr>
          <w:rFonts w:ascii="Times New Roman" w:hAnsi="Times New Roman" w:cs="Times New Roman"/>
          <w:sz w:val="24"/>
          <w:szCs w:val="24"/>
        </w:rPr>
        <w:t>pplicant’s belief</w:t>
      </w:r>
      <w:r w:rsidR="00E55662">
        <w:rPr>
          <w:rFonts w:ascii="Times New Roman" w:hAnsi="Times New Roman" w:cs="Times New Roman"/>
          <w:sz w:val="24"/>
          <w:szCs w:val="24"/>
        </w:rPr>
        <w:t>,</w:t>
      </w:r>
      <w:r w:rsidR="000B2977" w:rsidRPr="00D3490E">
        <w:rPr>
          <w:rFonts w:ascii="Times New Roman" w:hAnsi="Times New Roman" w:cs="Times New Roman"/>
          <w:sz w:val="24"/>
          <w:szCs w:val="24"/>
        </w:rPr>
        <w:t xml:space="preserve"> that the matter must be heard on an urgent </w:t>
      </w:r>
      <w:r w:rsidR="0075558F" w:rsidRPr="00D3490E">
        <w:rPr>
          <w:rFonts w:ascii="Times New Roman" w:hAnsi="Times New Roman" w:cs="Times New Roman"/>
          <w:sz w:val="24"/>
          <w:szCs w:val="24"/>
        </w:rPr>
        <w:t xml:space="preserve">basis </w:t>
      </w:r>
      <w:r w:rsidR="000B2977" w:rsidRPr="00D3490E">
        <w:rPr>
          <w:rFonts w:ascii="Times New Roman" w:hAnsi="Times New Roman" w:cs="Times New Roman"/>
          <w:sz w:val="24"/>
          <w:szCs w:val="24"/>
        </w:rPr>
        <w:t>as he had</w:t>
      </w:r>
      <w:r w:rsidR="002A77DD" w:rsidRPr="00D3490E">
        <w:rPr>
          <w:rFonts w:ascii="Times New Roman" w:hAnsi="Times New Roman" w:cs="Times New Roman"/>
          <w:sz w:val="24"/>
          <w:szCs w:val="24"/>
        </w:rPr>
        <w:t>, thereafter</w:t>
      </w:r>
      <w:r w:rsidR="00C764C1" w:rsidRPr="00D3490E">
        <w:rPr>
          <w:rFonts w:ascii="Times New Roman" w:hAnsi="Times New Roman" w:cs="Times New Roman"/>
          <w:sz w:val="24"/>
          <w:szCs w:val="24"/>
        </w:rPr>
        <w:t>, swiftly</w:t>
      </w:r>
      <w:r w:rsidR="000B2977" w:rsidRPr="00D3490E">
        <w:rPr>
          <w:rFonts w:ascii="Times New Roman" w:hAnsi="Times New Roman" w:cs="Times New Roman"/>
          <w:sz w:val="24"/>
          <w:szCs w:val="24"/>
        </w:rPr>
        <w:t xml:space="preserve"> approached the court.</w:t>
      </w:r>
    </w:p>
    <w:p w14:paraId="3BB94794" w14:textId="78B8F868" w:rsidR="001B0651" w:rsidRPr="00D3490E" w:rsidRDefault="00CD0DAE" w:rsidP="00CD0D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2018E" w:rsidRPr="00D3490E">
        <w:rPr>
          <w:rFonts w:ascii="Times New Roman" w:hAnsi="Times New Roman" w:cs="Times New Roman"/>
          <w:sz w:val="24"/>
          <w:szCs w:val="24"/>
        </w:rPr>
        <w:t xml:space="preserve">The </w:t>
      </w:r>
      <w:r>
        <w:rPr>
          <w:rFonts w:ascii="Times New Roman" w:hAnsi="Times New Roman" w:cs="Times New Roman"/>
          <w:sz w:val="24"/>
          <w:szCs w:val="24"/>
        </w:rPr>
        <w:t>a</w:t>
      </w:r>
      <w:r w:rsidR="00B2018E" w:rsidRPr="00D3490E">
        <w:rPr>
          <w:rFonts w:ascii="Times New Roman" w:hAnsi="Times New Roman" w:cs="Times New Roman"/>
          <w:sz w:val="24"/>
          <w:szCs w:val="24"/>
        </w:rPr>
        <w:t>pplicant additionally asserted</w:t>
      </w:r>
      <w:r w:rsidR="002625F7" w:rsidRPr="00D3490E">
        <w:rPr>
          <w:rFonts w:ascii="Times New Roman" w:hAnsi="Times New Roman" w:cs="Times New Roman"/>
          <w:sz w:val="24"/>
          <w:szCs w:val="24"/>
        </w:rPr>
        <w:t xml:space="preserve"> </w:t>
      </w:r>
      <w:r w:rsidR="00B2018E" w:rsidRPr="00D3490E">
        <w:rPr>
          <w:rFonts w:ascii="Times New Roman" w:hAnsi="Times New Roman" w:cs="Times New Roman"/>
          <w:sz w:val="24"/>
          <w:szCs w:val="24"/>
        </w:rPr>
        <w:t xml:space="preserve">that </w:t>
      </w:r>
      <w:r w:rsidR="002625F7" w:rsidRPr="00D3490E">
        <w:rPr>
          <w:rFonts w:ascii="Times New Roman" w:hAnsi="Times New Roman" w:cs="Times New Roman"/>
          <w:sz w:val="24"/>
          <w:szCs w:val="24"/>
        </w:rPr>
        <w:t>after</w:t>
      </w:r>
      <w:r>
        <w:rPr>
          <w:rFonts w:ascii="Times New Roman" w:hAnsi="Times New Roman" w:cs="Times New Roman"/>
          <w:sz w:val="24"/>
          <w:szCs w:val="24"/>
        </w:rPr>
        <w:t xml:space="preserve"> the death of his father, the r</w:t>
      </w:r>
      <w:r w:rsidR="00B2018E" w:rsidRPr="00D3490E">
        <w:rPr>
          <w:rFonts w:ascii="Times New Roman" w:hAnsi="Times New Roman" w:cs="Times New Roman"/>
          <w:sz w:val="24"/>
          <w:szCs w:val="24"/>
        </w:rPr>
        <w:t xml:space="preserve">espondent’s Directors in 2011 sold </w:t>
      </w:r>
      <w:r>
        <w:rPr>
          <w:rFonts w:ascii="Times New Roman" w:hAnsi="Times New Roman" w:cs="Times New Roman"/>
          <w:sz w:val="24"/>
          <w:szCs w:val="24"/>
        </w:rPr>
        <w:t>the r</w:t>
      </w:r>
      <w:r w:rsidR="00C764C1" w:rsidRPr="00D3490E">
        <w:rPr>
          <w:rFonts w:ascii="Times New Roman" w:hAnsi="Times New Roman" w:cs="Times New Roman"/>
          <w:sz w:val="24"/>
          <w:szCs w:val="24"/>
        </w:rPr>
        <w:t>espondent’s</w:t>
      </w:r>
      <w:r>
        <w:rPr>
          <w:rFonts w:ascii="Times New Roman" w:hAnsi="Times New Roman" w:cs="Times New Roman"/>
          <w:sz w:val="24"/>
          <w:szCs w:val="24"/>
        </w:rPr>
        <w:t xml:space="preserve"> property. The a</w:t>
      </w:r>
      <w:r w:rsidR="00B2018E" w:rsidRPr="00D3490E">
        <w:rPr>
          <w:rFonts w:ascii="Times New Roman" w:hAnsi="Times New Roman" w:cs="Times New Roman"/>
          <w:sz w:val="24"/>
          <w:szCs w:val="24"/>
        </w:rPr>
        <w:t xml:space="preserve">pplicant asserted that the sale was fraudulent as, </w:t>
      </w:r>
      <w:r w:rsidR="00C764C1" w:rsidRPr="00D3490E">
        <w:rPr>
          <w:rFonts w:ascii="Times New Roman" w:hAnsi="Times New Roman" w:cs="Times New Roman"/>
          <w:sz w:val="24"/>
          <w:szCs w:val="24"/>
        </w:rPr>
        <w:t>according to</w:t>
      </w:r>
      <w:r>
        <w:rPr>
          <w:rFonts w:ascii="Times New Roman" w:hAnsi="Times New Roman" w:cs="Times New Roman"/>
          <w:sz w:val="24"/>
          <w:szCs w:val="24"/>
        </w:rPr>
        <w:t xml:space="preserve"> the a</w:t>
      </w:r>
      <w:r w:rsidR="00B2018E" w:rsidRPr="00D3490E">
        <w:rPr>
          <w:rFonts w:ascii="Times New Roman" w:hAnsi="Times New Roman" w:cs="Times New Roman"/>
          <w:sz w:val="24"/>
          <w:szCs w:val="24"/>
        </w:rPr>
        <w:t xml:space="preserve">pplicant, the Directors had misrepresented the </w:t>
      </w:r>
      <w:r>
        <w:rPr>
          <w:rFonts w:ascii="Times New Roman" w:hAnsi="Times New Roman" w:cs="Times New Roman"/>
          <w:sz w:val="24"/>
          <w:szCs w:val="24"/>
        </w:rPr>
        <w:t>fact that the a</w:t>
      </w:r>
      <w:r w:rsidR="00B2018E" w:rsidRPr="00D3490E">
        <w:rPr>
          <w:rFonts w:ascii="Times New Roman" w:hAnsi="Times New Roman" w:cs="Times New Roman"/>
          <w:sz w:val="24"/>
          <w:szCs w:val="24"/>
        </w:rPr>
        <w:t xml:space="preserve">pplicant’s father was still alive at the </w:t>
      </w:r>
      <w:r>
        <w:rPr>
          <w:rFonts w:ascii="Times New Roman" w:hAnsi="Times New Roman" w:cs="Times New Roman"/>
          <w:sz w:val="24"/>
          <w:szCs w:val="24"/>
        </w:rPr>
        <w:t>time of the property sale. The a</w:t>
      </w:r>
      <w:r w:rsidR="00B2018E" w:rsidRPr="00D3490E">
        <w:rPr>
          <w:rFonts w:ascii="Times New Roman" w:hAnsi="Times New Roman" w:cs="Times New Roman"/>
          <w:sz w:val="24"/>
          <w:szCs w:val="24"/>
        </w:rPr>
        <w:t xml:space="preserve">pplicant maintained that he made a police report of this matter. He also alleged that the </w:t>
      </w:r>
      <w:r w:rsidR="0075558F" w:rsidRPr="00D3490E">
        <w:rPr>
          <w:rFonts w:ascii="Times New Roman" w:hAnsi="Times New Roman" w:cs="Times New Roman"/>
          <w:sz w:val="24"/>
          <w:szCs w:val="24"/>
        </w:rPr>
        <w:t xml:space="preserve">Directors </w:t>
      </w:r>
      <w:r w:rsidR="00B2018E" w:rsidRPr="00D3490E">
        <w:rPr>
          <w:rFonts w:ascii="Times New Roman" w:hAnsi="Times New Roman" w:cs="Times New Roman"/>
          <w:sz w:val="24"/>
          <w:szCs w:val="24"/>
        </w:rPr>
        <w:t>in office then reached an</w:t>
      </w:r>
      <w:r w:rsidR="006F52F2">
        <w:rPr>
          <w:rFonts w:ascii="Times New Roman" w:hAnsi="Times New Roman" w:cs="Times New Roman"/>
          <w:sz w:val="24"/>
          <w:szCs w:val="24"/>
        </w:rPr>
        <w:t xml:space="preserve"> </w:t>
      </w:r>
      <w:r w:rsidR="00B2018E" w:rsidRPr="00D3490E">
        <w:rPr>
          <w:rFonts w:ascii="Times New Roman" w:hAnsi="Times New Roman" w:cs="Times New Roman"/>
          <w:sz w:val="24"/>
          <w:szCs w:val="24"/>
        </w:rPr>
        <w:t>ou</w:t>
      </w:r>
      <w:r>
        <w:rPr>
          <w:rFonts w:ascii="Times New Roman" w:hAnsi="Times New Roman" w:cs="Times New Roman"/>
          <w:sz w:val="24"/>
          <w:szCs w:val="24"/>
        </w:rPr>
        <w:t>t of court settlement with the a</w:t>
      </w:r>
      <w:r w:rsidR="00B2018E" w:rsidRPr="00D3490E">
        <w:rPr>
          <w:rFonts w:ascii="Times New Roman" w:hAnsi="Times New Roman" w:cs="Times New Roman"/>
          <w:sz w:val="24"/>
          <w:szCs w:val="24"/>
        </w:rPr>
        <w:t>pplicant</w:t>
      </w:r>
      <w:r w:rsidR="00C9164C">
        <w:rPr>
          <w:rFonts w:ascii="Times New Roman" w:hAnsi="Times New Roman" w:cs="Times New Roman"/>
          <w:sz w:val="24"/>
          <w:szCs w:val="24"/>
        </w:rPr>
        <w:t xml:space="preserve"> where he was to be paid US$2</w:t>
      </w:r>
      <w:r w:rsidR="00B2018E" w:rsidRPr="00D3490E">
        <w:rPr>
          <w:rFonts w:ascii="Times New Roman" w:hAnsi="Times New Roman" w:cs="Times New Roman"/>
          <w:sz w:val="24"/>
          <w:szCs w:val="24"/>
        </w:rPr>
        <w:t>5</w:t>
      </w:r>
      <w:r w:rsidR="00C9164C">
        <w:rPr>
          <w:rFonts w:ascii="Times New Roman" w:hAnsi="Times New Roman" w:cs="Times New Roman"/>
          <w:sz w:val="24"/>
          <w:szCs w:val="24"/>
        </w:rPr>
        <w:t xml:space="preserve"> 0</w:t>
      </w:r>
      <w:r w:rsidR="00B2018E" w:rsidRPr="00D3490E">
        <w:rPr>
          <w:rFonts w:ascii="Times New Roman" w:hAnsi="Times New Roman" w:cs="Times New Roman"/>
          <w:sz w:val="24"/>
          <w:szCs w:val="24"/>
        </w:rPr>
        <w:t>00.</w:t>
      </w:r>
      <w:r w:rsidR="001B0651" w:rsidRPr="00D3490E">
        <w:rPr>
          <w:rFonts w:ascii="Times New Roman" w:hAnsi="Times New Roman" w:cs="Times New Roman"/>
          <w:sz w:val="24"/>
          <w:szCs w:val="24"/>
        </w:rPr>
        <w:t xml:space="preserve"> On this basis, </w:t>
      </w:r>
      <w:r>
        <w:rPr>
          <w:rFonts w:ascii="Times New Roman" w:hAnsi="Times New Roman" w:cs="Times New Roman"/>
          <w:sz w:val="24"/>
          <w:szCs w:val="24"/>
        </w:rPr>
        <w:t>the a</w:t>
      </w:r>
      <w:r w:rsidR="00C764C1" w:rsidRPr="00D3490E">
        <w:rPr>
          <w:rFonts w:ascii="Times New Roman" w:hAnsi="Times New Roman" w:cs="Times New Roman"/>
          <w:sz w:val="24"/>
          <w:szCs w:val="24"/>
        </w:rPr>
        <w:t>pplicant</w:t>
      </w:r>
      <w:r w:rsidR="001B0651" w:rsidRPr="00D3490E">
        <w:rPr>
          <w:rFonts w:ascii="Times New Roman" w:hAnsi="Times New Roman" w:cs="Times New Roman"/>
          <w:sz w:val="24"/>
          <w:szCs w:val="24"/>
        </w:rPr>
        <w:t xml:space="preserve"> </w:t>
      </w:r>
      <w:r w:rsidR="00291958">
        <w:rPr>
          <w:rFonts w:ascii="Times New Roman" w:hAnsi="Times New Roman" w:cs="Times New Roman"/>
          <w:sz w:val="24"/>
          <w:szCs w:val="24"/>
        </w:rPr>
        <w:t xml:space="preserve">averred that he </w:t>
      </w:r>
      <w:r w:rsidR="001B0651" w:rsidRPr="00D3490E">
        <w:rPr>
          <w:rFonts w:ascii="Times New Roman" w:hAnsi="Times New Roman" w:cs="Times New Roman"/>
          <w:sz w:val="24"/>
          <w:szCs w:val="24"/>
        </w:rPr>
        <w:t>withdrew the matter.</w:t>
      </w:r>
    </w:p>
    <w:p w14:paraId="13001E89" w14:textId="3C0861FD" w:rsidR="00C707AA" w:rsidRPr="00D3490E" w:rsidRDefault="00CD0DAE" w:rsidP="00CD0D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the a</w:t>
      </w:r>
      <w:r w:rsidR="001B0651" w:rsidRPr="00D3490E">
        <w:rPr>
          <w:rFonts w:ascii="Times New Roman" w:hAnsi="Times New Roman" w:cs="Times New Roman"/>
          <w:sz w:val="24"/>
          <w:szCs w:val="24"/>
        </w:rPr>
        <w:t xml:space="preserve">pplicant’s testimony that the estate of his late father is </w:t>
      </w:r>
      <w:r>
        <w:rPr>
          <w:rFonts w:ascii="Times New Roman" w:hAnsi="Times New Roman" w:cs="Times New Roman"/>
          <w:sz w:val="24"/>
          <w:szCs w:val="24"/>
        </w:rPr>
        <w:t>registered under DR978/02. The a</w:t>
      </w:r>
      <w:r w:rsidR="001B0651" w:rsidRPr="00D3490E">
        <w:rPr>
          <w:rFonts w:ascii="Times New Roman" w:hAnsi="Times New Roman" w:cs="Times New Roman"/>
          <w:sz w:val="24"/>
          <w:szCs w:val="24"/>
        </w:rPr>
        <w:t xml:space="preserve">pplicant’s mother was appointed an </w:t>
      </w:r>
      <w:r w:rsidR="001B0651" w:rsidRPr="006F52F2">
        <w:rPr>
          <w:rFonts w:ascii="Times New Roman" w:hAnsi="Times New Roman" w:cs="Times New Roman"/>
          <w:i/>
          <w:iCs/>
          <w:sz w:val="24"/>
          <w:szCs w:val="24"/>
        </w:rPr>
        <w:t>executrix dative</w:t>
      </w:r>
      <w:r w:rsidR="001B0651" w:rsidRPr="00D3490E">
        <w:rPr>
          <w:rFonts w:ascii="Times New Roman" w:hAnsi="Times New Roman" w:cs="Times New Roman"/>
          <w:sz w:val="24"/>
          <w:szCs w:val="24"/>
        </w:rPr>
        <w:t xml:space="preserve"> </w:t>
      </w:r>
      <w:r>
        <w:rPr>
          <w:rFonts w:ascii="Times New Roman" w:hAnsi="Times New Roman" w:cs="Times New Roman"/>
          <w:sz w:val="24"/>
          <w:szCs w:val="24"/>
        </w:rPr>
        <w:t>to the a</w:t>
      </w:r>
      <w:r w:rsidR="001B0651" w:rsidRPr="00D3490E">
        <w:rPr>
          <w:rFonts w:ascii="Times New Roman" w:hAnsi="Times New Roman" w:cs="Times New Roman"/>
          <w:sz w:val="24"/>
          <w:szCs w:val="24"/>
        </w:rPr>
        <w:t>pplicant’s father</w:t>
      </w:r>
      <w:r w:rsidR="0075558F" w:rsidRPr="00D3490E">
        <w:rPr>
          <w:rFonts w:ascii="Times New Roman" w:hAnsi="Times New Roman" w:cs="Times New Roman"/>
          <w:sz w:val="24"/>
          <w:szCs w:val="24"/>
        </w:rPr>
        <w:t>’s</w:t>
      </w:r>
      <w:r>
        <w:rPr>
          <w:rFonts w:ascii="Times New Roman" w:hAnsi="Times New Roman" w:cs="Times New Roman"/>
          <w:sz w:val="24"/>
          <w:szCs w:val="24"/>
        </w:rPr>
        <w:t xml:space="preserve"> estate. The a</w:t>
      </w:r>
      <w:r w:rsidR="001B0651" w:rsidRPr="00D3490E">
        <w:rPr>
          <w:rFonts w:ascii="Times New Roman" w:hAnsi="Times New Roman" w:cs="Times New Roman"/>
          <w:sz w:val="24"/>
          <w:szCs w:val="24"/>
        </w:rPr>
        <w:t>pplicant asserted that the directors</w:t>
      </w:r>
      <w:r>
        <w:rPr>
          <w:rFonts w:ascii="Times New Roman" w:hAnsi="Times New Roman" w:cs="Times New Roman"/>
          <w:sz w:val="24"/>
          <w:szCs w:val="24"/>
        </w:rPr>
        <w:t xml:space="preserve"> of the respondent alleged that the a</w:t>
      </w:r>
      <w:r w:rsidR="00203E1E" w:rsidRPr="00D3490E">
        <w:rPr>
          <w:rFonts w:ascii="Times New Roman" w:hAnsi="Times New Roman" w:cs="Times New Roman"/>
          <w:sz w:val="24"/>
          <w:szCs w:val="24"/>
        </w:rPr>
        <w:t xml:space="preserve">pplicant’s late father resigned from his </w:t>
      </w:r>
      <w:r w:rsidR="00C764C1" w:rsidRPr="00D3490E">
        <w:rPr>
          <w:rFonts w:ascii="Times New Roman" w:hAnsi="Times New Roman" w:cs="Times New Roman"/>
          <w:sz w:val="24"/>
          <w:szCs w:val="24"/>
        </w:rPr>
        <w:t>position as</w:t>
      </w:r>
      <w:r w:rsidR="00203E1E" w:rsidRPr="00D3490E">
        <w:rPr>
          <w:rFonts w:ascii="Times New Roman" w:hAnsi="Times New Roman" w:cs="Times New Roman"/>
          <w:sz w:val="24"/>
          <w:szCs w:val="24"/>
        </w:rPr>
        <w:t xml:space="preserve"> one of the </w:t>
      </w:r>
      <w:r>
        <w:rPr>
          <w:rFonts w:ascii="Times New Roman" w:hAnsi="Times New Roman" w:cs="Times New Roman"/>
          <w:sz w:val="24"/>
          <w:szCs w:val="24"/>
        </w:rPr>
        <w:t>r</w:t>
      </w:r>
      <w:r w:rsidR="00C764C1" w:rsidRPr="00D3490E">
        <w:rPr>
          <w:rFonts w:ascii="Times New Roman" w:hAnsi="Times New Roman" w:cs="Times New Roman"/>
          <w:sz w:val="24"/>
          <w:szCs w:val="24"/>
        </w:rPr>
        <w:t>espondent’s Directors</w:t>
      </w:r>
      <w:r w:rsidR="00203E1E" w:rsidRPr="00D3490E">
        <w:rPr>
          <w:rFonts w:ascii="Times New Roman" w:hAnsi="Times New Roman" w:cs="Times New Roman"/>
          <w:sz w:val="24"/>
          <w:szCs w:val="24"/>
        </w:rPr>
        <w:t xml:space="preserve"> befo</w:t>
      </w:r>
      <w:r>
        <w:rPr>
          <w:rFonts w:ascii="Times New Roman" w:hAnsi="Times New Roman" w:cs="Times New Roman"/>
          <w:sz w:val="24"/>
          <w:szCs w:val="24"/>
        </w:rPr>
        <w:t>re his death. According to the a</w:t>
      </w:r>
      <w:r w:rsidR="00203E1E" w:rsidRPr="00D3490E">
        <w:rPr>
          <w:rFonts w:ascii="Times New Roman" w:hAnsi="Times New Roman" w:cs="Times New Roman"/>
          <w:sz w:val="24"/>
          <w:szCs w:val="24"/>
        </w:rPr>
        <w:t>pplicant, there is no evidence that his late father resigned</w:t>
      </w:r>
      <w:r w:rsidR="00C707AA" w:rsidRPr="00D3490E">
        <w:rPr>
          <w:rFonts w:ascii="Times New Roman" w:hAnsi="Times New Roman" w:cs="Times New Roman"/>
          <w:sz w:val="24"/>
          <w:szCs w:val="24"/>
        </w:rPr>
        <w:t xml:space="preserve"> </w:t>
      </w:r>
      <w:r w:rsidR="00203E1E" w:rsidRPr="00D3490E">
        <w:rPr>
          <w:rFonts w:ascii="Times New Roman" w:hAnsi="Times New Roman" w:cs="Times New Roman"/>
          <w:sz w:val="24"/>
          <w:szCs w:val="24"/>
        </w:rPr>
        <w:t>f</w:t>
      </w:r>
      <w:r>
        <w:rPr>
          <w:rFonts w:ascii="Times New Roman" w:hAnsi="Times New Roman" w:cs="Times New Roman"/>
          <w:sz w:val="24"/>
          <w:szCs w:val="24"/>
        </w:rPr>
        <w:t>rom his position as one of the r</w:t>
      </w:r>
      <w:r w:rsidR="00203E1E" w:rsidRPr="00D3490E">
        <w:rPr>
          <w:rFonts w:ascii="Times New Roman" w:hAnsi="Times New Roman" w:cs="Times New Roman"/>
          <w:sz w:val="24"/>
          <w:szCs w:val="24"/>
        </w:rPr>
        <w:t xml:space="preserve">espondent’s Directors.  </w:t>
      </w:r>
    </w:p>
    <w:p w14:paraId="38793E16" w14:textId="0F5B65A9" w:rsidR="003C5C2F" w:rsidRPr="00D3490E" w:rsidRDefault="00CD0DAE" w:rsidP="00CD0D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w:t>
      </w:r>
      <w:r w:rsidR="00C707AA" w:rsidRPr="00D3490E">
        <w:rPr>
          <w:rFonts w:ascii="Times New Roman" w:hAnsi="Times New Roman" w:cs="Times New Roman"/>
          <w:sz w:val="24"/>
          <w:szCs w:val="24"/>
        </w:rPr>
        <w:t xml:space="preserve">pplicant averred that the verbal undertaking </w:t>
      </w:r>
      <w:r w:rsidR="0075558F" w:rsidRPr="00D3490E">
        <w:rPr>
          <w:rFonts w:ascii="Times New Roman" w:hAnsi="Times New Roman" w:cs="Times New Roman"/>
          <w:sz w:val="24"/>
          <w:szCs w:val="24"/>
        </w:rPr>
        <w:t xml:space="preserve">for the monthly allowance </w:t>
      </w:r>
      <w:r w:rsidR="00C707AA" w:rsidRPr="00D3490E">
        <w:rPr>
          <w:rFonts w:ascii="Times New Roman" w:hAnsi="Times New Roman" w:cs="Times New Roman"/>
          <w:sz w:val="24"/>
          <w:szCs w:val="24"/>
        </w:rPr>
        <w:t xml:space="preserve">establishes a </w:t>
      </w:r>
      <w:r w:rsidR="00C707AA" w:rsidRPr="00D3490E">
        <w:rPr>
          <w:rFonts w:ascii="Times New Roman" w:hAnsi="Times New Roman" w:cs="Times New Roman"/>
          <w:i/>
          <w:sz w:val="24"/>
          <w:szCs w:val="24"/>
        </w:rPr>
        <w:t xml:space="preserve">prima facie </w:t>
      </w:r>
      <w:r w:rsidR="00C707AA" w:rsidRPr="00D3490E">
        <w:rPr>
          <w:rFonts w:ascii="Times New Roman" w:hAnsi="Times New Roman" w:cs="Times New Roman"/>
          <w:sz w:val="24"/>
          <w:szCs w:val="24"/>
        </w:rPr>
        <w:t xml:space="preserve">right. He also alleged that he is </w:t>
      </w:r>
      <w:r w:rsidR="0075558F" w:rsidRPr="00D3490E">
        <w:rPr>
          <w:rFonts w:ascii="Times New Roman" w:hAnsi="Times New Roman" w:cs="Times New Roman"/>
          <w:sz w:val="24"/>
          <w:szCs w:val="24"/>
        </w:rPr>
        <w:t xml:space="preserve">labouring </w:t>
      </w:r>
      <w:r w:rsidR="00C707AA" w:rsidRPr="00D3490E">
        <w:rPr>
          <w:rFonts w:ascii="Times New Roman" w:hAnsi="Times New Roman" w:cs="Times New Roman"/>
          <w:sz w:val="24"/>
          <w:szCs w:val="24"/>
        </w:rPr>
        <w:t xml:space="preserve">under </w:t>
      </w:r>
      <w:r w:rsidR="0075558F" w:rsidRPr="00D3490E">
        <w:rPr>
          <w:rFonts w:ascii="Times New Roman" w:hAnsi="Times New Roman" w:cs="Times New Roman"/>
          <w:sz w:val="24"/>
          <w:szCs w:val="24"/>
        </w:rPr>
        <w:t xml:space="preserve">a </w:t>
      </w:r>
      <w:r w:rsidR="00C707AA" w:rsidRPr="00D3490E">
        <w:rPr>
          <w:rFonts w:ascii="Times New Roman" w:hAnsi="Times New Roman" w:cs="Times New Roman"/>
          <w:sz w:val="24"/>
          <w:szCs w:val="24"/>
        </w:rPr>
        <w:t xml:space="preserve">reasonable </w:t>
      </w:r>
      <w:r w:rsidR="0075558F" w:rsidRPr="00D3490E">
        <w:rPr>
          <w:rFonts w:ascii="Times New Roman" w:hAnsi="Times New Roman" w:cs="Times New Roman"/>
          <w:sz w:val="24"/>
          <w:szCs w:val="24"/>
        </w:rPr>
        <w:t xml:space="preserve">apprehension </w:t>
      </w:r>
      <w:r w:rsidR="00C707AA" w:rsidRPr="00D3490E">
        <w:rPr>
          <w:rFonts w:ascii="Times New Roman" w:hAnsi="Times New Roman" w:cs="Times New Roman"/>
          <w:sz w:val="24"/>
          <w:szCs w:val="24"/>
        </w:rPr>
        <w:t>of suffering irreparable harm as the termination of the monthly allowance has caused him to suffer financially.</w:t>
      </w:r>
      <w:r w:rsidR="00631DF0" w:rsidRPr="00D3490E">
        <w:rPr>
          <w:rFonts w:ascii="Times New Roman" w:hAnsi="Times New Roman" w:cs="Times New Roman"/>
          <w:sz w:val="24"/>
          <w:szCs w:val="24"/>
        </w:rPr>
        <w:t xml:space="preserve"> He further alleged that he is no longer able to support his family fina</w:t>
      </w:r>
      <w:r>
        <w:rPr>
          <w:rFonts w:ascii="Times New Roman" w:hAnsi="Times New Roman" w:cs="Times New Roman"/>
          <w:sz w:val="24"/>
          <w:szCs w:val="24"/>
        </w:rPr>
        <w:t>ncially. Being unemployed, the a</w:t>
      </w:r>
      <w:r w:rsidR="00631DF0" w:rsidRPr="00D3490E">
        <w:rPr>
          <w:rFonts w:ascii="Times New Roman" w:hAnsi="Times New Roman" w:cs="Times New Roman"/>
          <w:sz w:val="24"/>
          <w:szCs w:val="24"/>
        </w:rPr>
        <w:t>pplicant claimed that the terminated monthly allowance was his sole source of income.</w:t>
      </w:r>
      <w:r w:rsidR="0075558F" w:rsidRPr="00D3490E">
        <w:rPr>
          <w:rFonts w:ascii="Times New Roman" w:hAnsi="Times New Roman" w:cs="Times New Roman"/>
          <w:sz w:val="24"/>
          <w:szCs w:val="24"/>
        </w:rPr>
        <w:t xml:space="preserve"> </w:t>
      </w:r>
      <w:r w:rsidR="002A6203" w:rsidRPr="00D3490E">
        <w:rPr>
          <w:rFonts w:ascii="Times New Roman" w:hAnsi="Times New Roman" w:cs="Times New Roman"/>
          <w:sz w:val="24"/>
          <w:szCs w:val="24"/>
        </w:rPr>
        <w:t>He further maintained that the balance of convenience favours the granting of the present application</w:t>
      </w:r>
      <w:r w:rsidR="003C5C2F" w:rsidRPr="00D3490E">
        <w:rPr>
          <w:rFonts w:ascii="Times New Roman" w:hAnsi="Times New Roman" w:cs="Times New Roman"/>
          <w:sz w:val="24"/>
          <w:szCs w:val="24"/>
        </w:rPr>
        <w:t xml:space="preserve">. </w:t>
      </w:r>
      <w:r w:rsidR="002A6203" w:rsidRPr="00D3490E">
        <w:rPr>
          <w:rFonts w:ascii="Times New Roman" w:hAnsi="Times New Roman" w:cs="Times New Roman"/>
          <w:sz w:val="24"/>
          <w:szCs w:val="24"/>
        </w:rPr>
        <w:t xml:space="preserve"> </w:t>
      </w:r>
      <w:r>
        <w:rPr>
          <w:rFonts w:ascii="Times New Roman" w:hAnsi="Times New Roman" w:cs="Times New Roman"/>
          <w:sz w:val="24"/>
          <w:szCs w:val="24"/>
        </w:rPr>
        <w:t>It is the a</w:t>
      </w:r>
      <w:r w:rsidR="003C5C2F" w:rsidRPr="00D3490E">
        <w:rPr>
          <w:rFonts w:ascii="Times New Roman" w:hAnsi="Times New Roman" w:cs="Times New Roman"/>
          <w:sz w:val="24"/>
          <w:szCs w:val="24"/>
        </w:rPr>
        <w:t xml:space="preserve">pplicant’s firm belief that </w:t>
      </w:r>
      <w:r>
        <w:rPr>
          <w:rFonts w:ascii="Times New Roman" w:hAnsi="Times New Roman" w:cs="Times New Roman"/>
          <w:sz w:val="24"/>
          <w:szCs w:val="24"/>
        </w:rPr>
        <w:t>the r</w:t>
      </w:r>
      <w:r w:rsidR="002A6203" w:rsidRPr="00D3490E">
        <w:rPr>
          <w:rFonts w:ascii="Times New Roman" w:hAnsi="Times New Roman" w:cs="Times New Roman"/>
          <w:sz w:val="24"/>
          <w:szCs w:val="24"/>
        </w:rPr>
        <w:t>espondent will suffer no prejudice if the present application is granted.</w:t>
      </w:r>
    </w:p>
    <w:p w14:paraId="268F8860" w14:textId="1DE26735" w:rsidR="00E9339D" w:rsidRPr="00CD0DAE" w:rsidRDefault="00CD0DAE" w:rsidP="00D3490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C5C2F" w:rsidRPr="00D3490E">
        <w:rPr>
          <w:rFonts w:ascii="Times New Roman" w:hAnsi="Times New Roman" w:cs="Times New Roman"/>
          <w:sz w:val="24"/>
          <w:szCs w:val="24"/>
        </w:rPr>
        <w:t xml:space="preserve">The sole </w:t>
      </w:r>
      <w:r w:rsidR="00E9339D" w:rsidRPr="00D3490E">
        <w:rPr>
          <w:rFonts w:ascii="Times New Roman" w:hAnsi="Times New Roman" w:cs="Times New Roman"/>
          <w:sz w:val="24"/>
          <w:szCs w:val="24"/>
        </w:rPr>
        <w:t>question which exercised my mind at the time of considering the application was whether the present application may be considered on an urgent basis.</w:t>
      </w:r>
    </w:p>
    <w:p w14:paraId="1EBDFE0E" w14:textId="03C29059" w:rsidR="0055333B" w:rsidRPr="00D3490E" w:rsidRDefault="00CD0DAE" w:rsidP="00CD0DAE">
      <w:pPr>
        <w:pStyle w:val="FootnoteText"/>
        <w:spacing w:after="240" w:line="360" w:lineRule="auto"/>
        <w:jc w:val="both"/>
        <w:rPr>
          <w:sz w:val="24"/>
          <w:szCs w:val="24"/>
        </w:rPr>
      </w:pPr>
      <w:r>
        <w:rPr>
          <w:sz w:val="24"/>
          <w:szCs w:val="24"/>
        </w:rPr>
        <w:lastRenderedPageBreak/>
        <w:tab/>
      </w:r>
      <w:r w:rsidR="0055333B" w:rsidRPr="00D3490E">
        <w:rPr>
          <w:sz w:val="24"/>
          <w:szCs w:val="24"/>
        </w:rPr>
        <w:t xml:space="preserve">Our courts have emphasized the key factors to be considered in the </w:t>
      </w:r>
      <w:r w:rsidR="00C764C1" w:rsidRPr="00D3490E">
        <w:rPr>
          <w:sz w:val="24"/>
          <w:szCs w:val="24"/>
        </w:rPr>
        <w:t>urgent chamber</w:t>
      </w:r>
      <w:r w:rsidR="0055333B" w:rsidRPr="00D3490E">
        <w:rPr>
          <w:sz w:val="24"/>
          <w:szCs w:val="24"/>
        </w:rPr>
        <w:t xml:space="preserve"> application which is brought before the courts. In the case of </w:t>
      </w:r>
      <w:r w:rsidR="0055333B" w:rsidRPr="00CD0DAE">
        <w:rPr>
          <w:i/>
          <w:sz w:val="24"/>
          <w:szCs w:val="24"/>
        </w:rPr>
        <w:t>Kuvarega</w:t>
      </w:r>
      <w:r w:rsidR="0055333B" w:rsidRPr="00D3490E">
        <w:rPr>
          <w:sz w:val="24"/>
          <w:szCs w:val="24"/>
        </w:rPr>
        <w:t xml:space="preserve"> v </w:t>
      </w:r>
      <w:r w:rsidR="0055333B" w:rsidRPr="00CD0DAE">
        <w:rPr>
          <w:i/>
          <w:sz w:val="24"/>
          <w:szCs w:val="24"/>
        </w:rPr>
        <w:t>Registrar General and Anor</w:t>
      </w:r>
      <w:r w:rsidR="0055333B" w:rsidRPr="00CD0DAE">
        <w:rPr>
          <w:rStyle w:val="FootnoteReference"/>
          <w:i/>
          <w:sz w:val="24"/>
          <w:szCs w:val="24"/>
        </w:rPr>
        <w:footnoteReference w:id="1"/>
      </w:r>
      <w:r w:rsidR="0055333B" w:rsidRPr="00D3490E">
        <w:rPr>
          <w:sz w:val="24"/>
          <w:szCs w:val="24"/>
        </w:rPr>
        <w:t xml:space="preserve">  urgency was </w:t>
      </w:r>
      <w:r w:rsidR="00291958">
        <w:rPr>
          <w:sz w:val="24"/>
          <w:szCs w:val="24"/>
        </w:rPr>
        <w:t xml:space="preserve">comprehensively </w:t>
      </w:r>
      <w:r w:rsidR="0055333B" w:rsidRPr="00D3490E">
        <w:rPr>
          <w:sz w:val="24"/>
          <w:szCs w:val="24"/>
        </w:rPr>
        <w:t>defined in the following way:</w:t>
      </w:r>
    </w:p>
    <w:p w14:paraId="07B99F6E" w14:textId="477486D1" w:rsidR="002F46F3" w:rsidRPr="00CD0DAE" w:rsidRDefault="0055333B" w:rsidP="00CD0DAE">
      <w:pPr>
        <w:spacing w:line="240" w:lineRule="auto"/>
        <w:ind w:left="720"/>
        <w:jc w:val="both"/>
        <w:rPr>
          <w:rFonts w:ascii="Times New Roman" w:hAnsi="Times New Roman" w:cs="Times New Roman"/>
          <w:szCs w:val="24"/>
        </w:rPr>
      </w:pPr>
      <w:r w:rsidRPr="00CD0DAE">
        <w:rPr>
          <w:rFonts w:ascii="Times New Roman" w:hAnsi="Times New Roman" w:cs="Times New Roman"/>
          <w:szCs w:val="24"/>
        </w:rPr>
        <w:t>“What constitutes urgency is not only the imminent arrival of the day of reckoning. A matter is urgent if at the time the need to act arise, the matter cannot wait. Urgency which stems from a deliberate or careless abstention from action until the deadline draws near is not the type of urgency contemplated by the rules. It necessarily follows that the certificate of urgency or the supporting affidavit must always contain an explanation of the non-timeous action if there has been any delay.”</w:t>
      </w:r>
    </w:p>
    <w:p w14:paraId="7725EA31" w14:textId="2B8B4AB0" w:rsidR="002F46F3" w:rsidRPr="00D3490E" w:rsidRDefault="00CD0DAE" w:rsidP="00CD0DAE">
      <w:pPr>
        <w:pStyle w:val="FootnoteText"/>
        <w:spacing w:line="360" w:lineRule="auto"/>
        <w:jc w:val="both"/>
        <w:rPr>
          <w:sz w:val="24"/>
          <w:szCs w:val="24"/>
        </w:rPr>
      </w:pPr>
      <w:r>
        <w:rPr>
          <w:sz w:val="24"/>
          <w:szCs w:val="24"/>
        </w:rPr>
        <w:tab/>
      </w:r>
      <w:r w:rsidR="002F46F3" w:rsidRPr="00D3490E">
        <w:rPr>
          <w:sz w:val="24"/>
          <w:szCs w:val="24"/>
        </w:rPr>
        <w:t xml:space="preserve">In the case of </w:t>
      </w:r>
      <w:r w:rsidR="002F46F3" w:rsidRPr="00CD0DAE">
        <w:rPr>
          <w:i/>
          <w:sz w:val="24"/>
          <w:szCs w:val="24"/>
        </w:rPr>
        <w:t>Gwarada</w:t>
      </w:r>
      <w:r w:rsidR="002F46F3" w:rsidRPr="00D3490E">
        <w:rPr>
          <w:sz w:val="24"/>
          <w:szCs w:val="24"/>
        </w:rPr>
        <w:t xml:space="preserve"> v </w:t>
      </w:r>
      <w:r w:rsidR="002F46F3" w:rsidRPr="00CD0DAE">
        <w:rPr>
          <w:i/>
          <w:sz w:val="24"/>
          <w:szCs w:val="24"/>
        </w:rPr>
        <w:t>Johnson and Ors</w:t>
      </w:r>
      <w:r w:rsidR="002F46F3" w:rsidRPr="00D3490E">
        <w:rPr>
          <w:rStyle w:val="FootnoteReference"/>
          <w:sz w:val="24"/>
          <w:szCs w:val="24"/>
        </w:rPr>
        <w:footnoteReference w:id="2"/>
      </w:r>
      <w:r w:rsidR="002F46F3" w:rsidRPr="00D3490E">
        <w:rPr>
          <w:sz w:val="24"/>
          <w:szCs w:val="24"/>
        </w:rPr>
        <w:t xml:space="preserve"> the Court held that time is of </w:t>
      </w:r>
      <w:r w:rsidR="00781E0F">
        <w:rPr>
          <w:sz w:val="24"/>
          <w:szCs w:val="24"/>
        </w:rPr>
        <w:t xml:space="preserve">the </w:t>
      </w:r>
      <w:r w:rsidR="002F46F3" w:rsidRPr="00D3490E">
        <w:rPr>
          <w:sz w:val="24"/>
          <w:szCs w:val="24"/>
        </w:rPr>
        <w:t xml:space="preserve">essence in that the applicant must exhibit urgency in the manner in which he has reacted to the event or the threats. See also the case of </w:t>
      </w:r>
      <w:r w:rsidR="002F46F3" w:rsidRPr="00CD0DAE">
        <w:rPr>
          <w:i/>
          <w:sz w:val="24"/>
          <w:szCs w:val="24"/>
        </w:rPr>
        <w:t>Mukwindiza</w:t>
      </w:r>
      <w:r w:rsidR="002F46F3" w:rsidRPr="00D3490E">
        <w:rPr>
          <w:sz w:val="24"/>
          <w:szCs w:val="24"/>
        </w:rPr>
        <w:t xml:space="preserve"> v </w:t>
      </w:r>
      <w:r w:rsidR="002F46F3" w:rsidRPr="00CD0DAE">
        <w:rPr>
          <w:i/>
          <w:sz w:val="24"/>
          <w:szCs w:val="24"/>
        </w:rPr>
        <w:t>Sithole and Anor</w:t>
      </w:r>
      <w:r w:rsidR="002F46F3" w:rsidRPr="00D3490E">
        <w:rPr>
          <w:rStyle w:val="FootnoteReference"/>
          <w:sz w:val="24"/>
          <w:szCs w:val="24"/>
        </w:rPr>
        <w:footnoteReference w:id="3"/>
      </w:r>
      <w:r w:rsidR="002F46F3" w:rsidRPr="00D3490E">
        <w:rPr>
          <w:sz w:val="24"/>
          <w:szCs w:val="24"/>
        </w:rPr>
        <w:t>.</w:t>
      </w:r>
    </w:p>
    <w:p w14:paraId="6EA49DD4" w14:textId="35E0D529" w:rsidR="0055333B" w:rsidRPr="00781E0F" w:rsidRDefault="00CD0DAE" w:rsidP="00781E0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2908F7" w:rsidRPr="00D3490E">
        <w:rPr>
          <w:rFonts w:ascii="Times New Roman" w:hAnsi="Times New Roman" w:cs="Times New Roman"/>
          <w:sz w:val="24"/>
          <w:szCs w:val="24"/>
        </w:rPr>
        <w:t xml:space="preserve">In </w:t>
      </w:r>
      <w:r w:rsidR="002908F7" w:rsidRPr="00D3490E">
        <w:rPr>
          <w:rFonts w:ascii="Times New Roman" w:hAnsi="Times New Roman" w:cs="Times New Roman"/>
          <w:i/>
          <w:sz w:val="24"/>
          <w:szCs w:val="24"/>
        </w:rPr>
        <w:t>casu,</w:t>
      </w:r>
      <w:r w:rsidR="002908F7" w:rsidRPr="00D3490E">
        <w:rPr>
          <w:rFonts w:ascii="Times New Roman" w:hAnsi="Times New Roman" w:cs="Times New Roman"/>
          <w:sz w:val="24"/>
          <w:szCs w:val="24"/>
        </w:rPr>
        <w:t xml:space="preserve"> t</w:t>
      </w:r>
      <w:r w:rsidR="0055333B" w:rsidRPr="00D3490E">
        <w:rPr>
          <w:rFonts w:ascii="Times New Roman" w:hAnsi="Times New Roman" w:cs="Times New Roman"/>
          <w:sz w:val="24"/>
          <w:szCs w:val="24"/>
        </w:rPr>
        <w:t>he acts complained of happene</w:t>
      </w:r>
      <w:r>
        <w:rPr>
          <w:rFonts w:ascii="Times New Roman" w:hAnsi="Times New Roman" w:cs="Times New Roman"/>
          <w:sz w:val="24"/>
          <w:szCs w:val="24"/>
        </w:rPr>
        <w:t>d in February 2024. The a</w:t>
      </w:r>
      <w:r w:rsidR="0055333B" w:rsidRPr="00D3490E">
        <w:rPr>
          <w:rFonts w:ascii="Times New Roman" w:hAnsi="Times New Roman" w:cs="Times New Roman"/>
          <w:sz w:val="24"/>
          <w:szCs w:val="24"/>
        </w:rPr>
        <w:t xml:space="preserve">pplicant approached this court on an urgent basis </w:t>
      </w:r>
      <w:r>
        <w:rPr>
          <w:rFonts w:ascii="Times New Roman" w:hAnsi="Times New Roman" w:cs="Times New Roman"/>
          <w:sz w:val="24"/>
          <w:szCs w:val="24"/>
        </w:rPr>
        <w:t>nearly seven months later. The a</w:t>
      </w:r>
      <w:r w:rsidR="0055333B" w:rsidRPr="00D3490E">
        <w:rPr>
          <w:rFonts w:ascii="Times New Roman" w:hAnsi="Times New Roman" w:cs="Times New Roman"/>
          <w:sz w:val="24"/>
          <w:szCs w:val="24"/>
        </w:rPr>
        <w:t xml:space="preserve">pplicant failed </w:t>
      </w:r>
      <w:r w:rsidR="000D3738" w:rsidRPr="00D3490E">
        <w:rPr>
          <w:rFonts w:ascii="Times New Roman" w:hAnsi="Times New Roman" w:cs="Times New Roman"/>
          <w:sz w:val="24"/>
          <w:szCs w:val="24"/>
        </w:rPr>
        <w:t>to act swiftly.</w:t>
      </w:r>
      <w:r w:rsidR="00380AA4" w:rsidRPr="00D3490E">
        <w:rPr>
          <w:rFonts w:ascii="Times New Roman" w:hAnsi="Times New Roman" w:cs="Times New Roman"/>
          <w:sz w:val="24"/>
          <w:szCs w:val="24"/>
        </w:rPr>
        <w:t xml:space="preserve"> </w:t>
      </w:r>
      <w:r w:rsidR="00C219F3" w:rsidRPr="00D3490E">
        <w:rPr>
          <w:rFonts w:ascii="Times New Roman" w:hAnsi="Times New Roman" w:cs="Times New Roman"/>
          <w:sz w:val="24"/>
          <w:szCs w:val="24"/>
        </w:rPr>
        <w:t xml:space="preserve"> There is no explanation, in the founding affidavit and affidavit of urgency</w:t>
      </w:r>
      <w:r w:rsidR="00C764C1" w:rsidRPr="00D3490E">
        <w:rPr>
          <w:rFonts w:ascii="Times New Roman" w:hAnsi="Times New Roman" w:cs="Times New Roman"/>
          <w:sz w:val="24"/>
          <w:szCs w:val="24"/>
        </w:rPr>
        <w:t>, for</w:t>
      </w:r>
      <w:r w:rsidR="00C219F3" w:rsidRPr="00D3490E">
        <w:rPr>
          <w:rFonts w:ascii="Times New Roman" w:hAnsi="Times New Roman" w:cs="Times New Roman"/>
          <w:sz w:val="24"/>
          <w:szCs w:val="24"/>
        </w:rPr>
        <w:t xml:space="preserve"> the delay of nearly seven months. </w:t>
      </w:r>
      <w:r w:rsidR="002908F7" w:rsidRPr="00D3490E">
        <w:rPr>
          <w:rFonts w:ascii="Times New Roman" w:hAnsi="Times New Roman" w:cs="Times New Roman"/>
          <w:sz w:val="24"/>
          <w:szCs w:val="24"/>
        </w:rPr>
        <w:t xml:space="preserve"> On this basis, I </w:t>
      </w:r>
      <w:r w:rsidR="00C219F3" w:rsidRPr="00D3490E">
        <w:rPr>
          <w:rFonts w:ascii="Times New Roman" w:hAnsi="Times New Roman" w:cs="Times New Roman"/>
          <w:sz w:val="24"/>
          <w:szCs w:val="24"/>
        </w:rPr>
        <w:t xml:space="preserve">was forced to strike </w:t>
      </w:r>
      <w:r w:rsidR="002908F7" w:rsidRPr="00D3490E">
        <w:rPr>
          <w:rFonts w:ascii="Times New Roman" w:hAnsi="Times New Roman" w:cs="Times New Roman"/>
          <w:sz w:val="24"/>
          <w:szCs w:val="24"/>
        </w:rPr>
        <w:t xml:space="preserve">the present application from the urgent roll. </w:t>
      </w:r>
      <w:r w:rsidR="0055333B" w:rsidRPr="00D3490E">
        <w:rPr>
          <w:rFonts w:ascii="Times New Roman" w:hAnsi="Times New Roman" w:cs="Times New Roman"/>
          <w:sz w:val="24"/>
          <w:szCs w:val="24"/>
        </w:rPr>
        <w:t xml:space="preserve">Further, In the case of </w:t>
      </w:r>
      <w:r w:rsidR="0055333B" w:rsidRPr="00CD0DAE">
        <w:rPr>
          <w:rFonts w:ascii="Times New Roman" w:hAnsi="Times New Roman" w:cs="Times New Roman"/>
          <w:i/>
          <w:sz w:val="24"/>
          <w:szCs w:val="24"/>
        </w:rPr>
        <w:t>Seventh Day Adventist Association of Southern Africa</w:t>
      </w:r>
      <w:r w:rsidR="0055333B" w:rsidRPr="00D3490E">
        <w:rPr>
          <w:rFonts w:ascii="Times New Roman" w:hAnsi="Times New Roman" w:cs="Times New Roman"/>
          <w:sz w:val="24"/>
          <w:szCs w:val="24"/>
        </w:rPr>
        <w:t xml:space="preserve"> v </w:t>
      </w:r>
      <w:r w:rsidR="0055333B" w:rsidRPr="00CD0DAE">
        <w:rPr>
          <w:rFonts w:ascii="Times New Roman" w:hAnsi="Times New Roman" w:cs="Times New Roman"/>
          <w:i/>
          <w:sz w:val="24"/>
          <w:szCs w:val="24"/>
        </w:rPr>
        <w:t>Tshuma</w:t>
      </w:r>
      <w:r w:rsidR="0055333B" w:rsidRPr="00D3490E">
        <w:rPr>
          <w:rStyle w:val="FootnoteReference"/>
          <w:rFonts w:ascii="Times New Roman" w:hAnsi="Times New Roman" w:cs="Times New Roman"/>
          <w:sz w:val="24"/>
          <w:szCs w:val="24"/>
        </w:rPr>
        <w:footnoteReference w:id="4"/>
      </w:r>
      <w:r w:rsidR="0055333B" w:rsidRPr="00D3490E">
        <w:rPr>
          <w:rFonts w:ascii="Times New Roman" w:hAnsi="Times New Roman" w:cs="Times New Roman"/>
          <w:sz w:val="24"/>
          <w:szCs w:val="24"/>
        </w:rPr>
        <w:t xml:space="preserve">, the court held that: </w:t>
      </w:r>
    </w:p>
    <w:p w14:paraId="1E3FE7C2" w14:textId="0D5E5A58" w:rsidR="00076DCA" w:rsidRPr="00CD0DAE" w:rsidRDefault="0055333B" w:rsidP="00CD0DAE">
      <w:pPr>
        <w:pStyle w:val="FootnoteText"/>
        <w:spacing w:after="240"/>
        <w:ind w:left="720"/>
        <w:jc w:val="both"/>
        <w:rPr>
          <w:sz w:val="22"/>
          <w:szCs w:val="24"/>
        </w:rPr>
      </w:pPr>
      <w:r w:rsidRPr="00CD0DAE">
        <w:rPr>
          <w:sz w:val="22"/>
          <w:szCs w:val="24"/>
        </w:rPr>
        <w:t>“It is only in exceptional circumstances that a party should be allowed to jump the queue on the roll and have its matter heard on an urgent basis……. An urgent application amounts to an extraordinary remedy where a party seeks to gain an advantage on other litigants by jumping the queue, and have its matter given preference over other pending matters……”</w:t>
      </w:r>
    </w:p>
    <w:p w14:paraId="3C89F798" w14:textId="10D35E9E" w:rsidR="00C219F3" w:rsidRPr="00D3490E" w:rsidRDefault="00CD0DAE" w:rsidP="00D3490E">
      <w:pPr>
        <w:pStyle w:val="FootnoteText"/>
        <w:spacing w:line="360" w:lineRule="auto"/>
        <w:jc w:val="both"/>
        <w:rPr>
          <w:sz w:val="24"/>
          <w:szCs w:val="24"/>
        </w:rPr>
      </w:pPr>
      <w:r>
        <w:rPr>
          <w:sz w:val="24"/>
          <w:szCs w:val="24"/>
        </w:rPr>
        <w:tab/>
        <w:t>In my opinion, the a</w:t>
      </w:r>
      <w:r w:rsidR="00076DCA" w:rsidRPr="00D3490E">
        <w:rPr>
          <w:sz w:val="24"/>
          <w:szCs w:val="24"/>
        </w:rPr>
        <w:t xml:space="preserve">pplicant has dismally failed to </w:t>
      </w:r>
      <w:r w:rsidR="00C764C1" w:rsidRPr="00D3490E">
        <w:rPr>
          <w:sz w:val="24"/>
          <w:szCs w:val="24"/>
        </w:rPr>
        <w:t>establish exceptional</w:t>
      </w:r>
      <w:r w:rsidR="00076DCA" w:rsidRPr="00D3490E">
        <w:rPr>
          <w:sz w:val="24"/>
          <w:szCs w:val="24"/>
        </w:rPr>
        <w:t xml:space="preserve"> circumstances warranting this court’s intervention on an urgent basis</w:t>
      </w:r>
      <w:r w:rsidR="00D8376B" w:rsidRPr="00D3490E">
        <w:rPr>
          <w:sz w:val="24"/>
          <w:szCs w:val="24"/>
        </w:rPr>
        <w:t>.</w:t>
      </w:r>
      <w:r>
        <w:rPr>
          <w:sz w:val="24"/>
          <w:szCs w:val="24"/>
        </w:rPr>
        <w:t xml:space="preserve"> The a</w:t>
      </w:r>
      <w:r w:rsidR="00C219F3" w:rsidRPr="00D3490E">
        <w:rPr>
          <w:sz w:val="24"/>
          <w:szCs w:val="24"/>
        </w:rPr>
        <w:t xml:space="preserve">pplicant failed to justify why the present application must be prioritized </w:t>
      </w:r>
      <w:r w:rsidR="00C764C1" w:rsidRPr="00D3490E">
        <w:rPr>
          <w:sz w:val="24"/>
          <w:szCs w:val="24"/>
        </w:rPr>
        <w:t>ahead of</w:t>
      </w:r>
      <w:r w:rsidR="00C219F3" w:rsidRPr="00D3490E">
        <w:rPr>
          <w:sz w:val="24"/>
          <w:szCs w:val="24"/>
        </w:rPr>
        <w:t xml:space="preserve"> other litigants.</w:t>
      </w:r>
    </w:p>
    <w:p w14:paraId="07CB6B3F" w14:textId="2B3B4CEC" w:rsidR="0055333B" w:rsidRPr="00D3490E" w:rsidRDefault="00CD0DAE" w:rsidP="00D3490E">
      <w:pPr>
        <w:pStyle w:val="FootnoteText"/>
        <w:spacing w:line="360" w:lineRule="auto"/>
        <w:jc w:val="both"/>
        <w:rPr>
          <w:sz w:val="24"/>
          <w:szCs w:val="24"/>
        </w:rPr>
      </w:pPr>
      <w:r>
        <w:rPr>
          <w:sz w:val="24"/>
          <w:szCs w:val="24"/>
        </w:rPr>
        <w:tab/>
      </w:r>
      <w:r w:rsidR="0055333B" w:rsidRPr="00D3490E">
        <w:rPr>
          <w:sz w:val="24"/>
          <w:szCs w:val="24"/>
        </w:rPr>
        <w:t xml:space="preserve">In addition, the nature of relief and cause of action is very key in determining whether or not the matter is urgent as enunciated in the case of </w:t>
      </w:r>
      <w:r w:rsidR="0055333B" w:rsidRPr="00CD0DAE">
        <w:rPr>
          <w:i/>
          <w:sz w:val="24"/>
          <w:szCs w:val="24"/>
        </w:rPr>
        <w:t>Document Support Centre (Pvt) Ltd</w:t>
      </w:r>
      <w:r w:rsidR="0055333B" w:rsidRPr="00D3490E">
        <w:rPr>
          <w:sz w:val="24"/>
          <w:szCs w:val="24"/>
        </w:rPr>
        <w:t xml:space="preserve"> v </w:t>
      </w:r>
      <w:r w:rsidR="0055333B" w:rsidRPr="00CD0DAE">
        <w:rPr>
          <w:i/>
          <w:sz w:val="24"/>
          <w:szCs w:val="24"/>
        </w:rPr>
        <w:t>Mapuvire</w:t>
      </w:r>
      <w:r w:rsidR="0055333B" w:rsidRPr="00CD0DAE">
        <w:rPr>
          <w:rStyle w:val="FootnoteReference"/>
          <w:i/>
          <w:sz w:val="24"/>
          <w:szCs w:val="24"/>
        </w:rPr>
        <w:footnoteReference w:id="5"/>
      </w:r>
      <w:r w:rsidR="0055333B" w:rsidRPr="00D3490E">
        <w:rPr>
          <w:sz w:val="24"/>
          <w:szCs w:val="24"/>
        </w:rPr>
        <w:t xml:space="preserve">. </w:t>
      </w:r>
      <w:r w:rsidR="0055333B" w:rsidRPr="00CD0DAE">
        <w:rPr>
          <w:smallCaps/>
          <w:sz w:val="24"/>
          <w:szCs w:val="24"/>
        </w:rPr>
        <w:t>Makarau J</w:t>
      </w:r>
      <w:r w:rsidR="0055333B" w:rsidRPr="00D3490E">
        <w:rPr>
          <w:sz w:val="24"/>
          <w:szCs w:val="24"/>
        </w:rPr>
        <w:t xml:space="preserve"> (as she then was), in making her determination in the case of Document Support Centre (Pvt) Ltd  </w:t>
      </w:r>
      <w:r w:rsidR="0055333B" w:rsidRPr="00CD0DAE">
        <w:rPr>
          <w:i/>
          <w:sz w:val="24"/>
          <w:szCs w:val="24"/>
        </w:rPr>
        <w:t>supra</w:t>
      </w:r>
      <w:r w:rsidR="0055333B" w:rsidRPr="00D3490E">
        <w:rPr>
          <w:sz w:val="24"/>
          <w:szCs w:val="24"/>
        </w:rPr>
        <w:t xml:space="preserve"> held that:</w:t>
      </w:r>
    </w:p>
    <w:p w14:paraId="21DDFCC5" w14:textId="77777777" w:rsidR="0055333B" w:rsidRPr="00D3490E" w:rsidRDefault="0055333B" w:rsidP="00D3490E">
      <w:pPr>
        <w:pStyle w:val="FootnoteText"/>
        <w:spacing w:line="360" w:lineRule="auto"/>
        <w:jc w:val="both"/>
        <w:rPr>
          <w:sz w:val="24"/>
          <w:szCs w:val="24"/>
        </w:rPr>
      </w:pPr>
    </w:p>
    <w:p w14:paraId="321ABD24" w14:textId="24A57987" w:rsidR="00D8376B" w:rsidRPr="00CD0DAE" w:rsidRDefault="0055333B" w:rsidP="00CD0DAE">
      <w:pPr>
        <w:pStyle w:val="FootnoteText"/>
        <w:spacing w:after="240"/>
        <w:ind w:left="720"/>
        <w:jc w:val="both"/>
        <w:rPr>
          <w:sz w:val="22"/>
          <w:szCs w:val="24"/>
        </w:rPr>
      </w:pPr>
      <w:r w:rsidRPr="00CD0DAE">
        <w:rPr>
          <w:sz w:val="22"/>
          <w:szCs w:val="24"/>
        </w:rPr>
        <w:lastRenderedPageBreak/>
        <w:t>“Without attempting to classify the causes of action that are incapable of redress by way of urgent application, it appears to me that nature of the cause of action and the relief sought are important considerations in granting or denying urgent applications.”</w:t>
      </w:r>
    </w:p>
    <w:p w14:paraId="79765A5A" w14:textId="709401CC" w:rsidR="00D8376B" w:rsidRPr="00D3490E" w:rsidRDefault="00CD0DAE" w:rsidP="00CD0DAE">
      <w:pPr>
        <w:pStyle w:val="FootnoteText"/>
        <w:spacing w:after="240" w:line="360" w:lineRule="auto"/>
        <w:jc w:val="both"/>
        <w:rPr>
          <w:sz w:val="24"/>
          <w:szCs w:val="24"/>
        </w:rPr>
      </w:pPr>
      <w:r>
        <w:rPr>
          <w:sz w:val="24"/>
          <w:szCs w:val="24"/>
        </w:rPr>
        <w:tab/>
      </w:r>
      <w:r w:rsidR="00D8376B" w:rsidRPr="00D3490E">
        <w:rPr>
          <w:sz w:val="24"/>
          <w:szCs w:val="24"/>
        </w:rPr>
        <w:t xml:space="preserve">In my </w:t>
      </w:r>
      <w:r>
        <w:rPr>
          <w:sz w:val="24"/>
          <w:szCs w:val="24"/>
        </w:rPr>
        <w:t>view, the relief sought by the a</w:t>
      </w:r>
      <w:r w:rsidR="00D8376B" w:rsidRPr="00D3490E">
        <w:rPr>
          <w:sz w:val="24"/>
          <w:szCs w:val="24"/>
        </w:rPr>
        <w:t xml:space="preserve">pplicant is </w:t>
      </w:r>
      <w:r w:rsidR="00291958">
        <w:rPr>
          <w:sz w:val="24"/>
          <w:szCs w:val="24"/>
        </w:rPr>
        <w:t>difficult to determine on an urgent basis</w:t>
      </w:r>
      <w:r w:rsidR="00D8376B" w:rsidRPr="00D3490E">
        <w:rPr>
          <w:sz w:val="24"/>
          <w:szCs w:val="24"/>
        </w:rPr>
        <w:t>.</w:t>
      </w:r>
      <w:r>
        <w:rPr>
          <w:sz w:val="24"/>
          <w:szCs w:val="24"/>
        </w:rPr>
        <w:t xml:space="preserve"> The a</w:t>
      </w:r>
      <w:r w:rsidR="00291958">
        <w:rPr>
          <w:sz w:val="24"/>
          <w:szCs w:val="24"/>
        </w:rPr>
        <w:t xml:space="preserve">pplicant seeks the interim relief for </w:t>
      </w:r>
      <w:r w:rsidR="00F65E44">
        <w:rPr>
          <w:sz w:val="24"/>
          <w:szCs w:val="24"/>
        </w:rPr>
        <w:t xml:space="preserve">arrears of his allowance for seven months. </w:t>
      </w:r>
      <w:r w:rsidR="00D8376B" w:rsidRPr="00D3490E">
        <w:rPr>
          <w:sz w:val="24"/>
          <w:szCs w:val="24"/>
        </w:rPr>
        <w:t>According to his propose</w:t>
      </w:r>
      <w:r>
        <w:rPr>
          <w:sz w:val="24"/>
          <w:szCs w:val="24"/>
        </w:rPr>
        <w:t>d terms of interim relief, the a</w:t>
      </w:r>
      <w:r w:rsidR="00D8376B" w:rsidRPr="00D3490E">
        <w:rPr>
          <w:sz w:val="24"/>
          <w:szCs w:val="24"/>
        </w:rPr>
        <w:t>pplicant prayed for an order that:</w:t>
      </w:r>
    </w:p>
    <w:p w14:paraId="42C4B083" w14:textId="1C61C0E7" w:rsidR="00D52B30" w:rsidRPr="00CD0DAE" w:rsidRDefault="00CD0DAE" w:rsidP="00CD0DAE">
      <w:pPr>
        <w:spacing w:line="240" w:lineRule="auto"/>
        <w:ind w:left="360"/>
        <w:jc w:val="both"/>
        <w:rPr>
          <w:rFonts w:ascii="Times New Roman" w:hAnsi="Times New Roman" w:cs="Times New Roman"/>
          <w:szCs w:val="24"/>
        </w:rPr>
      </w:pPr>
      <w:r>
        <w:rPr>
          <w:rFonts w:ascii="Times New Roman" w:hAnsi="Times New Roman" w:cs="Times New Roman"/>
          <w:szCs w:val="24"/>
        </w:rPr>
        <w:tab/>
        <w:t>“1. That the r</w:t>
      </w:r>
      <w:r w:rsidR="00D8376B" w:rsidRPr="00CD0DAE">
        <w:rPr>
          <w:rFonts w:ascii="Times New Roman" w:hAnsi="Times New Roman" w:cs="Times New Roman"/>
          <w:szCs w:val="24"/>
        </w:rPr>
        <w:t>espondent to pay (sic) outstanding 7 months monthly stipend.”</w:t>
      </w:r>
    </w:p>
    <w:p w14:paraId="0979D26D" w14:textId="637F8EDE" w:rsidR="00783DB0" w:rsidRPr="00D3490E" w:rsidRDefault="00CD0DAE" w:rsidP="008569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53D2F" w:rsidRPr="00D3490E">
        <w:rPr>
          <w:rFonts w:ascii="Times New Roman" w:hAnsi="Times New Roman" w:cs="Times New Roman"/>
          <w:sz w:val="24"/>
          <w:szCs w:val="24"/>
        </w:rPr>
        <w:t>It is difficult to deal with the question of arrears of the monthly allowance in the absence of evidence.</w:t>
      </w:r>
      <w:r w:rsidR="00C219F3" w:rsidRPr="00D3490E">
        <w:rPr>
          <w:rFonts w:ascii="Times New Roman" w:hAnsi="Times New Roman" w:cs="Times New Roman"/>
          <w:sz w:val="24"/>
          <w:szCs w:val="24"/>
        </w:rPr>
        <w:t xml:space="preserve"> What complicates the issue is that the monthly allowance was a result of a verbal agreement between </w:t>
      </w:r>
      <w:r>
        <w:rPr>
          <w:rFonts w:ascii="Times New Roman" w:hAnsi="Times New Roman" w:cs="Times New Roman"/>
          <w:sz w:val="24"/>
          <w:szCs w:val="24"/>
        </w:rPr>
        <w:t>the a</w:t>
      </w:r>
      <w:r w:rsidR="00C764C1" w:rsidRPr="00D3490E">
        <w:rPr>
          <w:rFonts w:ascii="Times New Roman" w:hAnsi="Times New Roman" w:cs="Times New Roman"/>
          <w:sz w:val="24"/>
          <w:szCs w:val="24"/>
        </w:rPr>
        <w:t>pplicant</w:t>
      </w:r>
      <w:r>
        <w:rPr>
          <w:rFonts w:ascii="Times New Roman" w:hAnsi="Times New Roman" w:cs="Times New Roman"/>
          <w:sz w:val="24"/>
          <w:szCs w:val="24"/>
        </w:rPr>
        <w:t xml:space="preserve"> and the respondent, according to the a</w:t>
      </w:r>
      <w:r w:rsidR="00783DB0" w:rsidRPr="00D3490E">
        <w:rPr>
          <w:rFonts w:ascii="Times New Roman" w:hAnsi="Times New Roman" w:cs="Times New Roman"/>
          <w:sz w:val="24"/>
          <w:szCs w:val="24"/>
        </w:rPr>
        <w:t xml:space="preserve">pplicant’s averment. No further evidence was placed before my attention for </w:t>
      </w:r>
      <w:r w:rsidR="00C764C1" w:rsidRPr="00D3490E">
        <w:rPr>
          <w:rFonts w:ascii="Times New Roman" w:hAnsi="Times New Roman" w:cs="Times New Roman"/>
          <w:sz w:val="24"/>
          <w:szCs w:val="24"/>
        </w:rPr>
        <w:t>me to</w:t>
      </w:r>
      <w:r w:rsidR="00783DB0" w:rsidRPr="00D3490E">
        <w:rPr>
          <w:rFonts w:ascii="Times New Roman" w:hAnsi="Times New Roman" w:cs="Times New Roman"/>
          <w:sz w:val="24"/>
          <w:szCs w:val="24"/>
        </w:rPr>
        <w:t xml:space="preserve"> be able to make a determination of the arrears on an urgent basis. </w:t>
      </w:r>
      <w:r w:rsidR="00F53D2F" w:rsidRPr="00D3490E">
        <w:rPr>
          <w:rFonts w:ascii="Times New Roman" w:hAnsi="Times New Roman" w:cs="Times New Roman"/>
          <w:sz w:val="24"/>
          <w:szCs w:val="24"/>
        </w:rPr>
        <w:t xml:space="preserve"> This question can only be comprehensively determined on the return day after hearing all the evidence from the parties to the present application. On this basis, I was driven to strike the matter from the urgent roll.</w:t>
      </w:r>
    </w:p>
    <w:p w14:paraId="3EE06A24" w14:textId="2FE3879C" w:rsidR="00537CB0" w:rsidRPr="00D3490E" w:rsidRDefault="00856991" w:rsidP="0085699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53D2F" w:rsidRPr="00D3490E">
        <w:rPr>
          <w:rFonts w:ascii="Times New Roman" w:hAnsi="Times New Roman" w:cs="Times New Roman"/>
          <w:sz w:val="24"/>
          <w:szCs w:val="24"/>
        </w:rPr>
        <w:t xml:space="preserve">Where the matter is struck from the </w:t>
      </w:r>
      <w:r w:rsidR="00C764C1" w:rsidRPr="00D3490E">
        <w:rPr>
          <w:rFonts w:ascii="Times New Roman" w:hAnsi="Times New Roman" w:cs="Times New Roman"/>
          <w:sz w:val="24"/>
          <w:szCs w:val="24"/>
        </w:rPr>
        <w:t>urgent roll</w:t>
      </w:r>
      <w:r w:rsidR="000179DC" w:rsidRPr="00D3490E">
        <w:rPr>
          <w:rFonts w:ascii="Times New Roman" w:hAnsi="Times New Roman" w:cs="Times New Roman"/>
          <w:sz w:val="24"/>
          <w:szCs w:val="24"/>
        </w:rPr>
        <w:t xml:space="preserve">, it automatically joins the queue for ordinary roll. I believe that the present application deserves </w:t>
      </w:r>
      <w:r w:rsidR="00E9078E" w:rsidRPr="00D3490E">
        <w:rPr>
          <w:rFonts w:ascii="Times New Roman" w:hAnsi="Times New Roman" w:cs="Times New Roman"/>
          <w:sz w:val="24"/>
          <w:szCs w:val="24"/>
        </w:rPr>
        <w:t xml:space="preserve">to be on the </w:t>
      </w:r>
      <w:r w:rsidR="00C764C1" w:rsidRPr="00D3490E">
        <w:rPr>
          <w:rFonts w:ascii="Times New Roman" w:hAnsi="Times New Roman" w:cs="Times New Roman"/>
          <w:sz w:val="24"/>
          <w:szCs w:val="24"/>
        </w:rPr>
        <w:t>ordinary roll</w:t>
      </w:r>
      <w:r w:rsidR="00E9078E" w:rsidRPr="00D3490E">
        <w:rPr>
          <w:rFonts w:ascii="Times New Roman" w:hAnsi="Times New Roman" w:cs="Times New Roman"/>
          <w:sz w:val="24"/>
          <w:szCs w:val="24"/>
        </w:rPr>
        <w:t xml:space="preserve"> as the purported terms of interim relief would be difficult to determine on an urgent basis. </w:t>
      </w:r>
      <w:r w:rsidR="00782875" w:rsidRPr="00D3490E">
        <w:rPr>
          <w:rFonts w:ascii="Times New Roman" w:hAnsi="Times New Roman" w:cs="Times New Roman"/>
          <w:sz w:val="24"/>
          <w:szCs w:val="24"/>
        </w:rPr>
        <w:t>For these reasons, I struck the present application from the urgent roll.</w:t>
      </w:r>
      <w:r w:rsidR="00E9078E" w:rsidRPr="00D3490E">
        <w:rPr>
          <w:rFonts w:ascii="Times New Roman" w:hAnsi="Times New Roman" w:cs="Times New Roman"/>
          <w:sz w:val="24"/>
          <w:szCs w:val="24"/>
        </w:rPr>
        <w:t xml:space="preserve">  </w:t>
      </w:r>
      <w:r w:rsidR="00D8376B" w:rsidRPr="00D3490E">
        <w:rPr>
          <w:rFonts w:ascii="Times New Roman" w:hAnsi="Times New Roman" w:cs="Times New Roman"/>
          <w:sz w:val="24"/>
          <w:szCs w:val="24"/>
        </w:rPr>
        <w:t xml:space="preserve"> </w:t>
      </w:r>
      <w:r w:rsidR="00D8376B" w:rsidRPr="00D3490E">
        <w:rPr>
          <w:rFonts w:ascii="Times New Roman" w:hAnsi="Times New Roman" w:cs="Times New Roman"/>
          <w:sz w:val="24"/>
          <w:szCs w:val="24"/>
        </w:rPr>
        <w:cr/>
      </w:r>
    </w:p>
    <w:p w14:paraId="4254B53B" w14:textId="57D3C5F8" w:rsidR="00537CB0" w:rsidRPr="00D3490E" w:rsidRDefault="00856991" w:rsidP="00856991">
      <w:pPr>
        <w:spacing w:line="360" w:lineRule="auto"/>
        <w:jc w:val="both"/>
        <w:rPr>
          <w:rFonts w:ascii="Times New Roman" w:hAnsi="Times New Roman" w:cs="Times New Roman"/>
          <w:sz w:val="24"/>
          <w:szCs w:val="24"/>
        </w:rPr>
      </w:pPr>
      <w:r w:rsidRPr="00856991">
        <w:rPr>
          <w:rFonts w:ascii="Times New Roman" w:hAnsi="Times New Roman" w:cs="Times New Roman"/>
          <w:b/>
          <w:smallCaps/>
          <w:sz w:val="24"/>
          <w:szCs w:val="24"/>
        </w:rPr>
        <w:t>Deme J</w:t>
      </w:r>
      <w:r>
        <w:rPr>
          <w:rFonts w:ascii="Times New Roman" w:hAnsi="Times New Roman" w:cs="Times New Roman"/>
          <w:sz w:val="24"/>
          <w:szCs w:val="24"/>
        </w:rPr>
        <w:t>:</w:t>
      </w:r>
      <w:r w:rsidR="00537CB0" w:rsidRPr="00D3490E">
        <w:rPr>
          <w:rFonts w:ascii="Times New Roman" w:hAnsi="Times New Roman" w:cs="Times New Roman"/>
          <w:sz w:val="24"/>
          <w:szCs w:val="24"/>
        </w:rPr>
        <w:t xml:space="preserve"> …………</w:t>
      </w:r>
      <w:r w:rsidR="00781E0F">
        <w:rPr>
          <w:rFonts w:ascii="Times New Roman" w:hAnsi="Times New Roman" w:cs="Times New Roman"/>
          <w:sz w:val="24"/>
          <w:szCs w:val="24"/>
        </w:rPr>
        <w:t>………</w:t>
      </w:r>
      <w:r>
        <w:rPr>
          <w:rFonts w:ascii="Times New Roman" w:hAnsi="Times New Roman" w:cs="Times New Roman"/>
          <w:sz w:val="24"/>
          <w:szCs w:val="24"/>
        </w:rPr>
        <w:t>…………………………</w:t>
      </w:r>
    </w:p>
    <w:p w14:paraId="40CF7384" w14:textId="77777777" w:rsidR="0055333B" w:rsidRPr="000E3570" w:rsidRDefault="0055333B" w:rsidP="0055333B">
      <w:pPr>
        <w:pStyle w:val="FootnoteText"/>
        <w:spacing w:line="360" w:lineRule="auto"/>
        <w:jc w:val="both"/>
        <w:rPr>
          <w:sz w:val="24"/>
          <w:szCs w:val="24"/>
        </w:rPr>
      </w:pPr>
    </w:p>
    <w:p w14:paraId="06A02EF6" w14:textId="1C7A9AC0" w:rsidR="00C707AA" w:rsidRPr="00C707AA" w:rsidRDefault="00C707AA" w:rsidP="001D3C39">
      <w:pPr>
        <w:rPr>
          <w:i/>
        </w:rPr>
      </w:pPr>
    </w:p>
    <w:sectPr w:rsidR="00C707AA" w:rsidRPr="00C707A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B35983" w14:textId="77777777" w:rsidR="00D20BBB" w:rsidRDefault="00D20BBB" w:rsidP="003918B5">
      <w:pPr>
        <w:spacing w:after="0" w:line="240" w:lineRule="auto"/>
      </w:pPr>
      <w:r>
        <w:separator/>
      </w:r>
    </w:p>
  </w:endnote>
  <w:endnote w:type="continuationSeparator" w:id="0">
    <w:p w14:paraId="73BD889F" w14:textId="77777777" w:rsidR="00D20BBB" w:rsidRDefault="00D20BBB" w:rsidP="00391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F87AC" w14:textId="77777777" w:rsidR="00D20BBB" w:rsidRDefault="00D20BBB" w:rsidP="003918B5">
      <w:pPr>
        <w:spacing w:after="0" w:line="240" w:lineRule="auto"/>
      </w:pPr>
      <w:r>
        <w:separator/>
      </w:r>
    </w:p>
  </w:footnote>
  <w:footnote w:type="continuationSeparator" w:id="0">
    <w:p w14:paraId="20BBAB60" w14:textId="77777777" w:rsidR="00D20BBB" w:rsidRDefault="00D20BBB" w:rsidP="003918B5">
      <w:pPr>
        <w:spacing w:after="0" w:line="240" w:lineRule="auto"/>
      </w:pPr>
      <w:r>
        <w:continuationSeparator/>
      </w:r>
    </w:p>
  </w:footnote>
  <w:footnote w:id="1">
    <w:p w14:paraId="456C5E69" w14:textId="77777777" w:rsidR="002908F7" w:rsidRPr="00CA47B8" w:rsidRDefault="002908F7" w:rsidP="0055333B">
      <w:pPr>
        <w:pStyle w:val="FootnoteText"/>
        <w:rPr>
          <w:lang w:val="en-ZA"/>
        </w:rPr>
      </w:pPr>
      <w:r>
        <w:rPr>
          <w:rStyle w:val="FootnoteReference"/>
        </w:rPr>
        <w:footnoteRef/>
      </w:r>
      <w:r>
        <w:t xml:space="preserve"> 1998 (1) ZLR 188 (H).</w:t>
      </w:r>
    </w:p>
  </w:footnote>
  <w:footnote w:id="2">
    <w:p w14:paraId="76D8017B" w14:textId="77777777" w:rsidR="002F46F3" w:rsidRPr="00E07C9F" w:rsidRDefault="002F46F3" w:rsidP="002F46F3">
      <w:pPr>
        <w:pStyle w:val="FootnoteText"/>
        <w:rPr>
          <w:lang w:val="en-ZA"/>
        </w:rPr>
      </w:pPr>
      <w:r>
        <w:rPr>
          <w:rStyle w:val="FootnoteReference"/>
        </w:rPr>
        <w:footnoteRef/>
      </w:r>
      <w:r>
        <w:t xml:space="preserve"> 2009 (2) ZLR 159. </w:t>
      </w:r>
    </w:p>
  </w:footnote>
  <w:footnote w:id="3">
    <w:p w14:paraId="57BDC18B" w14:textId="77777777" w:rsidR="002F46F3" w:rsidRPr="008E7890" w:rsidRDefault="002F46F3" w:rsidP="002F46F3">
      <w:pPr>
        <w:pStyle w:val="FootnoteText"/>
        <w:rPr>
          <w:lang w:val="en-ZA"/>
        </w:rPr>
      </w:pPr>
      <w:r>
        <w:rPr>
          <w:rStyle w:val="FootnoteReference"/>
        </w:rPr>
        <w:footnoteRef/>
      </w:r>
      <w:r>
        <w:t xml:space="preserve"> HMT 21-21.</w:t>
      </w:r>
    </w:p>
  </w:footnote>
  <w:footnote w:id="4">
    <w:p w14:paraId="696EBE9B" w14:textId="77777777" w:rsidR="002908F7" w:rsidRPr="0089596E" w:rsidRDefault="002908F7" w:rsidP="0055333B">
      <w:pPr>
        <w:pStyle w:val="FootnoteText"/>
        <w:rPr>
          <w:lang w:val="en-ZA"/>
        </w:rPr>
      </w:pPr>
      <w:r>
        <w:rPr>
          <w:rStyle w:val="FootnoteReference"/>
        </w:rPr>
        <w:footnoteRef/>
      </w:r>
      <w:r>
        <w:t xml:space="preserve"> HB213-20.</w:t>
      </w:r>
    </w:p>
  </w:footnote>
  <w:footnote w:id="5">
    <w:p w14:paraId="58931FB1" w14:textId="77777777" w:rsidR="002908F7" w:rsidRPr="00F17A55" w:rsidRDefault="002908F7" w:rsidP="0055333B">
      <w:pPr>
        <w:pStyle w:val="FootnoteText"/>
        <w:rPr>
          <w:lang w:val="en-ZA"/>
        </w:rPr>
      </w:pPr>
      <w:r>
        <w:rPr>
          <w:rStyle w:val="FootnoteReference"/>
        </w:rPr>
        <w:footnoteRef/>
      </w:r>
      <w:r>
        <w:t xml:space="preserve"> 2006 (2) ZLR 240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1491755"/>
      <w:docPartObj>
        <w:docPartGallery w:val="Page Numbers (Top of Page)"/>
        <w:docPartUnique/>
      </w:docPartObj>
    </w:sdtPr>
    <w:sdtEndPr>
      <w:rPr>
        <w:noProof/>
      </w:rPr>
    </w:sdtEndPr>
    <w:sdtContent>
      <w:p w14:paraId="100E957F" w14:textId="67D88DA2" w:rsidR="002908F7" w:rsidRDefault="002908F7">
        <w:pPr>
          <w:pStyle w:val="Header"/>
          <w:jc w:val="right"/>
          <w:rPr>
            <w:noProof/>
          </w:rPr>
        </w:pPr>
        <w:r>
          <w:fldChar w:fldCharType="begin"/>
        </w:r>
        <w:r>
          <w:instrText xml:space="preserve"> PAGE   \* MERGEFORMAT </w:instrText>
        </w:r>
        <w:r>
          <w:fldChar w:fldCharType="separate"/>
        </w:r>
        <w:r w:rsidR="008544A7">
          <w:rPr>
            <w:noProof/>
          </w:rPr>
          <w:t>1</w:t>
        </w:r>
        <w:r>
          <w:rPr>
            <w:noProof/>
          </w:rPr>
          <w:fldChar w:fldCharType="end"/>
        </w:r>
      </w:p>
      <w:p w14:paraId="55AA604E" w14:textId="5FDBEE1D" w:rsidR="008E35B1" w:rsidRDefault="008E35B1">
        <w:pPr>
          <w:pStyle w:val="Header"/>
          <w:jc w:val="right"/>
          <w:rPr>
            <w:noProof/>
          </w:rPr>
        </w:pPr>
        <w:r>
          <w:rPr>
            <w:noProof/>
          </w:rPr>
          <w:t>HH</w:t>
        </w:r>
        <w:r w:rsidR="00C9164C">
          <w:rPr>
            <w:noProof/>
          </w:rPr>
          <w:t xml:space="preserve"> 516 - 24</w:t>
        </w:r>
      </w:p>
      <w:p w14:paraId="6057FAB9" w14:textId="6C0913BD" w:rsidR="002908F7" w:rsidRDefault="002908F7">
        <w:pPr>
          <w:pStyle w:val="Header"/>
          <w:jc w:val="right"/>
        </w:pPr>
        <w:r>
          <w:rPr>
            <w:noProof/>
          </w:rPr>
          <w:t>HCH 4093/24</w:t>
        </w:r>
      </w:p>
    </w:sdtContent>
  </w:sdt>
  <w:p w14:paraId="321C3386" w14:textId="77777777" w:rsidR="002908F7" w:rsidRDefault="002908F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311AB"/>
    <w:multiLevelType w:val="hybridMultilevel"/>
    <w:tmpl w:val="4A7AB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A4702B"/>
    <w:multiLevelType w:val="hybridMultilevel"/>
    <w:tmpl w:val="4E301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811182"/>
    <w:multiLevelType w:val="hybridMultilevel"/>
    <w:tmpl w:val="07C0B898"/>
    <w:lvl w:ilvl="0" w:tplc="4976A09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6E421E2B"/>
    <w:multiLevelType w:val="hybridMultilevel"/>
    <w:tmpl w:val="0A386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8B5"/>
    <w:rsid w:val="000179DC"/>
    <w:rsid w:val="00036A8E"/>
    <w:rsid w:val="00051021"/>
    <w:rsid w:val="00076DCA"/>
    <w:rsid w:val="000B2977"/>
    <w:rsid w:val="000C7594"/>
    <w:rsid w:val="000D3738"/>
    <w:rsid w:val="000E72CD"/>
    <w:rsid w:val="001B0651"/>
    <w:rsid w:val="001D3C39"/>
    <w:rsid w:val="00203E1E"/>
    <w:rsid w:val="00211317"/>
    <w:rsid w:val="0025268F"/>
    <w:rsid w:val="002625F7"/>
    <w:rsid w:val="002908F7"/>
    <w:rsid w:val="00291958"/>
    <w:rsid w:val="002A463A"/>
    <w:rsid w:val="002A6203"/>
    <w:rsid w:val="002A77DD"/>
    <w:rsid w:val="002F46F3"/>
    <w:rsid w:val="00346969"/>
    <w:rsid w:val="00380AA4"/>
    <w:rsid w:val="003918B5"/>
    <w:rsid w:val="003A56D0"/>
    <w:rsid w:val="003C5C2F"/>
    <w:rsid w:val="0045498A"/>
    <w:rsid w:val="005220F8"/>
    <w:rsid w:val="00537CB0"/>
    <w:rsid w:val="0055333B"/>
    <w:rsid w:val="0057749A"/>
    <w:rsid w:val="0059443A"/>
    <w:rsid w:val="005D5C4A"/>
    <w:rsid w:val="005E62D1"/>
    <w:rsid w:val="00631DF0"/>
    <w:rsid w:val="0065758C"/>
    <w:rsid w:val="006E0635"/>
    <w:rsid w:val="006F52F2"/>
    <w:rsid w:val="007308DB"/>
    <w:rsid w:val="00736745"/>
    <w:rsid w:val="0075558F"/>
    <w:rsid w:val="00760D72"/>
    <w:rsid w:val="00767F2A"/>
    <w:rsid w:val="00781E0F"/>
    <w:rsid w:val="00782875"/>
    <w:rsid w:val="00783DB0"/>
    <w:rsid w:val="008544A7"/>
    <w:rsid w:val="00856991"/>
    <w:rsid w:val="0087503C"/>
    <w:rsid w:val="00897806"/>
    <w:rsid w:val="008E35B1"/>
    <w:rsid w:val="00946296"/>
    <w:rsid w:val="00B2018E"/>
    <w:rsid w:val="00B312E7"/>
    <w:rsid w:val="00C10E5B"/>
    <w:rsid w:val="00C219F3"/>
    <w:rsid w:val="00C707AA"/>
    <w:rsid w:val="00C764C1"/>
    <w:rsid w:val="00C9164C"/>
    <w:rsid w:val="00CD0DAE"/>
    <w:rsid w:val="00D20BBB"/>
    <w:rsid w:val="00D3490E"/>
    <w:rsid w:val="00D52B30"/>
    <w:rsid w:val="00D8376B"/>
    <w:rsid w:val="00DA371C"/>
    <w:rsid w:val="00E55662"/>
    <w:rsid w:val="00E9078E"/>
    <w:rsid w:val="00E9339D"/>
    <w:rsid w:val="00EF3DF4"/>
    <w:rsid w:val="00F53D2F"/>
    <w:rsid w:val="00F65E44"/>
    <w:rsid w:val="00FB02AD"/>
    <w:rsid w:val="00FD0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478B3"/>
  <w15:chartTrackingRefBased/>
  <w15:docId w15:val="{A5848AF0-2B88-430A-8ED1-D1F6955B9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1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8B5"/>
    <w:rPr>
      <w:lang w:val="en-ZW"/>
    </w:rPr>
  </w:style>
  <w:style w:type="paragraph" w:styleId="Footer">
    <w:name w:val="footer"/>
    <w:basedOn w:val="Normal"/>
    <w:link w:val="FooterChar"/>
    <w:uiPriority w:val="99"/>
    <w:unhideWhenUsed/>
    <w:rsid w:val="00391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8B5"/>
    <w:rPr>
      <w:lang w:val="en-ZW"/>
    </w:rPr>
  </w:style>
  <w:style w:type="paragraph" w:styleId="ListParagraph">
    <w:name w:val="List Paragraph"/>
    <w:basedOn w:val="Normal"/>
    <w:uiPriority w:val="34"/>
    <w:qFormat/>
    <w:rsid w:val="00760D72"/>
    <w:pPr>
      <w:ind w:left="720"/>
      <w:contextualSpacing/>
    </w:pPr>
  </w:style>
  <w:style w:type="paragraph" w:styleId="FootnoteText">
    <w:name w:val="footnote text"/>
    <w:basedOn w:val="Normal"/>
    <w:link w:val="FootnoteTextChar"/>
    <w:uiPriority w:val="99"/>
    <w:unhideWhenUsed/>
    <w:rsid w:val="0055333B"/>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FootnoteTextChar">
    <w:name w:val="Footnote Text Char"/>
    <w:basedOn w:val="DefaultParagraphFont"/>
    <w:link w:val="FootnoteText"/>
    <w:uiPriority w:val="99"/>
    <w:rsid w:val="0055333B"/>
    <w:rPr>
      <w:rFonts w:ascii="Times New Roman" w:eastAsia="Times New Roman" w:hAnsi="Times New Roman" w:cs="Times New Roman"/>
      <w:kern w:val="0"/>
      <w:sz w:val="20"/>
      <w:szCs w:val="20"/>
      <w14:ligatures w14:val="none"/>
    </w:rPr>
  </w:style>
  <w:style w:type="character" w:styleId="FootnoteReference">
    <w:name w:val="footnote reference"/>
    <w:uiPriority w:val="99"/>
    <w:semiHidden/>
    <w:unhideWhenUsed/>
    <w:rsid w:val="005533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00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1224</Words>
  <Characters>6982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2024-11-12T12:44:00Z</cp:lastPrinted>
  <dcterms:created xsi:type="dcterms:W3CDTF">2024-11-15T10:00:00Z</dcterms:created>
  <dcterms:modified xsi:type="dcterms:W3CDTF">2024-11-15T10:00:00Z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2f0f475a-ef7f-4237-b680-49053c87b2da</vt:lpwstr>
  </property>
</Properties>
</file>