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49" w:rsidRDefault="001D4249" w:rsidP="001D424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4C3F12">
        <w:rPr>
          <w:b/>
          <w:sz w:val="22"/>
          <w:szCs w:val="22"/>
        </w:rPr>
        <w:t>232</w:t>
      </w:r>
      <w:r>
        <w:rPr>
          <w:b/>
          <w:sz w:val="22"/>
          <w:szCs w:val="22"/>
        </w:rPr>
        <w:t>/16</w:t>
      </w:r>
    </w:p>
    <w:p w:rsidR="001D4249" w:rsidRDefault="001D4249" w:rsidP="001D424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17 FEBRUARY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CASE NO. LC/H/</w:t>
      </w:r>
      <w:r w:rsidR="004C3F12">
        <w:rPr>
          <w:b/>
          <w:sz w:val="22"/>
          <w:szCs w:val="22"/>
        </w:rPr>
        <w:t>APP/801</w:t>
      </w:r>
      <w:bookmarkStart w:id="0" w:name="_GoBack"/>
      <w:bookmarkEnd w:id="0"/>
      <w:r>
        <w:rPr>
          <w:b/>
          <w:sz w:val="22"/>
          <w:szCs w:val="22"/>
        </w:rPr>
        <w:t>/15</w:t>
      </w:r>
    </w:p>
    <w:p w:rsidR="001D4249" w:rsidRDefault="001D4249" w:rsidP="001D424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4C3F12">
        <w:rPr>
          <w:b/>
          <w:sz w:val="22"/>
          <w:szCs w:val="22"/>
        </w:rPr>
        <w:t>22 APRIL</w:t>
      </w:r>
      <w:r>
        <w:rPr>
          <w:b/>
          <w:sz w:val="22"/>
          <w:szCs w:val="22"/>
        </w:rPr>
        <w:t xml:space="preserve">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:rsidR="001D4249" w:rsidRDefault="001D4249" w:rsidP="001D4249">
      <w:pPr>
        <w:spacing w:line="360" w:lineRule="auto"/>
        <w:jc w:val="both"/>
      </w:pPr>
      <w:r>
        <w:t>In the matter between:-</w:t>
      </w:r>
    </w:p>
    <w:p w:rsidR="001D4249" w:rsidRDefault="001D4249" w:rsidP="001D4249">
      <w:pPr>
        <w:spacing w:line="360" w:lineRule="auto"/>
        <w:jc w:val="both"/>
      </w:pPr>
    </w:p>
    <w:p w:rsidR="001D4249" w:rsidRDefault="00C307CF" w:rsidP="001D4249">
      <w:pPr>
        <w:spacing w:line="360" w:lineRule="auto"/>
        <w:jc w:val="both"/>
        <w:rPr>
          <w:b/>
        </w:rPr>
      </w:pPr>
      <w:r>
        <w:rPr>
          <w:b/>
        </w:rPr>
        <w:t>GREEN FUEL (PVT) LTD</w:t>
      </w:r>
      <w:r w:rsidR="001D4249">
        <w:rPr>
          <w:b/>
        </w:rPr>
        <w:tab/>
      </w:r>
      <w:r w:rsidR="001D4249">
        <w:rPr>
          <w:b/>
        </w:rPr>
        <w:tab/>
      </w:r>
      <w:r w:rsidR="001D4249">
        <w:rPr>
          <w:b/>
        </w:rPr>
        <w:tab/>
      </w:r>
      <w:r w:rsidR="001D4249">
        <w:rPr>
          <w:b/>
        </w:rPr>
        <w:tab/>
        <w:t>Applicant</w:t>
      </w:r>
    </w:p>
    <w:p w:rsidR="001D4249" w:rsidRDefault="001D4249" w:rsidP="001D424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1D4249" w:rsidRDefault="00C307CF" w:rsidP="001D4249">
      <w:pPr>
        <w:spacing w:line="360" w:lineRule="auto"/>
        <w:jc w:val="both"/>
        <w:rPr>
          <w:b/>
        </w:rPr>
      </w:pPr>
      <w:r>
        <w:rPr>
          <w:b/>
        </w:rPr>
        <w:t>HARALD REITB</w:t>
      </w:r>
      <w:r w:rsidR="00CE62D2">
        <w:rPr>
          <w:b/>
        </w:rPr>
        <w:t>AUER</w:t>
      </w:r>
      <w:r w:rsidR="009C14EE">
        <w:rPr>
          <w:b/>
        </w:rPr>
        <w:tab/>
      </w:r>
      <w:r w:rsidR="001D4249">
        <w:rPr>
          <w:b/>
        </w:rPr>
        <w:tab/>
      </w:r>
      <w:r w:rsidR="001D4249">
        <w:rPr>
          <w:b/>
        </w:rPr>
        <w:tab/>
      </w:r>
      <w:r w:rsidR="001D4249">
        <w:rPr>
          <w:b/>
        </w:rPr>
        <w:tab/>
        <w:t>Respondent</w:t>
      </w:r>
    </w:p>
    <w:p w:rsidR="001D4249" w:rsidRDefault="001D4249" w:rsidP="001D4249">
      <w:pPr>
        <w:spacing w:line="360" w:lineRule="auto"/>
        <w:jc w:val="both"/>
        <w:rPr>
          <w:b/>
        </w:rPr>
      </w:pPr>
    </w:p>
    <w:p w:rsidR="001D4249" w:rsidRDefault="001D4249" w:rsidP="001D4249">
      <w:pPr>
        <w:spacing w:line="360" w:lineRule="auto"/>
        <w:jc w:val="both"/>
      </w:pPr>
      <w:r>
        <w:t>Before The Honourable E. Muchawa, Judge</w:t>
      </w:r>
    </w:p>
    <w:p w:rsidR="001D4249" w:rsidRDefault="001D4249" w:rsidP="001D4249">
      <w:pPr>
        <w:spacing w:line="360" w:lineRule="auto"/>
        <w:jc w:val="both"/>
      </w:pPr>
    </w:p>
    <w:p w:rsidR="0015742C" w:rsidRDefault="001D4249" w:rsidP="0015742C">
      <w:pPr>
        <w:ind w:left="2880" w:hanging="2880"/>
        <w:jc w:val="both"/>
        <w:rPr>
          <w:b/>
        </w:rPr>
      </w:pPr>
      <w:r>
        <w:rPr>
          <w:b/>
        </w:rPr>
        <w:t>For Applicant</w:t>
      </w:r>
      <w:r w:rsidR="003C0298">
        <w:rPr>
          <w:b/>
        </w:rPr>
        <w:t xml:space="preserve">            </w:t>
      </w:r>
      <w:proofErr w:type="spellStart"/>
      <w:r w:rsidR="003C0298">
        <w:rPr>
          <w:b/>
        </w:rPr>
        <w:t>Mr</w:t>
      </w:r>
      <w:proofErr w:type="spellEnd"/>
      <w:r w:rsidR="003C0298">
        <w:rPr>
          <w:b/>
        </w:rPr>
        <w:t xml:space="preserve"> I Ahmed &amp;</w:t>
      </w:r>
      <w:r w:rsidR="0015742C">
        <w:rPr>
          <w:b/>
        </w:rPr>
        <w:t xml:space="preserve"> applicant</w:t>
      </w:r>
      <w:r w:rsidR="00D6294E">
        <w:rPr>
          <w:b/>
        </w:rPr>
        <w:t>’s representative</w:t>
      </w:r>
      <w:r>
        <w:rPr>
          <w:b/>
        </w:rPr>
        <w:tab/>
      </w:r>
    </w:p>
    <w:p w:rsidR="0015742C" w:rsidRDefault="0015742C" w:rsidP="0015742C">
      <w:pPr>
        <w:ind w:left="2880" w:hanging="2880"/>
        <w:jc w:val="both"/>
        <w:rPr>
          <w:b/>
        </w:rPr>
      </w:pPr>
    </w:p>
    <w:p w:rsidR="001D4249" w:rsidRDefault="001D4249" w:rsidP="0015742C">
      <w:pPr>
        <w:ind w:left="2880" w:hanging="2880"/>
        <w:jc w:val="both"/>
        <w:rPr>
          <w:b/>
        </w:rPr>
      </w:pPr>
      <w:r>
        <w:rPr>
          <w:b/>
        </w:rPr>
        <w:t>For Respondent</w:t>
      </w:r>
      <w:r w:rsidR="003C0298">
        <w:rPr>
          <w:b/>
        </w:rPr>
        <w:t xml:space="preserve">      </w:t>
      </w:r>
      <w:proofErr w:type="spellStart"/>
      <w:r w:rsidR="00D6294E">
        <w:rPr>
          <w:b/>
        </w:rPr>
        <w:t>Mr</w:t>
      </w:r>
      <w:proofErr w:type="spellEnd"/>
      <w:r w:rsidR="00D6294E">
        <w:rPr>
          <w:b/>
        </w:rPr>
        <w:t xml:space="preserve"> I. </w:t>
      </w:r>
      <w:proofErr w:type="spellStart"/>
      <w:r w:rsidR="00D6294E">
        <w:rPr>
          <w:b/>
        </w:rPr>
        <w:t>Ndudzo</w:t>
      </w:r>
      <w:proofErr w:type="spellEnd"/>
      <w:r w:rsidR="00D6294E">
        <w:rPr>
          <w:b/>
        </w:rPr>
        <w:t xml:space="preserve"> &amp; Miss H </w:t>
      </w:r>
      <w:proofErr w:type="spellStart"/>
      <w:r w:rsidR="00D6294E">
        <w:rPr>
          <w:b/>
        </w:rPr>
        <w:t>Mazarura</w:t>
      </w:r>
      <w:proofErr w:type="spellEnd"/>
      <w:r w:rsidR="00D6294E">
        <w:rPr>
          <w:b/>
        </w:rPr>
        <w:t xml:space="preserve"> (Legal Practition</w:t>
      </w:r>
      <w:r w:rsidR="003C0298">
        <w:rPr>
          <w:b/>
        </w:rPr>
        <w:t>ers)</w:t>
      </w:r>
      <w:r>
        <w:rPr>
          <w:b/>
        </w:rPr>
        <w:tab/>
      </w:r>
    </w:p>
    <w:p w:rsidR="001D4249" w:rsidRDefault="001D4249" w:rsidP="001D4249">
      <w:pPr>
        <w:spacing w:line="360" w:lineRule="auto"/>
        <w:ind w:left="2880" w:hanging="2880"/>
        <w:jc w:val="both"/>
        <w:rPr>
          <w:b/>
          <w:sz w:val="28"/>
          <w:szCs w:val="28"/>
        </w:rPr>
      </w:pPr>
    </w:p>
    <w:p w:rsidR="001D4249" w:rsidRDefault="001D4249" w:rsidP="001D4249">
      <w:pPr>
        <w:spacing w:line="360" w:lineRule="auto"/>
        <w:jc w:val="both"/>
        <w:rPr>
          <w:b/>
        </w:rPr>
      </w:pPr>
      <w:r>
        <w:rPr>
          <w:b/>
        </w:rPr>
        <w:t>MUCHAWA, J:</w:t>
      </w:r>
    </w:p>
    <w:p w:rsidR="00F06DA3" w:rsidRDefault="00F06DA3" w:rsidP="00B60822">
      <w:pPr>
        <w:spacing w:line="360" w:lineRule="auto"/>
      </w:pPr>
    </w:p>
    <w:p w:rsidR="00E54D7C" w:rsidRDefault="00E54D7C" w:rsidP="00E54D7C">
      <w:pPr>
        <w:spacing w:line="360" w:lineRule="auto"/>
        <w:jc w:val="both"/>
      </w:pPr>
      <w:r>
        <w:tab/>
        <w:t>This is an application for condonation of late noting of an appeal.</w:t>
      </w:r>
    </w:p>
    <w:p w:rsidR="00FD7FE0" w:rsidRDefault="00FD7FE0" w:rsidP="00B60822">
      <w:pPr>
        <w:jc w:val="both"/>
      </w:pPr>
    </w:p>
    <w:p w:rsidR="00FD7FE0" w:rsidRDefault="00FD7FE0" w:rsidP="00C026CA">
      <w:pPr>
        <w:spacing w:line="360" w:lineRule="auto"/>
        <w:ind w:firstLine="720"/>
        <w:jc w:val="both"/>
      </w:pPr>
      <w:r>
        <w:t>The respondent is a former employ</w:t>
      </w:r>
      <w:r w:rsidR="007C4503">
        <w:t>ee of the applicant.  He was em</w:t>
      </w:r>
      <w:r>
        <w:t>ployed as a projects and construction manager</w:t>
      </w:r>
      <w:r w:rsidR="007C4503">
        <w:t xml:space="preserve"> when there was engagement with a view to terminate the contract by mutual agreement in 2014.  A letter capturing </w:t>
      </w:r>
      <w:r w:rsidR="00585ECB">
        <w:t>the purported terms of the agreement was written on the 31</w:t>
      </w:r>
      <w:r w:rsidR="00585ECB" w:rsidRPr="00585ECB">
        <w:rPr>
          <w:vertAlign w:val="superscript"/>
        </w:rPr>
        <w:t>st</w:t>
      </w:r>
      <w:r w:rsidR="00585ECB">
        <w:t xml:space="preserve"> October 2014 and the respondent ceased reporting for work. </w:t>
      </w:r>
      <w:r w:rsidR="00C026CA">
        <w:t xml:space="preserve">  A dispute arose relating to what was payable upon termination of employment which was referred to the Labour Officer then subsequently for arbitration.</w:t>
      </w:r>
    </w:p>
    <w:p w:rsidR="00C026CA" w:rsidRDefault="00C026CA" w:rsidP="00B60822">
      <w:pPr>
        <w:ind w:firstLine="720"/>
        <w:jc w:val="both"/>
      </w:pPr>
    </w:p>
    <w:p w:rsidR="00C026CA" w:rsidRDefault="00BD3C18" w:rsidP="00C026CA">
      <w:pPr>
        <w:spacing w:line="360" w:lineRule="auto"/>
        <w:ind w:firstLine="720"/>
        <w:jc w:val="both"/>
      </w:pPr>
      <w:r>
        <w:t>The arbitral award was handed down on the 26</w:t>
      </w:r>
      <w:r w:rsidRPr="00BD3C18">
        <w:rPr>
          <w:vertAlign w:val="superscript"/>
        </w:rPr>
        <w:t>th</w:t>
      </w:r>
      <w:r>
        <w:t xml:space="preserve"> of April 2015.  The applicant wishes to appeal against the </w:t>
      </w:r>
      <w:r w:rsidR="00C016AA">
        <w:t xml:space="preserve">arbitral award but is out of time hence this application. </w:t>
      </w:r>
    </w:p>
    <w:p w:rsidR="00C016AA" w:rsidRDefault="00C016AA" w:rsidP="00C026CA">
      <w:pPr>
        <w:spacing w:line="360" w:lineRule="auto"/>
        <w:ind w:firstLine="720"/>
        <w:jc w:val="both"/>
      </w:pPr>
    </w:p>
    <w:p w:rsidR="00C016AA" w:rsidRDefault="00C016AA" w:rsidP="00C026CA">
      <w:pPr>
        <w:spacing w:line="360" w:lineRule="auto"/>
        <w:ind w:firstLine="720"/>
        <w:jc w:val="both"/>
      </w:pPr>
      <w:r>
        <w:t xml:space="preserve">The law to be applied in such matters is trite.  The broad principles that I should consider were set out in the case of </w:t>
      </w:r>
      <w:r w:rsidRPr="00692BBB">
        <w:rPr>
          <w:i/>
        </w:rPr>
        <w:t>Jensen</w:t>
      </w:r>
      <w:r>
        <w:t xml:space="preserve"> v </w:t>
      </w:r>
      <w:r w:rsidRPr="00692BBB">
        <w:rPr>
          <w:i/>
        </w:rPr>
        <w:t>Acavalos</w:t>
      </w:r>
      <w:r>
        <w:t xml:space="preserve"> 1993 (1) ZLR 216 </w:t>
      </w:r>
      <w:r>
        <w:lastRenderedPageBreak/>
        <w:t>(SC)</w:t>
      </w:r>
      <w:r w:rsidR="0000611F">
        <w:t>.  These are; the extent of the delay, the reasonableness of the explanation given</w:t>
      </w:r>
      <w:r w:rsidR="00FA300E">
        <w:t xml:space="preserve"> for the delay and </w:t>
      </w:r>
      <w:r w:rsidR="002B2E3E">
        <w:t>the</w:t>
      </w:r>
      <w:r w:rsidR="00BC59FF">
        <w:t xml:space="preserve"> prospects of success on appeal.</w:t>
      </w:r>
    </w:p>
    <w:p w:rsidR="00BC59FF" w:rsidRDefault="00BC59FF" w:rsidP="000B05A1">
      <w:pPr>
        <w:ind w:firstLine="720"/>
        <w:jc w:val="both"/>
      </w:pPr>
    </w:p>
    <w:p w:rsidR="00BC59FF" w:rsidRDefault="00BC59FF" w:rsidP="00C026CA">
      <w:pPr>
        <w:spacing w:line="360" w:lineRule="auto"/>
        <w:ind w:firstLine="720"/>
        <w:jc w:val="both"/>
      </w:pPr>
      <w:r>
        <w:t xml:space="preserve">I now turn to apply the law to the facts </w:t>
      </w:r>
      <w:r w:rsidRPr="00692BBB">
        <w:rPr>
          <w:i/>
        </w:rPr>
        <w:t>in casu</w:t>
      </w:r>
      <w:r>
        <w:t>.</w:t>
      </w:r>
    </w:p>
    <w:p w:rsidR="00E5089E" w:rsidRDefault="00E5089E" w:rsidP="000B05A1">
      <w:pPr>
        <w:jc w:val="both"/>
      </w:pPr>
    </w:p>
    <w:p w:rsidR="00E5089E" w:rsidRPr="002F56A5" w:rsidRDefault="00E5089E" w:rsidP="00E5089E">
      <w:pPr>
        <w:spacing w:line="360" w:lineRule="auto"/>
        <w:jc w:val="both"/>
        <w:rPr>
          <w:u w:val="single"/>
        </w:rPr>
      </w:pPr>
      <w:r w:rsidRPr="002F56A5">
        <w:rPr>
          <w:u w:val="single"/>
        </w:rPr>
        <w:t>Extent of the delay</w:t>
      </w:r>
    </w:p>
    <w:p w:rsidR="00E5089E" w:rsidRDefault="00E5089E" w:rsidP="000B05A1">
      <w:pPr>
        <w:jc w:val="both"/>
      </w:pPr>
    </w:p>
    <w:p w:rsidR="00E5089E" w:rsidRDefault="00E5089E" w:rsidP="000B05A1">
      <w:pPr>
        <w:spacing w:line="360" w:lineRule="auto"/>
        <w:ind w:firstLine="720"/>
        <w:jc w:val="both"/>
      </w:pPr>
      <w:r>
        <w:t xml:space="preserve">An appeal against a decision of </w:t>
      </w:r>
      <w:r w:rsidR="005C50BD">
        <w:t xml:space="preserve">an arbitrator should be filed in the Labour Court, within twenty-one days from the date when the </w:t>
      </w:r>
      <w:r w:rsidR="003A05B8">
        <w:t>appellant receives the decision to be appealed against.  (Rule 15 of the Labour Court Rules Statutory Instrument 59 of 2006).</w:t>
      </w:r>
    </w:p>
    <w:p w:rsidR="003A05B8" w:rsidRDefault="003A05B8" w:rsidP="004E2411">
      <w:pPr>
        <w:ind w:firstLine="720"/>
        <w:jc w:val="both"/>
      </w:pPr>
    </w:p>
    <w:p w:rsidR="003A05B8" w:rsidRDefault="003A05B8" w:rsidP="00E5089E">
      <w:pPr>
        <w:spacing w:line="360" w:lineRule="auto"/>
        <w:ind w:firstLine="720"/>
        <w:jc w:val="both"/>
      </w:pPr>
      <w:r>
        <w:t xml:space="preserve">The applicant does not state clearly the date on which the arbitral award was received in its founding affidavit.  There is a mere reference to “soon after the applicant became aware of the arbitral award,” in </w:t>
      </w:r>
      <w:r w:rsidR="006D325A">
        <w:t>paragraph 6 of the founding affidavit.</w:t>
      </w:r>
    </w:p>
    <w:p w:rsidR="006D325A" w:rsidRDefault="006D325A" w:rsidP="00FC55FD">
      <w:pPr>
        <w:ind w:firstLine="720"/>
        <w:jc w:val="both"/>
      </w:pPr>
    </w:p>
    <w:p w:rsidR="006D325A" w:rsidRDefault="006D325A" w:rsidP="00E5089E">
      <w:pPr>
        <w:spacing w:line="360" w:lineRule="auto"/>
        <w:ind w:firstLine="720"/>
        <w:jc w:val="both"/>
      </w:pPr>
      <w:r>
        <w:t xml:space="preserve">In paragraph B.2 of the applicant’s </w:t>
      </w:r>
      <w:r w:rsidR="00F74F80">
        <w:t>heads of argument there is an admission that the degree of non compliance is considerable as the appeal should have been filed by close of business on the 27</w:t>
      </w:r>
      <w:r w:rsidR="00F74F80" w:rsidRPr="00F74F80">
        <w:rPr>
          <w:vertAlign w:val="superscript"/>
        </w:rPr>
        <w:t>th</w:t>
      </w:r>
      <w:r w:rsidR="00F74F80">
        <w:t xml:space="preserve"> May 2015.</w:t>
      </w:r>
    </w:p>
    <w:p w:rsidR="00940425" w:rsidRDefault="00940425" w:rsidP="00FC55FD">
      <w:pPr>
        <w:ind w:firstLine="720"/>
        <w:jc w:val="both"/>
      </w:pPr>
    </w:p>
    <w:p w:rsidR="00940425" w:rsidRDefault="00940425" w:rsidP="00E5089E">
      <w:pPr>
        <w:spacing w:line="360" w:lineRule="auto"/>
        <w:ind w:firstLine="720"/>
        <w:jc w:val="both"/>
      </w:pPr>
      <w:r>
        <w:t>This application for condonation was only filed on the 7</w:t>
      </w:r>
      <w:r w:rsidRPr="00940425">
        <w:rPr>
          <w:vertAlign w:val="superscript"/>
        </w:rPr>
        <w:t>th</w:t>
      </w:r>
      <w:r>
        <w:t xml:space="preserve"> of July 2015, making it about a month and a week late.</w:t>
      </w:r>
    </w:p>
    <w:p w:rsidR="00940425" w:rsidRDefault="00940425" w:rsidP="00FC55FD">
      <w:pPr>
        <w:ind w:firstLine="720"/>
        <w:jc w:val="both"/>
      </w:pPr>
    </w:p>
    <w:p w:rsidR="00940425" w:rsidRDefault="00940425" w:rsidP="00E5089E">
      <w:pPr>
        <w:spacing w:line="360" w:lineRule="auto"/>
        <w:ind w:firstLine="720"/>
        <w:jc w:val="both"/>
      </w:pPr>
      <w:r>
        <w:t>The delay is therefore inordinate.</w:t>
      </w:r>
    </w:p>
    <w:p w:rsidR="00940425" w:rsidRDefault="00940425" w:rsidP="00FC55FD">
      <w:pPr>
        <w:jc w:val="both"/>
      </w:pPr>
    </w:p>
    <w:p w:rsidR="007A462E" w:rsidRPr="002F56A5" w:rsidRDefault="007A462E" w:rsidP="00940425">
      <w:pPr>
        <w:spacing w:line="360" w:lineRule="auto"/>
        <w:jc w:val="both"/>
        <w:rPr>
          <w:u w:val="single"/>
        </w:rPr>
      </w:pPr>
      <w:r w:rsidRPr="002F56A5">
        <w:rPr>
          <w:u w:val="single"/>
        </w:rPr>
        <w:t>Explanation for the delay</w:t>
      </w:r>
    </w:p>
    <w:p w:rsidR="007A462E" w:rsidRDefault="007A462E" w:rsidP="00FC55FD">
      <w:pPr>
        <w:jc w:val="both"/>
      </w:pPr>
    </w:p>
    <w:p w:rsidR="007A462E" w:rsidRDefault="007A462E" w:rsidP="00D23A87">
      <w:pPr>
        <w:spacing w:line="360" w:lineRule="auto"/>
        <w:ind w:firstLine="720"/>
        <w:jc w:val="both"/>
      </w:pPr>
      <w:r>
        <w:t>It is explained that the delay was caused by the non attendance to instructions given to lodge an appeal to Mr Andrew Mugandiwa</w:t>
      </w:r>
      <w:r w:rsidR="00D23A87">
        <w:t xml:space="preserve"> a partner at Wintertons Legal Practitioners.  A copy of the written instruction directed to and signed for at Wintertons on the 20</w:t>
      </w:r>
      <w:r w:rsidR="00D23A87" w:rsidRPr="00D23A87">
        <w:rPr>
          <w:vertAlign w:val="superscript"/>
        </w:rPr>
        <w:t>th</w:t>
      </w:r>
      <w:r w:rsidR="00D23A87">
        <w:t xml:space="preserve"> of May 2015 is an attachment.</w:t>
      </w:r>
    </w:p>
    <w:p w:rsidR="00D23A87" w:rsidRDefault="00D23A87" w:rsidP="00487BEB">
      <w:pPr>
        <w:ind w:firstLine="720"/>
        <w:jc w:val="both"/>
      </w:pPr>
    </w:p>
    <w:p w:rsidR="00D23A87" w:rsidRDefault="00D23A87" w:rsidP="00D23A87">
      <w:pPr>
        <w:spacing w:line="360" w:lineRule="auto"/>
        <w:ind w:firstLine="720"/>
        <w:jc w:val="both"/>
      </w:pPr>
      <w:r>
        <w:t>The instruction reads;</w:t>
      </w:r>
    </w:p>
    <w:p w:rsidR="00D23A87" w:rsidRDefault="00D23A87" w:rsidP="00487BEB">
      <w:pPr>
        <w:ind w:firstLine="720"/>
        <w:jc w:val="both"/>
      </w:pPr>
    </w:p>
    <w:p w:rsidR="00D23A87" w:rsidRPr="002F56A5" w:rsidRDefault="00D23A87" w:rsidP="002F56A5">
      <w:pPr>
        <w:ind w:left="720"/>
        <w:jc w:val="both"/>
        <w:rPr>
          <w:sz w:val="22"/>
          <w:szCs w:val="22"/>
        </w:rPr>
      </w:pPr>
      <w:r w:rsidRPr="002F56A5">
        <w:rPr>
          <w:sz w:val="22"/>
          <w:szCs w:val="22"/>
        </w:rPr>
        <w:lastRenderedPageBreak/>
        <w:t xml:space="preserve">“Herewith attached please find Arbitration award, and related documents for this matter.  May you kindly note an appeal against award </w:t>
      </w:r>
      <w:r w:rsidR="004E23AB" w:rsidRPr="002F56A5">
        <w:rPr>
          <w:sz w:val="22"/>
          <w:szCs w:val="22"/>
        </w:rPr>
        <w:t xml:space="preserve">and simultaneously file an application for stay of execution of the award pending appeal.  Before filing kindly send this </w:t>
      </w:r>
      <w:r w:rsidR="00517059" w:rsidRPr="002F56A5">
        <w:rPr>
          <w:sz w:val="22"/>
          <w:szCs w:val="22"/>
        </w:rPr>
        <w:t>through to us for our perusal. …</w:t>
      </w:r>
      <w:r w:rsidR="00271734" w:rsidRPr="002F56A5">
        <w:rPr>
          <w:sz w:val="22"/>
          <w:szCs w:val="22"/>
        </w:rPr>
        <w:t>”</w:t>
      </w:r>
    </w:p>
    <w:p w:rsidR="00271734" w:rsidRDefault="00271734" w:rsidP="00487BEB">
      <w:pPr>
        <w:ind w:firstLine="720"/>
        <w:jc w:val="both"/>
      </w:pPr>
    </w:p>
    <w:p w:rsidR="00271734" w:rsidRDefault="00271734" w:rsidP="00D23A87">
      <w:pPr>
        <w:spacing w:line="360" w:lineRule="auto"/>
        <w:ind w:firstLine="720"/>
        <w:jc w:val="both"/>
      </w:pPr>
      <w:r>
        <w:t xml:space="preserve">He is alleged not to have actioned this </w:t>
      </w:r>
      <w:r w:rsidR="00C5571A">
        <w:t xml:space="preserve">instruction nor given any feedback. </w:t>
      </w:r>
    </w:p>
    <w:p w:rsidR="00B27B65" w:rsidRDefault="00B27B65" w:rsidP="00487BEB">
      <w:pPr>
        <w:ind w:firstLine="720"/>
        <w:jc w:val="both"/>
      </w:pPr>
    </w:p>
    <w:p w:rsidR="00B27B65" w:rsidRDefault="00B27B65" w:rsidP="00D23A87">
      <w:pPr>
        <w:spacing w:line="360" w:lineRule="auto"/>
        <w:ind w:firstLine="720"/>
        <w:jc w:val="both"/>
      </w:pPr>
      <w:r>
        <w:t xml:space="preserve">The applicant further avers that it only became aware of its erstwhile legal practitioners inaction </w:t>
      </w:r>
      <w:r w:rsidR="001E1B62">
        <w:t>upon r</w:t>
      </w:r>
      <w:r w:rsidR="003F01EC">
        <w:t>eceipt of a letter from the respondent’s legal practitioners on the 6</w:t>
      </w:r>
      <w:r w:rsidR="003F01EC" w:rsidRPr="003F01EC">
        <w:rPr>
          <w:vertAlign w:val="superscript"/>
        </w:rPr>
        <w:t>th</w:t>
      </w:r>
      <w:r w:rsidR="003F01EC">
        <w:t xml:space="preserve"> of June 2015</w:t>
      </w:r>
      <w:r w:rsidR="001E1B62">
        <w:t xml:space="preserve"> and that all telephonic follow ups with Mr Mugandiwa were futile.  It is only then that the applicant says it then instructed </w:t>
      </w:r>
      <w:r w:rsidR="00B21F64">
        <w:t>its current</w:t>
      </w:r>
      <w:r w:rsidR="001E1B62">
        <w:t xml:space="preserve"> legal </w:t>
      </w:r>
      <w:r w:rsidR="0042154D">
        <w:t xml:space="preserve">practitioners </w:t>
      </w:r>
      <w:r w:rsidR="007657E9">
        <w:t>who then contacted Wintertons on the 19</w:t>
      </w:r>
      <w:r w:rsidR="007657E9" w:rsidRPr="007657E9">
        <w:rPr>
          <w:vertAlign w:val="superscript"/>
        </w:rPr>
        <w:t>th</w:t>
      </w:r>
      <w:r w:rsidR="007657E9">
        <w:t xml:space="preserve"> of June 2015.  This letter is said to have been ignored too prompting the filing of this application for condonation.</w:t>
      </w:r>
    </w:p>
    <w:p w:rsidR="007657E9" w:rsidRDefault="007657E9" w:rsidP="00487BEB">
      <w:pPr>
        <w:ind w:firstLine="720"/>
        <w:jc w:val="both"/>
      </w:pPr>
    </w:p>
    <w:p w:rsidR="007657E9" w:rsidRDefault="007657E9" w:rsidP="00D23A87">
      <w:pPr>
        <w:spacing w:line="360" w:lineRule="auto"/>
        <w:ind w:firstLine="720"/>
        <w:jc w:val="both"/>
      </w:pPr>
      <w:r>
        <w:t>The respondent contends that the explanation tendered is not</w:t>
      </w:r>
      <w:r w:rsidR="009115CC">
        <w:t xml:space="preserve"> reasonable.  I was reminded that as a Court</w:t>
      </w:r>
      <w:r w:rsidR="00E2667F">
        <w:t xml:space="preserve"> I should be slow to sympathise with a litigant who fails to comply with the rules of the court due to the dilatoriness or lack of </w:t>
      </w:r>
      <w:r w:rsidR="00EB7635">
        <w:t xml:space="preserve">diligence on the part of the legal representative whom </w:t>
      </w:r>
      <w:r w:rsidR="004E2411">
        <w:t>he</w:t>
      </w:r>
      <w:r w:rsidR="00EB7635">
        <w:t xml:space="preserve"> chooses for himself.</w:t>
      </w:r>
    </w:p>
    <w:p w:rsidR="00707727" w:rsidRDefault="00707727" w:rsidP="00487BEB">
      <w:pPr>
        <w:ind w:firstLine="720"/>
        <w:jc w:val="both"/>
      </w:pPr>
    </w:p>
    <w:p w:rsidR="00A14E1C" w:rsidRDefault="00707727" w:rsidP="00D23A87">
      <w:pPr>
        <w:spacing w:line="360" w:lineRule="auto"/>
        <w:ind w:firstLine="720"/>
        <w:jc w:val="both"/>
      </w:pPr>
      <w:r>
        <w:t xml:space="preserve">(See </w:t>
      </w:r>
      <w:r w:rsidRPr="009D4E27">
        <w:rPr>
          <w:i/>
        </w:rPr>
        <w:t>Ndebele</w:t>
      </w:r>
      <w:r>
        <w:t xml:space="preserve"> v </w:t>
      </w:r>
      <w:r w:rsidRPr="009D4E27">
        <w:rPr>
          <w:i/>
        </w:rPr>
        <w:t>Ncube</w:t>
      </w:r>
      <w:r>
        <w:t xml:space="preserve"> 1992 (1) ZLR 288 and </w:t>
      </w:r>
      <w:r w:rsidRPr="009D4E27">
        <w:rPr>
          <w:i/>
        </w:rPr>
        <w:t>Salooje &amp; Anor</w:t>
      </w:r>
      <w:r>
        <w:t xml:space="preserve"> v </w:t>
      </w:r>
      <w:r w:rsidRPr="009D4E27">
        <w:rPr>
          <w:i/>
        </w:rPr>
        <w:t>Minister</w:t>
      </w:r>
      <w:r w:rsidR="00A14E1C" w:rsidRPr="009D4E27">
        <w:rPr>
          <w:i/>
        </w:rPr>
        <w:t xml:space="preserve"> of Community Development</w:t>
      </w:r>
      <w:r w:rsidR="00A14E1C">
        <w:t xml:space="preserve"> 1965 (2) SA 135 A at 141 C-E)</w:t>
      </w:r>
    </w:p>
    <w:p w:rsidR="00A14E1C" w:rsidRDefault="00A14E1C" w:rsidP="00487BEB">
      <w:pPr>
        <w:ind w:firstLine="720"/>
        <w:jc w:val="both"/>
      </w:pPr>
    </w:p>
    <w:p w:rsidR="007557E6" w:rsidRDefault="00A14E1C" w:rsidP="00D23A87">
      <w:pPr>
        <w:spacing w:line="360" w:lineRule="auto"/>
        <w:ind w:firstLine="720"/>
        <w:jc w:val="both"/>
      </w:pPr>
      <w:r>
        <w:t>It is pointed out that the applicant was represented by a legal officer who was aware of the dies induciae when she relayed instructions to</w:t>
      </w:r>
      <w:r w:rsidR="007557E6">
        <w:t xml:space="preserve"> </w:t>
      </w:r>
      <w:proofErr w:type="spellStart"/>
      <w:r w:rsidR="007557E6">
        <w:t>Winter</w:t>
      </w:r>
      <w:r w:rsidR="00F1778A">
        <w:t>ton</w:t>
      </w:r>
      <w:r w:rsidR="007557E6">
        <w:t>s</w:t>
      </w:r>
      <w:proofErr w:type="spellEnd"/>
      <w:r w:rsidR="007557E6">
        <w:t xml:space="preserve"> and requested that she be furnished with the draft notices of appeal before filing yet she knew there were only three working days remaining from the 20</w:t>
      </w:r>
      <w:r w:rsidR="007557E6" w:rsidRPr="007557E6">
        <w:rPr>
          <w:vertAlign w:val="superscript"/>
        </w:rPr>
        <w:t>th</w:t>
      </w:r>
      <w:r w:rsidR="007557E6">
        <w:t xml:space="preserve"> of May to the 27</w:t>
      </w:r>
      <w:r w:rsidR="007557E6" w:rsidRPr="007557E6">
        <w:rPr>
          <w:vertAlign w:val="superscript"/>
        </w:rPr>
        <w:t>th</w:t>
      </w:r>
      <w:r w:rsidR="007557E6">
        <w:t xml:space="preserve"> of May 2015.  For this I was referred to the case of </w:t>
      </w:r>
      <w:r w:rsidR="007557E6" w:rsidRPr="00C043AA">
        <w:rPr>
          <w:i/>
        </w:rPr>
        <w:t>Machaya</w:t>
      </w:r>
      <w:r w:rsidR="007557E6">
        <w:t xml:space="preserve"> v </w:t>
      </w:r>
      <w:r w:rsidR="007557E6" w:rsidRPr="00C043AA">
        <w:rPr>
          <w:i/>
        </w:rPr>
        <w:t>Muyambi</w:t>
      </w:r>
      <w:r w:rsidR="007557E6">
        <w:t xml:space="preserve"> SC-o4-05 where the Court held that</w:t>
      </w:r>
    </w:p>
    <w:p w:rsidR="007557E6" w:rsidRDefault="007557E6" w:rsidP="00FC55FD">
      <w:pPr>
        <w:ind w:firstLine="720"/>
        <w:jc w:val="both"/>
      </w:pPr>
    </w:p>
    <w:p w:rsidR="00F06DA3" w:rsidRPr="009D4E27" w:rsidRDefault="007557E6" w:rsidP="009D4E27">
      <w:pPr>
        <w:spacing w:line="276" w:lineRule="auto"/>
        <w:ind w:left="720"/>
        <w:jc w:val="both"/>
        <w:rPr>
          <w:sz w:val="22"/>
          <w:szCs w:val="22"/>
        </w:rPr>
      </w:pPr>
      <w:r w:rsidRPr="009D4E27">
        <w:rPr>
          <w:sz w:val="22"/>
          <w:szCs w:val="22"/>
        </w:rPr>
        <w:t>“</w:t>
      </w:r>
      <w:r w:rsidR="00C043AA" w:rsidRPr="009D4E27">
        <w:rPr>
          <w:sz w:val="22"/>
          <w:szCs w:val="22"/>
        </w:rPr>
        <w:t>A litigant, moreover, who knows</w:t>
      </w:r>
      <w:r w:rsidR="00DE47ED" w:rsidRPr="009D4E27">
        <w:rPr>
          <w:sz w:val="22"/>
          <w:szCs w:val="22"/>
        </w:rPr>
        <w:t>, as the applicants did, that the prescribed period has elapsed</w:t>
      </w:r>
      <w:r w:rsidR="00833444" w:rsidRPr="009D4E27">
        <w:rPr>
          <w:sz w:val="22"/>
          <w:szCs w:val="22"/>
        </w:rPr>
        <w:t xml:space="preserve"> and that an application for condonation is necessary, is not </w:t>
      </w:r>
      <w:r w:rsidR="00F207DD" w:rsidRPr="009D4E27">
        <w:rPr>
          <w:sz w:val="22"/>
          <w:szCs w:val="22"/>
        </w:rPr>
        <w:t>entitled to hand over the matter to his attorney</w:t>
      </w:r>
      <w:r w:rsidR="008B0F13" w:rsidRPr="009D4E27">
        <w:rPr>
          <w:sz w:val="22"/>
          <w:szCs w:val="22"/>
        </w:rPr>
        <w:t xml:space="preserve"> and then was</w:t>
      </w:r>
      <w:r w:rsidR="00314EBB">
        <w:rPr>
          <w:sz w:val="22"/>
          <w:szCs w:val="22"/>
        </w:rPr>
        <w:t>h</w:t>
      </w:r>
      <w:r w:rsidR="008B0F13" w:rsidRPr="009D4E27">
        <w:rPr>
          <w:sz w:val="22"/>
          <w:szCs w:val="22"/>
        </w:rPr>
        <w:t xml:space="preserve"> his hands of it.  If, as </w:t>
      </w:r>
      <w:r w:rsidR="00BE3EB6" w:rsidRPr="009D4E27">
        <w:rPr>
          <w:sz w:val="22"/>
          <w:szCs w:val="22"/>
        </w:rPr>
        <w:t>here, the stage is reached where it must become obvious also to a layman that there</w:t>
      </w:r>
      <w:r w:rsidR="00551EFE" w:rsidRPr="009D4E27">
        <w:rPr>
          <w:sz w:val="22"/>
          <w:szCs w:val="22"/>
        </w:rPr>
        <w:t xml:space="preserve"> is a protracted delay, he cannot sit passively by, without </w:t>
      </w:r>
      <w:r w:rsidR="000330AA" w:rsidRPr="009D4E27">
        <w:rPr>
          <w:sz w:val="22"/>
          <w:szCs w:val="22"/>
        </w:rPr>
        <w:t xml:space="preserve">so much as directing any reminder or enquiry to his attorney … and expect to </w:t>
      </w:r>
      <w:r w:rsidR="00B11BBB" w:rsidRPr="009D4E27">
        <w:rPr>
          <w:sz w:val="22"/>
          <w:szCs w:val="22"/>
        </w:rPr>
        <w:t xml:space="preserve">be exonerated of all blame; and if, as here the explanation offered to the Court is patently insufficient, he cannot be heard to claim that the insufficiency should be overlooked merely because he has left </w:t>
      </w:r>
      <w:r w:rsidR="00B11BBB" w:rsidRPr="009D4E27">
        <w:rPr>
          <w:sz w:val="22"/>
          <w:szCs w:val="22"/>
        </w:rPr>
        <w:lastRenderedPageBreak/>
        <w:t>the matter</w:t>
      </w:r>
      <w:r w:rsidR="00D4137C" w:rsidRPr="009D4E27">
        <w:rPr>
          <w:sz w:val="22"/>
          <w:szCs w:val="22"/>
        </w:rPr>
        <w:t xml:space="preserve"> entirely in the hands of his attorney.  If he relies upon the ineptitude or remissness of his own attorney, he should at least ex</w:t>
      </w:r>
      <w:r w:rsidR="00F06DA3" w:rsidRPr="009D4E27">
        <w:rPr>
          <w:sz w:val="22"/>
          <w:szCs w:val="22"/>
        </w:rPr>
        <w:t>plain that none of it is to be imputed to himself.”</w:t>
      </w:r>
    </w:p>
    <w:p w:rsidR="00F06DA3" w:rsidRDefault="00F06DA3" w:rsidP="00487BEB">
      <w:pPr>
        <w:ind w:firstLine="720"/>
        <w:jc w:val="both"/>
      </w:pPr>
    </w:p>
    <w:p w:rsidR="000F2C0A" w:rsidRDefault="00F06DA3" w:rsidP="00D23A87">
      <w:pPr>
        <w:spacing w:line="360" w:lineRule="auto"/>
        <w:ind w:firstLine="720"/>
        <w:jc w:val="both"/>
      </w:pPr>
      <w:r>
        <w:t xml:space="preserve">In </w:t>
      </w:r>
      <w:r w:rsidRPr="009D4E27">
        <w:rPr>
          <w:i/>
        </w:rPr>
        <w:t>casu</w:t>
      </w:r>
      <w:r>
        <w:t>, the applicant did not follow up with Wintertons before the 27</w:t>
      </w:r>
      <w:r w:rsidRPr="00F06DA3">
        <w:rPr>
          <w:vertAlign w:val="superscript"/>
        </w:rPr>
        <w:t>th</w:t>
      </w:r>
      <w:r w:rsidR="001076B5">
        <w:t xml:space="preserve"> of May or soon thereafter.  It appears that the applicant was only jolted into action by a letter of the 6</w:t>
      </w:r>
      <w:r w:rsidR="001076B5" w:rsidRPr="001076B5">
        <w:rPr>
          <w:vertAlign w:val="superscript"/>
        </w:rPr>
        <w:t>th</w:t>
      </w:r>
      <w:r w:rsidR="001076B5">
        <w:t xml:space="preserve"> of June </w:t>
      </w:r>
      <w:r w:rsidR="00350929">
        <w:t>from respondent’s legal practitioners.  Though the applicant was already out of time, the only written follow up with Wintertons was on the 19</w:t>
      </w:r>
      <w:r w:rsidR="00350929" w:rsidRPr="00350929">
        <w:rPr>
          <w:vertAlign w:val="superscript"/>
        </w:rPr>
        <w:t>th</w:t>
      </w:r>
      <w:r w:rsidR="00350929">
        <w:t xml:space="preserve"> of J</w:t>
      </w:r>
      <w:r w:rsidR="000F2C0A">
        <w:t>une 2015 through its new lawyers.</w:t>
      </w:r>
    </w:p>
    <w:p w:rsidR="000F2C0A" w:rsidRDefault="000F2C0A" w:rsidP="00487BEB">
      <w:pPr>
        <w:ind w:firstLine="720"/>
        <w:jc w:val="both"/>
      </w:pPr>
    </w:p>
    <w:p w:rsidR="00EB7635" w:rsidRDefault="000F2C0A" w:rsidP="00D23A87">
      <w:pPr>
        <w:spacing w:line="360" w:lineRule="auto"/>
        <w:ind w:firstLine="720"/>
        <w:jc w:val="both"/>
      </w:pPr>
      <w:r>
        <w:t>There is no explanation given as to why there was a delay of a month in noting the application</w:t>
      </w:r>
      <w:r w:rsidR="00F207DD">
        <w:t xml:space="preserve"> </w:t>
      </w:r>
      <w:r w:rsidR="00AD2E17">
        <w:t>for condonation</w:t>
      </w:r>
      <w:r w:rsidR="00DD713A">
        <w:t xml:space="preserve">. </w:t>
      </w:r>
      <w:r w:rsidR="00AD2E17">
        <w:t xml:space="preserve"> </w:t>
      </w:r>
      <w:r w:rsidR="00DD713A">
        <w:t>I</w:t>
      </w:r>
      <w:r w:rsidR="00EE6F76">
        <w:t xml:space="preserve">n </w:t>
      </w:r>
      <w:r w:rsidR="00EE6F76" w:rsidRPr="00D35E9F">
        <w:rPr>
          <w:i/>
        </w:rPr>
        <w:t>Viking Woodwork (</w:t>
      </w:r>
      <w:proofErr w:type="spellStart"/>
      <w:r w:rsidR="00EE6F76" w:rsidRPr="00D35E9F">
        <w:rPr>
          <w:i/>
        </w:rPr>
        <w:t>Pvt</w:t>
      </w:r>
      <w:proofErr w:type="spellEnd"/>
      <w:r w:rsidR="00EE6F76" w:rsidRPr="00D35E9F">
        <w:rPr>
          <w:i/>
        </w:rPr>
        <w:t>) Ltd</w:t>
      </w:r>
      <w:r w:rsidR="00EE6F76">
        <w:t xml:space="preserve"> v </w:t>
      </w:r>
      <w:r w:rsidR="00EE6F76" w:rsidRPr="00D35E9F">
        <w:rPr>
          <w:i/>
        </w:rPr>
        <w:t>Blue Bells Enterprises (Pvt) Ltd</w:t>
      </w:r>
      <w:r w:rsidR="00EE6F76">
        <w:t xml:space="preserve"> 1998 (2)</w:t>
      </w:r>
      <w:r w:rsidR="00E340FF">
        <w:t xml:space="preserve"> ZLR 249 at 251 it was held that what calls for an </w:t>
      </w:r>
      <w:r w:rsidR="00926A29">
        <w:t xml:space="preserve">acceptable explanation, is not only the delay in noting the appeal but also the delay in seeking condonation.  This position was reaffirmed in </w:t>
      </w:r>
      <w:r w:rsidR="00926A29" w:rsidRPr="00D35E9F">
        <w:rPr>
          <w:i/>
        </w:rPr>
        <w:t>Ganda &amp; Ors</w:t>
      </w:r>
      <w:r w:rsidR="00926A29">
        <w:t xml:space="preserve"> v </w:t>
      </w:r>
      <w:r w:rsidR="00926A29" w:rsidRPr="00D35E9F">
        <w:rPr>
          <w:i/>
        </w:rPr>
        <w:t>First Mutual Life Assurance</w:t>
      </w:r>
      <w:r w:rsidR="000157EF" w:rsidRPr="00D35E9F">
        <w:rPr>
          <w:i/>
        </w:rPr>
        <w:t xml:space="preserve"> Society</w:t>
      </w:r>
      <w:r w:rsidR="000157EF">
        <w:t xml:space="preserve"> SC-01-05.</w:t>
      </w:r>
    </w:p>
    <w:p w:rsidR="000157EF" w:rsidRDefault="000157EF" w:rsidP="00487BEB">
      <w:pPr>
        <w:ind w:firstLine="720"/>
        <w:jc w:val="both"/>
      </w:pPr>
    </w:p>
    <w:p w:rsidR="000157EF" w:rsidRDefault="000157EF" w:rsidP="00D23A87">
      <w:pPr>
        <w:spacing w:line="360" w:lineRule="auto"/>
        <w:ind w:firstLine="720"/>
        <w:jc w:val="both"/>
      </w:pPr>
      <w:r>
        <w:t xml:space="preserve">Further no supporting affidavit has been filed from </w:t>
      </w:r>
      <w:r w:rsidR="000E487C">
        <w:t>Mr Mugandiwa explaining his side of the story regarding the allegations against him.  The applicant has therefore merely alleged and not shown that the delay</w:t>
      </w:r>
      <w:r w:rsidR="00D70686">
        <w:t xml:space="preserve"> was as a result of Mr Mugandiwa’s inaction.</w:t>
      </w:r>
    </w:p>
    <w:p w:rsidR="00D70686" w:rsidRDefault="00D70686" w:rsidP="00487BEB">
      <w:pPr>
        <w:ind w:firstLine="720"/>
        <w:jc w:val="both"/>
      </w:pPr>
    </w:p>
    <w:p w:rsidR="00D70686" w:rsidRDefault="00D70686" w:rsidP="00D23A87">
      <w:pPr>
        <w:spacing w:line="360" w:lineRule="auto"/>
        <w:ind w:firstLine="720"/>
        <w:jc w:val="both"/>
      </w:pPr>
      <w:r>
        <w:t>In the circumstances I find that the applicant has not given a sufficient and reasonable explanation for the delay.</w:t>
      </w:r>
    </w:p>
    <w:p w:rsidR="00D70686" w:rsidRDefault="00D70686" w:rsidP="00487BEB">
      <w:pPr>
        <w:jc w:val="both"/>
      </w:pPr>
    </w:p>
    <w:p w:rsidR="00D70686" w:rsidRPr="00487BEB" w:rsidRDefault="002B68E4" w:rsidP="00D70686">
      <w:pPr>
        <w:spacing w:line="360" w:lineRule="auto"/>
        <w:jc w:val="both"/>
        <w:rPr>
          <w:u w:val="single"/>
        </w:rPr>
      </w:pPr>
      <w:r w:rsidRPr="00487BEB">
        <w:rPr>
          <w:u w:val="single"/>
        </w:rPr>
        <w:t>Prospects of Success</w:t>
      </w:r>
    </w:p>
    <w:p w:rsidR="002B68E4" w:rsidRDefault="002B68E4" w:rsidP="00FC55FD">
      <w:pPr>
        <w:jc w:val="both"/>
      </w:pPr>
    </w:p>
    <w:p w:rsidR="002B68E4" w:rsidRDefault="002B68E4" w:rsidP="00420E70">
      <w:pPr>
        <w:spacing w:line="360" w:lineRule="auto"/>
        <w:ind w:firstLine="720"/>
        <w:jc w:val="both"/>
      </w:pPr>
      <w:r>
        <w:t xml:space="preserve">The applicant is questioning the respondent’s entitlement to </w:t>
      </w:r>
      <w:r w:rsidR="00420E70">
        <w:t>cash</w:t>
      </w:r>
      <w:r>
        <w:t xml:space="preserve"> in lieu of notice in a case where the termination was by mutual agreement.  This calls into question the interpretation of </w:t>
      </w:r>
      <w:r w:rsidR="004F4AF7">
        <w:t>Section 13 of the Labour Act [Chapter 28:01]</w:t>
      </w:r>
      <w:r w:rsidR="00420E70">
        <w:t>.</w:t>
      </w:r>
    </w:p>
    <w:p w:rsidR="00420E70" w:rsidRDefault="00420E70" w:rsidP="00487BEB">
      <w:pPr>
        <w:ind w:firstLine="720"/>
        <w:jc w:val="both"/>
      </w:pPr>
    </w:p>
    <w:p w:rsidR="00420E70" w:rsidRDefault="00420E70" w:rsidP="00420E70">
      <w:pPr>
        <w:spacing w:line="360" w:lineRule="auto"/>
        <w:ind w:firstLine="720"/>
        <w:jc w:val="both"/>
      </w:pPr>
      <w:r>
        <w:t xml:space="preserve">An interpretation of this section by giving it its ordinary meaning demands that </w:t>
      </w:r>
      <w:r w:rsidR="000116ED">
        <w:t>I quote from the section.  Section 13 (1) (a) provides,</w:t>
      </w:r>
    </w:p>
    <w:p w:rsidR="000116ED" w:rsidRDefault="000116ED" w:rsidP="00487BEB">
      <w:pPr>
        <w:ind w:firstLine="720"/>
        <w:jc w:val="both"/>
      </w:pPr>
    </w:p>
    <w:p w:rsidR="000116ED" w:rsidRPr="00D35E9F" w:rsidRDefault="000116ED" w:rsidP="00D35E9F">
      <w:pPr>
        <w:spacing w:line="276" w:lineRule="auto"/>
        <w:ind w:left="720"/>
        <w:jc w:val="both"/>
        <w:rPr>
          <w:sz w:val="22"/>
          <w:szCs w:val="22"/>
        </w:rPr>
      </w:pPr>
      <w:r w:rsidRPr="00D35E9F">
        <w:rPr>
          <w:sz w:val="22"/>
          <w:szCs w:val="22"/>
        </w:rPr>
        <w:lastRenderedPageBreak/>
        <w:t xml:space="preserve">“Subject to this Act or any regulations made in terms of this Act, whether any person </w:t>
      </w:r>
      <w:r w:rsidR="00D103DC" w:rsidRPr="00D35E9F">
        <w:rPr>
          <w:sz w:val="22"/>
          <w:szCs w:val="22"/>
        </w:rPr>
        <w:t xml:space="preserve">– (a) is </w:t>
      </w:r>
      <w:r w:rsidR="00DD713A">
        <w:rPr>
          <w:sz w:val="22"/>
          <w:szCs w:val="22"/>
        </w:rPr>
        <w:t xml:space="preserve">dismissed from his employment </w:t>
      </w:r>
      <w:r w:rsidR="00DD713A" w:rsidRPr="002E554A">
        <w:rPr>
          <w:sz w:val="22"/>
          <w:szCs w:val="22"/>
          <w:u w:val="single"/>
        </w:rPr>
        <w:t>or</w:t>
      </w:r>
      <w:r w:rsidR="00D103DC" w:rsidRPr="002E554A">
        <w:rPr>
          <w:sz w:val="22"/>
          <w:szCs w:val="22"/>
          <w:u w:val="single"/>
        </w:rPr>
        <w:t xml:space="preserve"> his employment is otherwise terminated </w:t>
      </w:r>
      <w:r w:rsidR="00D103DC" w:rsidRPr="00D35E9F">
        <w:rPr>
          <w:sz w:val="22"/>
          <w:szCs w:val="22"/>
        </w:rPr>
        <w:t>……………………</w:t>
      </w:r>
      <w:r w:rsidR="002E554A">
        <w:rPr>
          <w:sz w:val="22"/>
          <w:szCs w:val="22"/>
        </w:rPr>
        <w:t xml:space="preserve"> (</w:t>
      </w:r>
      <w:proofErr w:type="gramStart"/>
      <w:r w:rsidR="002E554A" w:rsidRPr="002E554A">
        <w:t>my</w:t>
      </w:r>
      <w:proofErr w:type="gramEnd"/>
      <w:r w:rsidR="002E554A" w:rsidRPr="002E554A">
        <w:t xml:space="preserve"> emphasis</w:t>
      </w:r>
      <w:r w:rsidR="002E554A">
        <w:rPr>
          <w:sz w:val="22"/>
          <w:szCs w:val="22"/>
        </w:rPr>
        <w:t>)</w:t>
      </w:r>
    </w:p>
    <w:p w:rsidR="00D97A11" w:rsidRPr="00D35E9F" w:rsidRDefault="00D97A11" w:rsidP="00D35E9F">
      <w:pPr>
        <w:spacing w:line="276" w:lineRule="auto"/>
        <w:ind w:firstLine="720"/>
        <w:jc w:val="both"/>
        <w:rPr>
          <w:sz w:val="22"/>
          <w:szCs w:val="22"/>
        </w:rPr>
      </w:pPr>
    </w:p>
    <w:p w:rsidR="00D97A11" w:rsidRPr="00D35E9F" w:rsidRDefault="00D97A11" w:rsidP="00D35E9F">
      <w:pPr>
        <w:spacing w:line="276" w:lineRule="auto"/>
        <w:ind w:left="720"/>
        <w:jc w:val="both"/>
        <w:rPr>
          <w:sz w:val="22"/>
          <w:szCs w:val="22"/>
        </w:rPr>
      </w:pPr>
      <w:r w:rsidRPr="00D35E9F">
        <w:rPr>
          <w:sz w:val="22"/>
          <w:szCs w:val="22"/>
        </w:rPr>
        <w:t>he … shall be entitled to wages and benefits due to him up to the time of such dismissal, termination, resignation … as</w:t>
      </w:r>
      <w:r w:rsidR="00E5739D" w:rsidRPr="00D35E9F">
        <w:rPr>
          <w:sz w:val="22"/>
          <w:szCs w:val="22"/>
        </w:rPr>
        <w:t xml:space="preserve"> the case may be, including benefits with respect to any outstanding vacation and notice period …”</w:t>
      </w:r>
    </w:p>
    <w:p w:rsidR="00E5739D" w:rsidRDefault="00E5739D" w:rsidP="00487BEB">
      <w:pPr>
        <w:ind w:firstLine="720"/>
        <w:jc w:val="both"/>
      </w:pPr>
    </w:p>
    <w:p w:rsidR="00E5739D" w:rsidRDefault="00E5739D" w:rsidP="00420E70">
      <w:pPr>
        <w:spacing w:line="360" w:lineRule="auto"/>
        <w:ind w:firstLine="720"/>
        <w:jc w:val="both"/>
      </w:pPr>
      <w:r>
        <w:t>I agree with the respondent that the notice pay and cash in lieu of leave are legitimate entitlements flowing from section 13 (1</w:t>
      </w:r>
      <w:r w:rsidR="00266D5C">
        <w:t>) (a) of the Act.</w:t>
      </w:r>
    </w:p>
    <w:p w:rsidR="00266D5C" w:rsidRDefault="00266D5C" w:rsidP="00B96BA3">
      <w:pPr>
        <w:ind w:firstLine="720"/>
        <w:jc w:val="both"/>
      </w:pPr>
    </w:p>
    <w:p w:rsidR="00266D5C" w:rsidRDefault="00266D5C" w:rsidP="00420E70">
      <w:pPr>
        <w:spacing w:line="360" w:lineRule="auto"/>
        <w:ind w:firstLine="720"/>
        <w:jc w:val="both"/>
      </w:pPr>
      <w:r>
        <w:t xml:space="preserve">The other issue </w:t>
      </w:r>
      <w:proofErr w:type="gramStart"/>
      <w:r>
        <w:t>raised</w:t>
      </w:r>
      <w:proofErr w:type="gramEnd"/>
      <w:r>
        <w:t xml:space="preserve"> that the claims for cash in lieu of leave, service pay and notice pay, did</w:t>
      </w:r>
      <w:r w:rsidR="00F66762">
        <w:t xml:space="preserve"> not</w:t>
      </w:r>
      <w:r>
        <w:t xml:space="preserve"> fall within the terms of</w:t>
      </w:r>
      <w:r w:rsidR="005224B7">
        <w:t xml:space="preserve"> reference can be resolved by looking at the terms of reference before the arbitrator.  These are given as</w:t>
      </w:r>
    </w:p>
    <w:p w:rsidR="005224B7" w:rsidRDefault="005224B7" w:rsidP="00B96BA3">
      <w:pPr>
        <w:ind w:firstLine="720"/>
        <w:jc w:val="both"/>
      </w:pPr>
    </w:p>
    <w:p w:rsidR="005224B7" w:rsidRDefault="005224B7" w:rsidP="005224B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establish whether or not there was a mutual termination of contract.</w:t>
      </w:r>
    </w:p>
    <w:p w:rsidR="008562F0" w:rsidRDefault="000A4730" w:rsidP="005224B7">
      <w:pPr>
        <w:pStyle w:val="ListParagraph"/>
        <w:numPr>
          <w:ilvl w:val="0"/>
          <w:numId w:val="1"/>
        </w:numPr>
        <w:spacing w:line="360" w:lineRule="auto"/>
        <w:jc w:val="both"/>
      </w:pPr>
      <w:r>
        <w:t>If not, whether or not the claimant was unlawfully dismissed.</w:t>
      </w:r>
    </w:p>
    <w:p w:rsidR="000A4730" w:rsidRDefault="000A4730" w:rsidP="005224B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establish whether or not claimant is owed salaries</w:t>
      </w:r>
      <w:r w:rsidR="00F66E86">
        <w:t>.</w:t>
      </w:r>
    </w:p>
    <w:p w:rsidR="00F66E86" w:rsidRDefault="00F66E86" w:rsidP="005224B7">
      <w:pPr>
        <w:pStyle w:val="ListParagraph"/>
        <w:numPr>
          <w:ilvl w:val="0"/>
          <w:numId w:val="1"/>
        </w:numPr>
        <w:spacing w:line="360" w:lineRule="auto"/>
        <w:jc w:val="both"/>
      </w:pPr>
      <w:r>
        <w:t>To determine the appropriate remedy.</w:t>
      </w:r>
    </w:p>
    <w:p w:rsidR="00B96BA3" w:rsidRDefault="00B96BA3" w:rsidP="00B96BA3">
      <w:pPr>
        <w:pStyle w:val="ListParagraph"/>
        <w:ind w:left="1080"/>
        <w:jc w:val="both"/>
      </w:pPr>
    </w:p>
    <w:p w:rsidR="00F66E86" w:rsidRDefault="00F66E86" w:rsidP="00F66E86">
      <w:pPr>
        <w:spacing w:line="360" w:lineRule="auto"/>
        <w:jc w:val="both"/>
      </w:pPr>
      <w:r>
        <w:t xml:space="preserve">I had to look at Form LR 4 which is the reference to arbitration in order to establish the </w:t>
      </w:r>
      <w:r w:rsidR="002369AF">
        <w:t>terms of reference because the terms are not particularly clear from the arbitral award, especially 3 and 4 thereof.</w:t>
      </w:r>
    </w:p>
    <w:p w:rsidR="002369AF" w:rsidRDefault="002369AF" w:rsidP="00B96BA3">
      <w:pPr>
        <w:jc w:val="both"/>
      </w:pPr>
    </w:p>
    <w:p w:rsidR="002369AF" w:rsidRDefault="002369AF" w:rsidP="00F66E86">
      <w:pPr>
        <w:spacing w:line="360" w:lineRule="auto"/>
        <w:jc w:val="both"/>
      </w:pPr>
      <w:r>
        <w:tab/>
        <w:t xml:space="preserve">My reading of the terms of reference </w:t>
      </w:r>
      <w:r w:rsidR="00863AC0">
        <w:t>suggests that depending on whether the arbit</w:t>
      </w:r>
      <w:r w:rsidR="004F1C95">
        <w:t xml:space="preserve">rator makes a finding as to the mutual termination or </w:t>
      </w:r>
      <w:r w:rsidR="00BE0100">
        <w:t>unlawful dismissal</w:t>
      </w:r>
      <w:r w:rsidR="004F1C95">
        <w:t xml:space="preserve"> and on arrear </w:t>
      </w:r>
      <w:r w:rsidR="008274AF">
        <w:t>salaries, then he had to determine an appropriate remedy.</w:t>
      </w:r>
    </w:p>
    <w:p w:rsidR="008306F8" w:rsidRDefault="008306F8" w:rsidP="00F66E86">
      <w:pPr>
        <w:spacing w:line="360" w:lineRule="auto"/>
        <w:jc w:val="both"/>
      </w:pPr>
    </w:p>
    <w:p w:rsidR="008306F8" w:rsidRDefault="008306F8" w:rsidP="00F66E86">
      <w:pPr>
        <w:spacing w:line="360" w:lineRule="auto"/>
        <w:jc w:val="both"/>
      </w:pPr>
      <w:r>
        <w:tab/>
        <w:t xml:space="preserve">The arbitrator’s </w:t>
      </w:r>
      <w:r w:rsidR="00256D22">
        <w:t>finding is that there indeed was mutual termination of the contract of employment.</w:t>
      </w:r>
      <w:r w:rsidR="006D2263">
        <w:t xml:space="preserve"> The question of arising terminal benefits flows from the need to </w:t>
      </w:r>
      <w:r w:rsidR="00DB4711">
        <w:t>establish the appropriate remedy.</w:t>
      </w:r>
    </w:p>
    <w:p w:rsidR="00DB4711" w:rsidRDefault="00DB4711" w:rsidP="00B96BA3">
      <w:pPr>
        <w:jc w:val="both"/>
      </w:pPr>
    </w:p>
    <w:p w:rsidR="00DB4711" w:rsidRDefault="00DB4711" w:rsidP="00F66E86">
      <w:pPr>
        <w:spacing w:line="360" w:lineRule="auto"/>
        <w:jc w:val="both"/>
      </w:pPr>
      <w:r>
        <w:tab/>
        <w:t xml:space="preserve">A look at the Certificate of No </w:t>
      </w:r>
      <w:r w:rsidR="00901F6B">
        <w:t>Settlement, form LR 2 shows that the issues referred to conciliation were “alleged unlawful dismissal and non payment of salaries and terminal benefits.</w:t>
      </w:r>
      <w:r w:rsidR="00AF1B1E">
        <w:t>”</w:t>
      </w:r>
    </w:p>
    <w:p w:rsidR="00AF1B1E" w:rsidRDefault="00AF1B1E" w:rsidP="00B96BA3">
      <w:pPr>
        <w:jc w:val="both"/>
      </w:pPr>
    </w:p>
    <w:p w:rsidR="00AF1B1E" w:rsidRDefault="00AF1B1E" w:rsidP="00F66E86">
      <w:pPr>
        <w:spacing w:line="360" w:lineRule="auto"/>
        <w:jc w:val="both"/>
      </w:pPr>
      <w:r>
        <w:lastRenderedPageBreak/>
        <w:tab/>
        <w:t>The applicant does not have prospects of success therefore regarding claims for cash in lie</w:t>
      </w:r>
      <w:r w:rsidR="00AA3E83">
        <w:t>u of leave, service pay and notice pay being outside the terms of refere</w:t>
      </w:r>
      <w:r w:rsidR="00B46F32">
        <w:t>nce.</w:t>
      </w:r>
    </w:p>
    <w:p w:rsidR="00F75FC1" w:rsidRDefault="00F75FC1" w:rsidP="00B96BA3">
      <w:pPr>
        <w:jc w:val="both"/>
      </w:pPr>
    </w:p>
    <w:p w:rsidR="00F75FC1" w:rsidRDefault="00F75FC1" w:rsidP="00F66E86">
      <w:pPr>
        <w:spacing w:line="360" w:lineRule="auto"/>
        <w:jc w:val="both"/>
      </w:pPr>
      <w:r>
        <w:tab/>
        <w:t>There might be prospects of success regarding to the lack of a legal basis</w:t>
      </w:r>
      <w:r w:rsidR="005862AC">
        <w:t xml:space="preserve"> for the service pay awarded.  However I am inclined to take the approach in </w:t>
      </w:r>
      <w:r w:rsidR="005862AC" w:rsidRPr="00B96BA3">
        <w:rPr>
          <w:i/>
        </w:rPr>
        <w:t>Kodzwa</w:t>
      </w:r>
      <w:r w:rsidR="005862AC">
        <w:t xml:space="preserve"> v </w:t>
      </w:r>
      <w:r w:rsidR="005862AC" w:rsidRPr="00B96BA3">
        <w:rPr>
          <w:i/>
        </w:rPr>
        <w:t>Secretary for Health and Anor</w:t>
      </w:r>
      <w:r w:rsidR="005862AC">
        <w:t xml:space="preserve"> 1999 (1) ZLR 313 wherein it was held that whilst the presence of reasonable </w:t>
      </w:r>
      <w:r w:rsidR="00C10984">
        <w:t>pro</w:t>
      </w:r>
      <w:r w:rsidR="00887E7A">
        <w:t xml:space="preserve">spects of success on appeal is an important consideration, it is not necessarily decisive.  This is so in the case of </w:t>
      </w:r>
      <w:r w:rsidR="002F3A24">
        <w:t xml:space="preserve">flagrant breach of the rules, particularly where there is no acceptable explanation for it.  I therefore elect to refuse the indulgence of condonation despite the </w:t>
      </w:r>
      <w:r w:rsidR="002F148B">
        <w:t>likely prospects of success on the aspect of service pay.</w:t>
      </w:r>
    </w:p>
    <w:p w:rsidR="002F148B" w:rsidRDefault="002F148B" w:rsidP="00F66E86">
      <w:pPr>
        <w:spacing w:line="360" w:lineRule="auto"/>
        <w:jc w:val="both"/>
      </w:pPr>
    </w:p>
    <w:p w:rsidR="002F148B" w:rsidRDefault="002F148B" w:rsidP="00F66E86">
      <w:pPr>
        <w:spacing w:line="360" w:lineRule="auto"/>
        <w:jc w:val="both"/>
      </w:pPr>
      <w:r>
        <w:t>Accordingly, the application for condonation of late noting of an appeal, be and is hereby dismissed.</w:t>
      </w:r>
    </w:p>
    <w:p w:rsidR="003C0298" w:rsidRDefault="003C0298" w:rsidP="00F66E86">
      <w:pPr>
        <w:spacing w:line="360" w:lineRule="auto"/>
        <w:jc w:val="both"/>
      </w:pPr>
    </w:p>
    <w:p w:rsidR="003C0298" w:rsidRDefault="003C0298" w:rsidP="00F66E86">
      <w:pPr>
        <w:spacing w:line="360" w:lineRule="auto"/>
        <w:jc w:val="both"/>
      </w:pPr>
    </w:p>
    <w:p w:rsidR="006806A7" w:rsidRDefault="006806A7" w:rsidP="00F66E86">
      <w:pPr>
        <w:spacing w:line="360" w:lineRule="auto"/>
        <w:jc w:val="both"/>
      </w:pPr>
      <w:r w:rsidRPr="0087302F">
        <w:rPr>
          <w:i/>
        </w:rPr>
        <w:t xml:space="preserve">Ahmed &amp; </w:t>
      </w:r>
      <w:proofErr w:type="spellStart"/>
      <w:r w:rsidRPr="0087302F">
        <w:rPr>
          <w:i/>
        </w:rPr>
        <w:t>Ziyambi</w:t>
      </w:r>
      <w:proofErr w:type="spellEnd"/>
      <w:r>
        <w:t>, applicant’s legal practitioners</w:t>
      </w:r>
    </w:p>
    <w:p w:rsidR="006806A7" w:rsidRDefault="006806A7" w:rsidP="00F66E86">
      <w:pPr>
        <w:spacing w:line="360" w:lineRule="auto"/>
        <w:jc w:val="both"/>
      </w:pPr>
      <w:proofErr w:type="spellStart"/>
      <w:r w:rsidRPr="0087302F">
        <w:rPr>
          <w:i/>
        </w:rPr>
        <w:t>Mutamangira</w:t>
      </w:r>
      <w:proofErr w:type="spellEnd"/>
      <w:r w:rsidRPr="0087302F">
        <w:rPr>
          <w:i/>
        </w:rPr>
        <w:t xml:space="preserve"> &amp; Associates</w:t>
      </w:r>
      <w:r>
        <w:t>, responden</w:t>
      </w:r>
      <w:r w:rsidR="0087302F">
        <w:t>t’s legal practitioners</w:t>
      </w:r>
    </w:p>
    <w:p w:rsidR="00D23A87" w:rsidRDefault="00D23A87" w:rsidP="00940425">
      <w:pPr>
        <w:spacing w:line="360" w:lineRule="auto"/>
        <w:jc w:val="both"/>
      </w:pPr>
    </w:p>
    <w:p w:rsidR="00C026CA" w:rsidRDefault="00C026CA" w:rsidP="00E54D7C">
      <w:pPr>
        <w:spacing w:line="360" w:lineRule="auto"/>
        <w:jc w:val="both"/>
      </w:pPr>
    </w:p>
    <w:p w:rsidR="00C026CA" w:rsidRDefault="00C026CA" w:rsidP="00E54D7C">
      <w:pPr>
        <w:spacing w:line="360" w:lineRule="auto"/>
        <w:jc w:val="both"/>
      </w:pPr>
    </w:p>
    <w:sectPr w:rsidR="00C026CA" w:rsidSect="009320C0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9E" w:rsidRDefault="0011459E" w:rsidP="009320C0">
      <w:r>
        <w:separator/>
      </w:r>
    </w:p>
  </w:endnote>
  <w:endnote w:type="continuationSeparator" w:id="0">
    <w:p w:rsidR="0011459E" w:rsidRDefault="0011459E" w:rsidP="0093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57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1B1E" w:rsidRDefault="00AF1B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F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F1B1E" w:rsidRDefault="00AF1B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9E" w:rsidRDefault="0011459E" w:rsidP="009320C0">
      <w:r>
        <w:separator/>
      </w:r>
    </w:p>
  </w:footnote>
  <w:footnote w:type="continuationSeparator" w:id="0">
    <w:p w:rsidR="0011459E" w:rsidRDefault="0011459E" w:rsidP="00932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B1E" w:rsidRPr="009320C0" w:rsidRDefault="00AF1B1E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1B55D2">
      <w:rPr>
        <w:lang w:val="en-ZW"/>
      </w:rPr>
      <w:t>232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D33A7"/>
    <w:multiLevelType w:val="hybridMultilevel"/>
    <w:tmpl w:val="88CC893E"/>
    <w:lvl w:ilvl="0" w:tplc="48460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49"/>
    <w:rsid w:val="0000611F"/>
    <w:rsid w:val="000116ED"/>
    <w:rsid w:val="000157EF"/>
    <w:rsid w:val="000330AA"/>
    <w:rsid w:val="000A4730"/>
    <w:rsid w:val="000B05A1"/>
    <w:rsid w:val="000E487C"/>
    <w:rsid w:val="000F2C0A"/>
    <w:rsid w:val="001076B5"/>
    <w:rsid w:val="0011459E"/>
    <w:rsid w:val="0015742C"/>
    <w:rsid w:val="001B55D2"/>
    <w:rsid w:val="001D4249"/>
    <w:rsid w:val="001E1B62"/>
    <w:rsid w:val="002369AF"/>
    <w:rsid w:val="00256D22"/>
    <w:rsid w:val="00266D5C"/>
    <w:rsid w:val="00271734"/>
    <w:rsid w:val="002B2E3E"/>
    <w:rsid w:val="002B68E4"/>
    <w:rsid w:val="002E554A"/>
    <w:rsid w:val="002F148B"/>
    <w:rsid w:val="002F3A24"/>
    <w:rsid w:val="002F56A5"/>
    <w:rsid w:val="00314EBB"/>
    <w:rsid w:val="00315A5E"/>
    <w:rsid w:val="00350929"/>
    <w:rsid w:val="003A05B8"/>
    <w:rsid w:val="003C0298"/>
    <w:rsid w:val="003F01EC"/>
    <w:rsid w:val="003F4C7A"/>
    <w:rsid w:val="00420E70"/>
    <w:rsid w:val="0042154D"/>
    <w:rsid w:val="00487BEB"/>
    <w:rsid w:val="004C3F12"/>
    <w:rsid w:val="004E23AB"/>
    <w:rsid w:val="004E2411"/>
    <w:rsid w:val="004F1C95"/>
    <w:rsid w:val="004F4AF7"/>
    <w:rsid w:val="00517059"/>
    <w:rsid w:val="005224B7"/>
    <w:rsid w:val="00534DC1"/>
    <w:rsid w:val="00551EFE"/>
    <w:rsid w:val="00556C77"/>
    <w:rsid w:val="00585ECB"/>
    <w:rsid w:val="005862AC"/>
    <w:rsid w:val="005C50BD"/>
    <w:rsid w:val="005F4F6F"/>
    <w:rsid w:val="006806A7"/>
    <w:rsid w:val="00692BBB"/>
    <w:rsid w:val="006D2263"/>
    <w:rsid w:val="006D325A"/>
    <w:rsid w:val="00707727"/>
    <w:rsid w:val="007557E6"/>
    <w:rsid w:val="007657E9"/>
    <w:rsid w:val="007A462E"/>
    <w:rsid w:val="007C4503"/>
    <w:rsid w:val="008274AF"/>
    <w:rsid w:val="008306F8"/>
    <w:rsid w:val="00833444"/>
    <w:rsid w:val="0085055F"/>
    <w:rsid w:val="008562F0"/>
    <w:rsid w:val="00863AC0"/>
    <w:rsid w:val="0087302F"/>
    <w:rsid w:val="00887E7A"/>
    <w:rsid w:val="008B0F13"/>
    <w:rsid w:val="00901F6B"/>
    <w:rsid w:val="00902F28"/>
    <w:rsid w:val="009115CC"/>
    <w:rsid w:val="00926A29"/>
    <w:rsid w:val="009320C0"/>
    <w:rsid w:val="00940425"/>
    <w:rsid w:val="009972D5"/>
    <w:rsid w:val="009C14EE"/>
    <w:rsid w:val="009D4E27"/>
    <w:rsid w:val="00A14E1C"/>
    <w:rsid w:val="00AA3E83"/>
    <w:rsid w:val="00AD2E17"/>
    <w:rsid w:val="00AF1B1E"/>
    <w:rsid w:val="00B11BBB"/>
    <w:rsid w:val="00B21F64"/>
    <w:rsid w:val="00B27B65"/>
    <w:rsid w:val="00B46F32"/>
    <w:rsid w:val="00B60822"/>
    <w:rsid w:val="00B96BA3"/>
    <w:rsid w:val="00BC59FF"/>
    <w:rsid w:val="00BD3C18"/>
    <w:rsid w:val="00BE0100"/>
    <w:rsid w:val="00BE3EB6"/>
    <w:rsid w:val="00BF16A3"/>
    <w:rsid w:val="00C016AA"/>
    <w:rsid w:val="00C026CA"/>
    <w:rsid w:val="00C043AA"/>
    <w:rsid w:val="00C10984"/>
    <w:rsid w:val="00C273AB"/>
    <w:rsid w:val="00C307CF"/>
    <w:rsid w:val="00C5571A"/>
    <w:rsid w:val="00C62918"/>
    <w:rsid w:val="00CE62D2"/>
    <w:rsid w:val="00D103DC"/>
    <w:rsid w:val="00D23A87"/>
    <w:rsid w:val="00D35E9F"/>
    <w:rsid w:val="00D4137C"/>
    <w:rsid w:val="00D6294E"/>
    <w:rsid w:val="00D655BE"/>
    <w:rsid w:val="00D70686"/>
    <w:rsid w:val="00D97A11"/>
    <w:rsid w:val="00DB4711"/>
    <w:rsid w:val="00DD713A"/>
    <w:rsid w:val="00DE47ED"/>
    <w:rsid w:val="00E2667F"/>
    <w:rsid w:val="00E340FF"/>
    <w:rsid w:val="00E5089E"/>
    <w:rsid w:val="00E54D7C"/>
    <w:rsid w:val="00E5739D"/>
    <w:rsid w:val="00EA26D6"/>
    <w:rsid w:val="00EB282D"/>
    <w:rsid w:val="00EB7635"/>
    <w:rsid w:val="00EB7A13"/>
    <w:rsid w:val="00EE6022"/>
    <w:rsid w:val="00EE6F76"/>
    <w:rsid w:val="00F06DA3"/>
    <w:rsid w:val="00F1778A"/>
    <w:rsid w:val="00F207DD"/>
    <w:rsid w:val="00F30934"/>
    <w:rsid w:val="00F66762"/>
    <w:rsid w:val="00F66E86"/>
    <w:rsid w:val="00F74F80"/>
    <w:rsid w:val="00F75FC1"/>
    <w:rsid w:val="00FA300E"/>
    <w:rsid w:val="00FC55FD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4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0C0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0C0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F6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6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49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0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0C0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20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0C0"/>
    <w:rPr>
      <w:rFonts w:ascii="Tahoma" w:eastAsia="Times New Roman" w:hAnsi="Tahom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22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F6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6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30</cp:revision>
  <cp:lastPrinted>2016-04-15T07:00:00Z</cp:lastPrinted>
  <dcterms:created xsi:type="dcterms:W3CDTF">2016-03-30T10:48:00Z</dcterms:created>
  <dcterms:modified xsi:type="dcterms:W3CDTF">2016-04-15T07:02:00Z</dcterms:modified>
</cp:coreProperties>
</file>