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C7" w:rsidRPr="00240AC7" w:rsidRDefault="00502C43" w:rsidP="00240AC7">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GREAT DYKE INVESTMENTS</w:t>
      </w:r>
      <w:r w:rsidR="00240AC7" w:rsidRPr="00240AC7">
        <w:rPr>
          <w:rFonts w:ascii="Times New Roman" w:hAnsi="Times New Roman"/>
          <w:sz w:val="24"/>
          <w:szCs w:val="24"/>
        </w:rPr>
        <w:t xml:space="preserve"> [PVT] LTD</w:t>
      </w:r>
    </w:p>
    <w:p w:rsidR="00240AC7" w:rsidRPr="00240AC7" w:rsidRDefault="00240AC7" w:rsidP="00240AC7">
      <w:pPr>
        <w:spacing w:after="0" w:line="240" w:lineRule="auto"/>
        <w:jc w:val="both"/>
        <w:rPr>
          <w:rFonts w:ascii="Times New Roman" w:hAnsi="Times New Roman"/>
          <w:sz w:val="24"/>
          <w:szCs w:val="24"/>
        </w:rPr>
      </w:pPr>
      <w:r w:rsidRPr="00240AC7">
        <w:rPr>
          <w:rFonts w:ascii="Times New Roman" w:hAnsi="Times New Roman"/>
          <w:sz w:val="24"/>
          <w:szCs w:val="24"/>
        </w:rPr>
        <w:t>versus</w:t>
      </w:r>
    </w:p>
    <w:p w:rsidR="00240AC7" w:rsidRPr="00240AC7" w:rsidRDefault="00240AC7" w:rsidP="00240AC7">
      <w:pPr>
        <w:spacing w:after="0" w:line="240" w:lineRule="auto"/>
        <w:jc w:val="both"/>
        <w:rPr>
          <w:rFonts w:ascii="Times New Roman" w:hAnsi="Times New Roman"/>
          <w:sz w:val="24"/>
          <w:szCs w:val="24"/>
        </w:rPr>
      </w:pPr>
      <w:r w:rsidRPr="00240AC7">
        <w:rPr>
          <w:rFonts w:ascii="Times New Roman" w:hAnsi="Times New Roman"/>
          <w:sz w:val="24"/>
          <w:szCs w:val="24"/>
        </w:rPr>
        <w:t xml:space="preserve">ZIMBABWE REVENUE AUTHORITY </w:t>
      </w:r>
    </w:p>
    <w:p w:rsidR="00240AC7" w:rsidRPr="00240AC7" w:rsidRDefault="00240AC7" w:rsidP="00240AC7">
      <w:pPr>
        <w:pStyle w:val="ListParagraph"/>
        <w:spacing w:after="0" w:line="240" w:lineRule="auto"/>
        <w:jc w:val="both"/>
        <w:rPr>
          <w:rFonts w:ascii="Times New Roman" w:hAnsi="Times New Roman"/>
          <w:sz w:val="24"/>
          <w:szCs w:val="24"/>
        </w:rPr>
      </w:pPr>
    </w:p>
    <w:p w:rsidR="00240AC7" w:rsidRPr="00240AC7" w:rsidRDefault="00240AC7" w:rsidP="00502C43">
      <w:pPr>
        <w:pStyle w:val="ListParagraph"/>
        <w:spacing w:after="0" w:line="240" w:lineRule="auto"/>
        <w:jc w:val="both"/>
        <w:rPr>
          <w:rFonts w:ascii="Times New Roman" w:hAnsi="Times New Roman"/>
          <w:sz w:val="24"/>
          <w:szCs w:val="24"/>
        </w:rPr>
      </w:pPr>
    </w:p>
    <w:p w:rsidR="00240AC7" w:rsidRPr="00502C43" w:rsidRDefault="00502C43" w:rsidP="00502C43">
      <w:pPr>
        <w:spacing w:after="0" w:line="240" w:lineRule="auto"/>
        <w:jc w:val="both"/>
        <w:rPr>
          <w:rFonts w:ascii="Times New Roman" w:hAnsi="Times New Roman"/>
          <w:sz w:val="24"/>
          <w:szCs w:val="24"/>
        </w:rPr>
      </w:pPr>
      <w:r>
        <w:rPr>
          <w:rFonts w:ascii="Times New Roman" w:hAnsi="Times New Roman"/>
          <w:sz w:val="24"/>
          <w:szCs w:val="24"/>
        </w:rPr>
        <w:t>FISCAL APPEAL COURT</w:t>
      </w:r>
    </w:p>
    <w:p w:rsidR="00240AC7" w:rsidRPr="00502C43" w:rsidRDefault="00240AC7" w:rsidP="00502C43">
      <w:pPr>
        <w:spacing w:after="0" w:line="240" w:lineRule="auto"/>
        <w:jc w:val="both"/>
        <w:rPr>
          <w:rFonts w:ascii="Times New Roman" w:hAnsi="Times New Roman"/>
          <w:sz w:val="24"/>
          <w:szCs w:val="24"/>
        </w:rPr>
      </w:pPr>
      <w:r w:rsidRPr="00502C43">
        <w:rPr>
          <w:rFonts w:ascii="Times New Roman" w:hAnsi="Times New Roman"/>
          <w:sz w:val="24"/>
          <w:szCs w:val="24"/>
        </w:rPr>
        <w:t>MAFUSIRE J</w:t>
      </w:r>
    </w:p>
    <w:p w:rsidR="00240AC7" w:rsidRPr="00502C43" w:rsidRDefault="00240AC7" w:rsidP="00502C43">
      <w:pPr>
        <w:spacing w:after="0" w:line="240" w:lineRule="auto"/>
        <w:jc w:val="both"/>
        <w:rPr>
          <w:rFonts w:ascii="Times New Roman" w:hAnsi="Times New Roman"/>
          <w:sz w:val="24"/>
          <w:szCs w:val="24"/>
        </w:rPr>
      </w:pPr>
      <w:r w:rsidRPr="00502C43">
        <w:rPr>
          <w:rFonts w:ascii="Times New Roman" w:hAnsi="Times New Roman"/>
          <w:sz w:val="24"/>
          <w:szCs w:val="24"/>
        </w:rPr>
        <w:t xml:space="preserve">HARARE, </w:t>
      </w:r>
      <w:r w:rsidR="00502C43">
        <w:rPr>
          <w:rFonts w:ascii="Times New Roman" w:hAnsi="Times New Roman"/>
          <w:sz w:val="24"/>
          <w:szCs w:val="24"/>
        </w:rPr>
        <w:t>19 May 2025</w:t>
      </w:r>
    </w:p>
    <w:p w:rsidR="00240AC7" w:rsidRPr="00502C43" w:rsidRDefault="00240AC7" w:rsidP="00502C43">
      <w:pPr>
        <w:spacing w:after="0" w:line="240" w:lineRule="auto"/>
        <w:jc w:val="both"/>
        <w:rPr>
          <w:rFonts w:ascii="Times New Roman" w:hAnsi="Times New Roman"/>
          <w:sz w:val="24"/>
          <w:szCs w:val="24"/>
        </w:rPr>
      </w:pPr>
    </w:p>
    <w:p w:rsidR="00240AC7" w:rsidRPr="00502C43" w:rsidRDefault="00240AC7" w:rsidP="00502C43">
      <w:pPr>
        <w:spacing w:after="0" w:line="240" w:lineRule="auto"/>
        <w:jc w:val="both"/>
        <w:rPr>
          <w:rFonts w:ascii="Times New Roman" w:hAnsi="Times New Roman"/>
          <w:sz w:val="24"/>
          <w:szCs w:val="24"/>
        </w:rPr>
      </w:pPr>
      <w:r w:rsidRPr="00502C43">
        <w:rPr>
          <w:rFonts w:ascii="Times New Roman" w:hAnsi="Times New Roman"/>
          <w:sz w:val="24"/>
          <w:szCs w:val="24"/>
        </w:rPr>
        <w:t xml:space="preserve">Date of judgment: </w:t>
      </w:r>
      <w:r w:rsidR="00BC696E">
        <w:rPr>
          <w:rFonts w:ascii="Times New Roman" w:hAnsi="Times New Roman"/>
          <w:sz w:val="24"/>
          <w:szCs w:val="24"/>
        </w:rPr>
        <w:t>3</w:t>
      </w:r>
      <w:r w:rsidR="00502C43">
        <w:rPr>
          <w:rFonts w:ascii="Times New Roman" w:hAnsi="Times New Roman"/>
          <w:sz w:val="24"/>
          <w:szCs w:val="24"/>
        </w:rPr>
        <w:t xml:space="preserve"> </w:t>
      </w:r>
      <w:r w:rsidR="00BC696E">
        <w:rPr>
          <w:rFonts w:ascii="Times New Roman" w:hAnsi="Times New Roman"/>
          <w:sz w:val="24"/>
          <w:szCs w:val="24"/>
        </w:rPr>
        <w:t>Octo</w:t>
      </w:r>
      <w:r w:rsidR="00502C43">
        <w:rPr>
          <w:rFonts w:ascii="Times New Roman" w:hAnsi="Times New Roman"/>
          <w:sz w:val="24"/>
          <w:szCs w:val="24"/>
        </w:rPr>
        <w:t>ber 2025</w:t>
      </w:r>
    </w:p>
    <w:p w:rsidR="00240AC7" w:rsidRPr="00502C43" w:rsidRDefault="00240AC7" w:rsidP="00502C43">
      <w:pPr>
        <w:tabs>
          <w:tab w:val="left" w:pos="3879"/>
        </w:tabs>
        <w:spacing w:after="0" w:line="240" w:lineRule="auto"/>
        <w:jc w:val="both"/>
        <w:rPr>
          <w:rFonts w:ascii="Times New Roman" w:hAnsi="Times New Roman"/>
          <w:sz w:val="24"/>
          <w:szCs w:val="24"/>
        </w:rPr>
      </w:pPr>
      <w:r w:rsidRPr="00502C43">
        <w:rPr>
          <w:rFonts w:ascii="Times New Roman" w:hAnsi="Times New Roman"/>
          <w:sz w:val="24"/>
          <w:szCs w:val="24"/>
        </w:rPr>
        <w:tab/>
      </w:r>
    </w:p>
    <w:p w:rsidR="00240AC7" w:rsidRPr="00502C43" w:rsidRDefault="00240AC7" w:rsidP="00502C43">
      <w:pPr>
        <w:tabs>
          <w:tab w:val="left" w:pos="3879"/>
        </w:tabs>
        <w:spacing w:after="0" w:line="240" w:lineRule="auto"/>
        <w:jc w:val="both"/>
        <w:rPr>
          <w:rFonts w:ascii="Times New Roman" w:hAnsi="Times New Roman"/>
          <w:sz w:val="24"/>
          <w:szCs w:val="24"/>
        </w:rPr>
      </w:pPr>
    </w:p>
    <w:p w:rsidR="00240AC7" w:rsidRPr="00502C43" w:rsidRDefault="00F57E73" w:rsidP="00502C43">
      <w:pPr>
        <w:spacing w:line="360" w:lineRule="auto"/>
        <w:jc w:val="both"/>
        <w:rPr>
          <w:rFonts w:ascii="Times New Roman" w:hAnsi="Times New Roman"/>
          <w:bCs/>
          <w:sz w:val="24"/>
          <w:szCs w:val="24"/>
        </w:rPr>
      </w:pPr>
      <w:r>
        <w:rPr>
          <w:rFonts w:ascii="Times New Roman" w:hAnsi="Times New Roman"/>
          <w:b/>
          <w:sz w:val="24"/>
          <w:szCs w:val="24"/>
        </w:rPr>
        <w:t>Fiscal appeal</w:t>
      </w:r>
      <w:r w:rsidR="00240AC7" w:rsidRPr="00502C43">
        <w:rPr>
          <w:rFonts w:ascii="Times New Roman" w:hAnsi="Times New Roman"/>
          <w:bCs/>
          <w:sz w:val="24"/>
          <w:szCs w:val="24"/>
        </w:rPr>
        <w:t xml:space="preserve"> </w:t>
      </w:r>
    </w:p>
    <w:p w:rsidR="00240AC7" w:rsidRPr="00502C43" w:rsidRDefault="00240AC7" w:rsidP="00502C43">
      <w:pPr>
        <w:spacing w:line="360" w:lineRule="auto"/>
        <w:jc w:val="both"/>
        <w:rPr>
          <w:rFonts w:ascii="Times New Roman" w:hAnsi="Times New Roman"/>
          <w:bCs/>
          <w:sz w:val="24"/>
          <w:szCs w:val="24"/>
        </w:rPr>
      </w:pPr>
      <w:r w:rsidRPr="00502C43">
        <w:rPr>
          <w:rFonts w:ascii="Times New Roman" w:hAnsi="Times New Roman"/>
          <w:bCs/>
          <w:sz w:val="24"/>
          <w:szCs w:val="24"/>
        </w:rPr>
        <w:t>Assessor</w:t>
      </w:r>
      <w:r w:rsidR="00F57E73">
        <w:rPr>
          <w:rFonts w:ascii="Times New Roman" w:hAnsi="Times New Roman"/>
          <w:bCs/>
          <w:sz w:val="24"/>
          <w:szCs w:val="24"/>
        </w:rPr>
        <w:t>:</w:t>
      </w:r>
      <w:r w:rsidR="00F57E73">
        <w:rPr>
          <w:rFonts w:ascii="Times New Roman" w:hAnsi="Times New Roman"/>
          <w:bCs/>
          <w:sz w:val="24"/>
          <w:szCs w:val="24"/>
        </w:rPr>
        <w:tab/>
        <w:t>Ms G. Kangai</w:t>
      </w:r>
      <w:r w:rsidRPr="00502C43">
        <w:rPr>
          <w:rFonts w:ascii="Times New Roman" w:hAnsi="Times New Roman"/>
          <w:bCs/>
          <w:sz w:val="24"/>
          <w:szCs w:val="24"/>
        </w:rPr>
        <w:t xml:space="preserve"> </w:t>
      </w:r>
    </w:p>
    <w:p w:rsidR="00240AC7" w:rsidRPr="00502C43" w:rsidRDefault="00837896" w:rsidP="00502C43">
      <w:pPr>
        <w:spacing w:after="0" w:line="240" w:lineRule="auto"/>
        <w:jc w:val="both"/>
        <w:rPr>
          <w:rFonts w:ascii="Times New Roman" w:hAnsi="Times New Roman"/>
          <w:sz w:val="24"/>
          <w:szCs w:val="24"/>
        </w:rPr>
      </w:pPr>
      <w:r>
        <w:rPr>
          <w:rFonts w:ascii="Times New Roman" w:hAnsi="Times New Roman"/>
          <w:i/>
          <w:sz w:val="24"/>
          <w:szCs w:val="24"/>
        </w:rPr>
        <w:t>T</w:t>
      </w:r>
      <w:r w:rsidR="00240AC7" w:rsidRPr="00502C43">
        <w:rPr>
          <w:rFonts w:ascii="Times New Roman" w:hAnsi="Times New Roman"/>
          <w:i/>
          <w:sz w:val="24"/>
          <w:szCs w:val="24"/>
        </w:rPr>
        <w:t xml:space="preserve">. </w:t>
      </w:r>
      <w:r>
        <w:rPr>
          <w:rFonts w:ascii="Times New Roman" w:hAnsi="Times New Roman"/>
          <w:i/>
          <w:sz w:val="24"/>
          <w:szCs w:val="24"/>
        </w:rPr>
        <w:t>Magwalib</w:t>
      </w:r>
      <w:r w:rsidR="00240AC7" w:rsidRPr="00502C43">
        <w:rPr>
          <w:rFonts w:ascii="Times New Roman" w:hAnsi="Times New Roman"/>
          <w:i/>
          <w:sz w:val="24"/>
          <w:szCs w:val="24"/>
        </w:rPr>
        <w:t>a</w:t>
      </w:r>
      <w:r w:rsidR="00240AC7" w:rsidRPr="00502C43">
        <w:rPr>
          <w:rFonts w:ascii="Times New Roman" w:hAnsi="Times New Roman"/>
          <w:sz w:val="24"/>
          <w:szCs w:val="24"/>
        </w:rPr>
        <w:t>, for the appellant</w:t>
      </w:r>
    </w:p>
    <w:p w:rsidR="00240AC7" w:rsidRPr="00502C43" w:rsidRDefault="00240AC7" w:rsidP="00502C43">
      <w:pPr>
        <w:spacing w:after="0" w:line="240" w:lineRule="auto"/>
        <w:jc w:val="both"/>
        <w:rPr>
          <w:rFonts w:ascii="Times New Roman" w:hAnsi="Times New Roman"/>
          <w:sz w:val="24"/>
          <w:szCs w:val="24"/>
        </w:rPr>
      </w:pPr>
      <w:r w:rsidRPr="00502C43">
        <w:rPr>
          <w:rFonts w:ascii="Times New Roman" w:hAnsi="Times New Roman"/>
          <w:i/>
          <w:sz w:val="24"/>
          <w:szCs w:val="24"/>
        </w:rPr>
        <w:t>S. Bhebhe</w:t>
      </w:r>
      <w:r w:rsidRPr="00502C43">
        <w:rPr>
          <w:rFonts w:ascii="Times New Roman" w:hAnsi="Times New Roman"/>
          <w:sz w:val="24"/>
          <w:szCs w:val="24"/>
        </w:rPr>
        <w:t>, for the respondent</w:t>
      </w:r>
    </w:p>
    <w:p w:rsidR="00240AC7" w:rsidRPr="00240AC7" w:rsidRDefault="00240AC7" w:rsidP="00502C43">
      <w:pPr>
        <w:pStyle w:val="ListParagraph"/>
        <w:spacing w:after="0" w:line="240" w:lineRule="auto"/>
        <w:jc w:val="both"/>
        <w:rPr>
          <w:rFonts w:ascii="Times New Roman" w:hAnsi="Times New Roman"/>
          <w:sz w:val="24"/>
          <w:szCs w:val="24"/>
        </w:rPr>
      </w:pPr>
    </w:p>
    <w:p w:rsidR="00837896" w:rsidRPr="00837896" w:rsidRDefault="00837896" w:rsidP="00837896">
      <w:pPr>
        <w:pStyle w:val="ListParagraph"/>
        <w:spacing w:line="360" w:lineRule="auto"/>
        <w:ind w:left="0" w:firstLine="720"/>
        <w:rPr>
          <w:rFonts w:ascii="Times New Roman" w:hAnsi="Times New Roman" w:cs="Times New Roman"/>
          <w:bCs/>
          <w:sz w:val="24"/>
          <w:szCs w:val="24"/>
        </w:rPr>
      </w:pPr>
      <w:r w:rsidRPr="00837896">
        <w:rPr>
          <w:rFonts w:ascii="Times New Roman" w:hAnsi="Times New Roman" w:cs="Times New Roman"/>
          <w:bCs/>
          <w:sz w:val="24"/>
          <w:szCs w:val="24"/>
        </w:rPr>
        <w:t>MAFUSIRE J</w:t>
      </w:r>
    </w:p>
    <w:p w:rsidR="0098239E" w:rsidRPr="00837896" w:rsidRDefault="00837896" w:rsidP="00837896">
      <w:pPr>
        <w:spacing w:line="360" w:lineRule="auto"/>
        <w:rPr>
          <w:rFonts w:ascii="Times New Roman" w:hAnsi="Times New Roman" w:cs="Times New Roman"/>
          <w:b/>
          <w:bCs/>
          <w:sz w:val="24"/>
          <w:szCs w:val="24"/>
        </w:rPr>
      </w:pPr>
      <w:r w:rsidRPr="00837896">
        <w:rPr>
          <w:rFonts w:ascii="Times New Roman" w:hAnsi="Times New Roman" w:cs="Times New Roman"/>
          <w:b/>
          <w:bCs/>
          <w:sz w:val="24"/>
          <w:szCs w:val="24"/>
        </w:rPr>
        <w:t>a</w:t>
      </w:r>
      <w:r>
        <w:rPr>
          <w:rFonts w:ascii="Times New Roman" w:hAnsi="Times New Roman" w:cs="Times New Roman"/>
          <w:bCs/>
          <w:sz w:val="24"/>
          <w:szCs w:val="24"/>
        </w:rPr>
        <w:t xml:space="preserve"> </w:t>
      </w:r>
      <w:r>
        <w:rPr>
          <w:rFonts w:ascii="Times New Roman" w:hAnsi="Times New Roman" w:cs="Times New Roman"/>
          <w:bCs/>
          <w:sz w:val="24"/>
          <w:szCs w:val="24"/>
        </w:rPr>
        <w:tab/>
      </w:r>
      <w:r w:rsidR="0098239E" w:rsidRPr="00837896">
        <w:rPr>
          <w:rFonts w:ascii="Times New Roman" w:hAnsi="Times New Roman" w:cs="Times New Roman"/>
          <w:b/>
          <w:bCs/>
          <w:sz w:val="24"/>
          <w:szCs w:val="24"/>
        </w:rPr>
        <w:t>Introduction</w:t>
      </w:r>
    </w:p>
    <w:p w:rsidR="008D0750" w:rsidRDefault="00837896" w:rsidP="0083789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9030D7" w:rsidRPr="00837896">
        <w:rPr>
          <w:rFonts w:ascii="Times New Roman" w:hAnsi="Times New Roman" w:cs="Times New Roman"/>
          <w:sz w:val="24"/>
          <w:szCs w:val="24"/>
        </w:rPr>
        <w:t>Th</w:t>
      </w:r>
      <w:r w:rsidR="008D0750">
        <w:rPr>
          <w:rFonts w:ascii="Times New Roman" w:hAnsi="Times New Roman" w:cs="Times New Roman"/>
          <w:sz w:val="24"/>
          <w:szCs w:val="24"/>
        </w:rPr>
        <w:t>e appellant</w:t>
      </w:r>
      <w:r w:rsidR="00F41936">
        <w:rPr>
          <w:rFonts w:ascii="Times New Roman" w:hAnsi="Times New Roman" w:cs="Times New Roman"/>
          <w:sz w:val="24"/>
          <w:szCs w:val="24"/>
        </w:rPr>
        <w:t xml:space="preserve"> has</w:t>
      </w:r>
      <w:r w:rsidR="008D0750">
        <w:rPr>
          <w:rFonts w:ascii="Times New Roman" w:hAnsi="Times New Roman" w:cs="Times New Roman"/>
          <w:sz w:val="24"/>
          <w:szCs w:val="24"/>
        </w:rPr>
        <w:t xml:space="preserve"> </w:t>
      </w:r>
      <w:r w:rsidR="009030D7" w:rsidRPr="00837896">
        <w:rPr>
          <w:rFonts w:ascii="Times New Roman" w:hAnsi="Times New Roman" w:cs="Times New Roman"/>
          <w:sz w:val="24"/>
          <w:szCs w:val="24"/>
        </w:rPr>
        <w:t>appeal</w:t>
      </w:r>
      <w:r w:rsidR="00F41936">
        <w:rPr>
          <w:rFonts w:ascii="Times New Roman" w:hAnsi="Times New Roman" w:cs="Times New Roman"/>
          <w:sz w:val="24"/>
          <w:szCs w:val="24"/>
        </w:rPr>
        <w:t>ed</w:t>
      </w:r>
      <w:r w:rsidR="009030D7" w:rsidRPr="00837896">
        <w:rPr>
          <w:rFonts w:ascii="Times New Roman" w:hAnsi="Times New Roman" w:cs="Times New Roman"/>
          <w:sz w:val="24"/>
          <w:szCs w:val="24"/>
        </w:rPr>
        <w:t xml:space="preserve"> to th</w:t>
      </w:r>
      <w:r w:rsidR="008D0750">
        <w:rPr>
          <w:rFonts w:ascii="Times New Roman" w:hAnsi="Times New Roman" w:cs="Times New Roman"/>
          <w:sz w:val="24"/>
          <w:szCs w:val="24"/>
        </w:rPr>
        <w:t xml:space="preserve">is court </w:t>
      </w:r>
      <w:r w:rsidR="00F41936">
        <w:rPr>
          <w:rFonts w:ascii="Times New Roman" w:hAnsi="Times New Roman" w:cs="Times New Roman"/>
          <w:sz w:val="24"/>
          <w:szCs w:val="24"/>
        </w:rPr>
        <w:t>in terms of</w:t>
      </w:r>
      <w:r w:rsidR="008D0750">
        <w:rPr>
          <w:rFonts w:ascii="Times New Roman" w:hAnsi="Times New Roman" w:cs="Times New Roman"/>
          <w:sz w:val="24"/>
          <w:szCs w:val="24"/>
        </w:rPr>
        <w:t xml:space="preserve"> s </w:t>
      </w:r>
      <w:r w:rsidR="009030D7" w:rsidRPr="00837896">
        <w:rPr>
          <w:rFonts w:ascii="Times New Roman" w:hAnsi="Times New Roman" w:cs="Times New Roman"/>
          <w:sz w:val="24"/>
          <w:szCs w:val="24"/>
        </w:rPr>
        <w:t>33 of the Value Added Tax Act [</w:t>
      </w:r>
      <w:r w:rsidR="009030D7" w:rsidRPr="008D0750">
        <w:rPr>
          <w:rFonts w:ascii="Times New Roman" w:hAnsi="Times New Roman" w:cs="Times New Roman"/>
          <w:i/>
          <w:sz w:val="24"/>
          <w:szCs w:val="24"/>
        </w:rPr>
        <w:t>Chapter 23:12</w:t>
      </w:r>
      <w:r w:rsidR="009030D7" w:rsidRPr="00837896">
        <w:rPr>
          <w:rFonts w:ascii="Times New Roman" w:hAnsi="Times New Roman" w:cs="Times New Roman"/>
          <w:sz w:val="24"/>
          <w:szCs w:val="24"/>
        </w:rPr>
        <w:t>]</w:t>
      </w:r>
      <w:r w:rsidR="00906DCC" w:rsidRPr="00837896">
        <w:rPr>
          <w:rFonts w:ascii="Times New Roman" w:hAnsi="Times New Roman" w:cs="Times New Roman"/>
          <w:sz w:val="24"/>
          <w:szCs w:val="24"/>
        </w:rPr>
        <w:t xml:space="preserve"> </w:t>
      </w:r>
      <w:r w:rsidR="008D0750">
        <w:rPr>
          <w:rFonts w:ascii="Times New Roman" w:hAnsi="Times New Roman" w:cs="Times New Roman"/>
          <w:sz w:val="24"/>
          <w:szCs w:val="24"/>
        </w:rPr>
        <w:t>[</w:t>
      </w:r>
      <w:r w:rsidR="00906DCC" w:rsidRPr="00837896">
        <w:rPr>
          <w:rFonts w:ascii="Times New Roman" w:hAnsi="Times New Roman" w:cs="Times New Roman"/>
          <w:sz w:val="24"/>
          <w:szCs w:val="24"/>
        </w:rPr>
        <w:t>“</w:t>
      </w:r>
      <w:r w:rsidR="00906DCC" w:rsidRPr="008D0750">
        <w:rPr>
          <w:rFonts w:ascii="Times New Roman" w:hAnsi="Times New Roman" w:cs="Times New Roman"/>
          <w:b/>
          <w:i/>
          <w:sz w:val="24"/>
          <w:szCs w:val="24"/>
        </w:rPr>
        <w:t>the Act</w:t>
      </w:r>
      <w:r w:rsidR="00906DCC" w:rsidRPr="00837896">
        <w:rPr>
          <w:rFonts w:ascii="Times New Roman" w:hAnsi="Times New Roman" w:cs="Times New Roman"/>
          <w:sz w:val="24"/>
          <w:szCs w:val="24"/>
        </w:rPr>
        <w:t>”</w:t>
      </w:r>
      <w:r w:rsidR="008D0750">
        <w:rPr>
          <w:rFonts w:ascii="Times New Roman" w:hAnsi="Times New Roman" w:cs="Times New Roman"/>
          <w:sz w:val="24"/>
          <w:szCs w:val="24"/>
        </w:rPr>
        <w:t>]</w:t>
      </w:r>
      <w:r w:rsidR="009030D7" w:rsidRPr="00837896">
        <w:rPr>
          <w:rFonts w:ascii="Times New Roman" w:hAnsi="Times New Roman" w:cs="Times New Roman"/>
          <w:sz w:val="24"/>
          <w:szCs w:val="24"/>
        </w:rPr>
        <w:t>.</w:t>
      </w:r>
      <w:r w:rsidR="008D0750">
        <w:rPr>
          <w:rFonts w:ascii="Times New Roman" w:hAnsi="Times New Roman" w:cs="Times New Roman"/>
          <w:sz w:val="24"/>
          <w:szCs w:val="24"/>
        </w:rPr>
        <w:t xml:space="preserve"> </w:t>
      </w:r>
    </w:p>
    <w:p w:rsidR="009030D7" w:rsidRPr="00837896" w:rsidRDefault="008D0750" w:rsidP="0083789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The appeal is against a certain decision by the respondent</w:t>
      </w:r>
      <w:r w:rsidR="00F41936">
        <w:rPr>
          <w:rFonts w:ascii="Times New Roman" w:hAnsi="Times New Roman" w:cs="Times New Roman"/>
          <w:sz w:val="24"/>
          <w:szCs w:val="24"/>
        </w:rPr>
        <w:t xml:space="preserve"> </w:t>
      </w:r>
      <w:r>
        <w:rPr>
          <w:rFonts w:ascii="Times New Roman" w:hAnsi="Times New Roman" w:cs="Times New Roman"/>
          <w:sz w:val="24"/>
          <w:szCs w:val="24"/>
        </w:rPr>
        <w:t>on 18 July 2023, disallowing the appellant’s claim for a refund of input tax for the tax period September 2020 to October 2020.</w:t>
      </w:r>
    </w:p>
    <w:p w:rsidR="00672E2B" w:rsidRPr="00795242" w:rsidRDefault="008D0750" w:rsidP="001203B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906DCC" w:rsidRPr="00795242">
        <w:rPr>
          <w:rFonts w:ascii="Times New Roman" w:hAnsi="Times New Roman" w:cs="Times New Roman"/>
          <w:sz w:val="24"/>
          <w:szCs w:val="24"/>
        </w:rPr>
        <w:t xml:space="preserve">The </w:t>
      </w:r>
      <w:r>
        <w:rPr>
          <w:rFonts w:ascii="Times New Roman" w:hAnsi="Times New Roman" w:cs="Times New Roman"/>
          <w:sz w:val="24"/>
          <w:szCs w:val="24"/>
        </w:rPr>
        <w:t>r</w:t>
      </w:r>
      <w:r w:rsidR="00906DCC" w:rsidRPr="00795242">
        <w:rPr>
          <w:rFonts w:ascii="Times New Roman" w:hAnsi="Times New Roman" w:cs="Times New Roman"/>
          <w:sz w:val="24"/>
          <w:szCs w:val="24"/>
        </w:rPr>
        <w:t>espondent</w:t>
      </w:r>
      <w:r>
        <w:rPr>
          <w:rFonts w:ascii="Times New Roman" w:hAnsi="Times New Roman" w:cs="Times New Roman"/>
          <w:sz w:val="24"/>
          <w:szCs w:val="24"/>
        </w:rPr>
        <w:t xml:space="preserve"> disallowed the </w:t>
      </w:r>
      <w:r w:rsidR="00F41936">
        <w:rPr>
          <w:rFonts w:ascii="Times New Roman" w:hAnsi="Times New Roman" w:cs="Times New Roman"/>
          <w:sz w:val="24"/>
          <w:szCs w:val="24"/>
        </w:rPr>
        <w:t>appella</w:t>
      </w:r>
      <w:r>
        <w:rPr>
          <w:rFonts w:ascii="Times New Roman" w:hAnsi="Times New Roman" w:cs="Times New Roman"/>
          <w:sz w:val="24"/>
          <w:szCs w:val="24"/>
        </w:rPr>
        <w:t xml:space="preserve">nt’s claims aforesaid on the basis that </w:t>
      </w:r>
      <w:r w:rsidR="00A90A3D">
        <w:rPr>
          <w:rFonts w:ascii="Times New Roman" w:hAnsi="Times New Roman" w:cs="Times New Roman"/>
          <w:sz w:val="24"/>
          <w:szCs w:val="24"/>
        </w:rPr>
        <w:t>the appellant</w:t>
      </w:r>
      <w:r>
        <w:rPr>
          <w:rFonts w:ascii="Times New Roman" w:hAnsi="Times New Roman" w:cs="Times New Roman"/>
          <w:sz w:val="24"/>
          <w:szCs w:val="24"/>
        </w:rPr>
        <w:t xml:space="preserve"> had failed to comply</w:t>
      </w:r>
      <w:r w:rsidR="00906DCC" w:rsidRPr="00795242">
        <w:rPr>
          <w:rFonts w:ascii="Times New Roman" w:hAnsi="Times New Roman" w:cs="Times New Roman"/>
          <w:sz w:val="24"/>
          <w:szCs w:val="24"/>
        </w:rPr>
        <w:t xml:space="preserve"> with the requirements of s 20 of the Act</w:t>
      </w:r>
      <w:r>
        <w:rPr>
          <w:rFonts w:ascii="Times New Roman" w:hAnsi="Times New Roman" w:cs="Times New Roman"/>
          <w:sz w:val="24"/>
          <w:szCs w:val="24"/>
        </w:rPr>
        <w:t xml:space="preserve">. </w:t>
      </w:r>
      <w:r w:rsidR="00D6646C">
        <w:rPr>
          <w:rFonts w:ascii="Times New Roman" w:hAnsi="Times New Roman" w:cs="Times New Roman"/>
          <w:sz w:val="24"/>
          <w:szCs w:val="24"/>
        </w:rPr>
        <w:t>Section 20 of the Act</w:t>
      </w:r>
      <w:r>
        <w:rPr>
          <w:rFonts w:ascii="Times New Roman" w:hAnsi="Times New Roman" w:cs="Times New Roman"/>
          <w:sz w:val="24"/>
          <w:szCs w:val="24"/>
        </w:rPr>
        <w:t xml:space="preserve"> </w:t>
      </w:r>
      <w:r w:rsidR="00BC696E">
        <w:rPr>
          <w:rFonts w:ascii="Times New Roman" w:hAnsi="Times New Roman" w:cs="Times New Roman"/>
          <w:sz w:val="24"/>
          <w:szCs w:val="24"/>
        </w:rPr>
        <w:t xml:space="preserve">is the </w:t>
      </w:r>
      <w:r>
        <w:rPr>
          <w:rFonts w:ascii="Times New Roman" w:hAnsi="Times New Roman" w:cs="Times New Roman"/>
          <w:sz w:val="24"/>
          <w:szCs w:val="24"/>
        </w:rPr>
        <w:t xml:space="preserve">provision </w:t>
      </w:r>
      <w:r w:rsidR="00BC696E">
        <w:rPr>
          <w:rFonts w:ascii="Times New Roman" w:hAnsi="Times New Roman" w:cs="Times New Roman"/>
          <w:sz w:val="24"/>
          <w:szCs w:val="24"/>
        </w:rPr>
        <w:t>that</w:t>
      </w:r>
      <w:r w:rsidR="00F41936">
        <w:rPr>
          <w:rFonts w:ascii="Times New Roman" w:hAnsi="Times New Roman" w:cs="Times New Roman"/>
          <w:sz w:val="24"/>
          <w:szCs w:val="24"/>
        </w:rPr>
        <w:t xml:space="preserve"> </w:t>
      </w:r>
      <w:r>
        <w:rPr>
          <w:rFonts w:ascii="Times New Roman" w:hAnsi="Times New Roman" w:cs="Times New Roman"/>
          <w:sz w:val="24"/>
          <w:szCs w:val="24"/>
        </w:rPr>
        <w:t xml:space="preserve">deals with the </w:t>
      </w:r>
      <w:r w:rsidR="00F41936">
        <w:rPr>
          <w:rFonts w:ascii="Times New Roman" w:hAnsi="Times New Roman" w:cs="Times New Roman"/>
          <w:sz w:val="24"/>
          <w:szCs w:val="24"/>
        </w:rPr>
        <w:t xml:space="preserve">issuing </w:t>
      </w:r>
      <w:r w:rsidR="00BC696E">
        <w:rPr>
          <w:rFonts w:ascii="Times New Roman" w:hAnsi="Times New Roman" w:cs="Times New Roman"/>
          <w:sz w:val="24"/>
          <w:szCs w:val="24"/>
        </w:rPr>
        <w:t xml:space="preserve">of tax invoices to registered operators </w:t>
      </w:r>
      <w:r w:rsidR="001203B0">
        <w:rPr>
          <w:rFonts w:ascii="Times New Roman" w:hAnsi="Times New Roman" w:cs="Times New Roman"/>
          <w:sz w:val="24"/>
          <w:szCs w:val="24"/>
        </w:rPr>
        <w:t xml:space="preserve">by suppliers of goods and services </w:t>
      </w:r>
      <w:r w:rsidR="00BC696E">
        <w:rPr>
          <w:rFonts w:ascii="Times New Roman" w:hAnsi="Times New Roman" w:cs="Times New Roman"/>
          <w:sz w:val="24"/>
          <w:szCs w:val="24"/>
        </w:rPr>
        <w:t>and what information th</w:t>
      </w:r>
      <w:r w:rsidR="00D6646C">
        <w:rPr>
          <w:rFonts w:ascii="Times New Roman" w:hAnsi="Times New Roman" w:cs="Times New Roman"/>
          <w:sz w:val="24"/>
          <w:szCs w:val="24"/>
        </w:rPr>
        <w:t>os</w:t>
      </w:r>
      <w:r w:rsidR="00BC696E">
        <w:rPr>
          <w:rFonts w:ascii="Times New Roman" w:hAnsi="Times New Roman" w:cs="Times New Roman"/>
          <w:sz w:val="24"/>
          <w:szCs w:val="24"/>
        </w:rPr>
        <w:t>e invoices must carry</w:t>
      </w:r>
      <w:r w:rsidR="00F41936">
        <w:rPr>
          <w:rFonts w:ascii="Times New Roman" w:hAnsi="Times New Roman" w:cs="Times New Roman"/>
          <w:sz w:val="24"/>
          <w:szCs w:val="24"/>
        </w:rPr>
        <w:t xml:space="preserve">. The invoices </w:t>
      </w:r>
      <w:r w:rsidR="001203B0">
        <w:rPr>
          <w:rFonts w:ascii="Times New Roman" w:hAnsi="Times New Roman" w:cs="Times New Roman"/>
          <w:sz w:val="24"/>
          <w:szCs w:val="24"/>
        </w:rPr>
        <w:t xml:space="preserve">then </w:t>
      </w:r>
      <w:r w:rsidR="0007303D" w:rsidRPr="00795242">
        <w:rPr>
          <w:rFonts w:ascii="Times New Roman" w:hAnsi="Times New Roman" w:cs="Times New Roman"/>
          <w:sz w:val="24"/>
          <w:szCs w:val="24"/>
        </w:rPr>
        <w:t xml:space="preserve">form the </w:t>
      </w:r>
      <w:r w:rsidR="001203B0">
        <w:rPr>
          <w:rFonts w:ascii="Times New Roman" w:hAnsi="Times New Roman" w:cs="Times New Roman"/>
          <w:sz w:val="24"/>
          <w:szCs w:val="24"/>
        </w:rPr>
        <w:t xml:space="preserve">basis </w:t>
      </w:r>
      <w:r w:rsidR="0007303D" w:rsidRPr="00795242">
        <w:rPr>
          <w:rFonts w:ascii="Times New Roman" w:hAnsi="Times New Roman" w:cs="Times New Roman"/>
          <w:sz w:val="24"/>
          <w:szCs w:val="24"/>
        </w:rPr>
        <w:t xml:space="preserve">for </w:t>
      </w:r>
      <w:r w:rsidR="001203B0">
        <w:rPr>
          <w:rFonts w:ascii="Times New Roman" w:hAnsi="Times New Roman" w:cs="Times New Roman"/>
          <w:sz w:val="24"/>
          <w:szCs w:val="24"/>
        </w:rPr>
        <w:t>the</w:t>
      </w:r>
      <w:r w:rsidR="0007303D" w:rsidRPr="00795242">
        <w:rPr>
          <w:rFonts w:ascii="Times New Roman" w:hAnsi="Times New Roman" w:cs="Times New Roman"/>
          <w:sz w:val="24"/>
          <w:szCs w:val="24"/>
        </w:rPr>
        <w:t xml:space="preserve"> registered operator’s entitlement to </w:t>
      </w:r>
      <w:r w:rsidR="00F41936">
        <w:rPr>
          <w:rFonts w:ascii="Times New Roman" w:hAnsi="Times New Roman" w:cs="Times New Roman"/>
          <w:sz w:val="24"/>
          <w:szCs w:val="24"/>
        </w:rPr>
        <w:t xml:space="preserve">claim </w:t>
      </w:r>
      <w:r w:rsidR="0007303D" w:rsidRPr="00795242">
        <w:rPr>
          <w:rFonts w:ascii="Times New Roman" w:hAnsi="Times New Roman" w:cs="Times New Roman"/>
          <w:sz w:val="24"/>
          <w:szCs w:val="24"/>
        </w:rPr>
        <w:t>input tax.</w:t>
      </w:r>
    </w:p>
    <w:p w:rsidR="001C7D5E" w:rsidRPr="001203B0" w:rsidRDefault="001203B0" w:rsidP="001203B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F41936">
        <w:rPr>
          <w:rFonts w:ascii="Times New Roman" w:hAnsi="Times New Roman" w:cs="Times New Roman"/>
          <w:sz w:val="24"/>
          <w:szCs w:val="24"/>
        </w:rPr>
        <w:t>In this court, t</w:t>
      </w:r>
      <w:r w:rsidR="00672E2B" w:rsidRPr="001203B0">
        <w:rPr>
          <w:rFonts w:ascii="Times New Roman" w:hAnsi="Times New Roman" w:cs="Times New Roman"/>
          <w:sz w:val="24"/>
          <w:szCs w:val="24"/>
        </w:rPr>
        <w:t xml:space="preserve">he matter was heard </w:t>
      </w:r>
      <w:r>
        <w:rPr>
          <w:rFonts w:ascii="Times New Roman" w:hAnsi="Times New Roman" w:cs="Times New Roman"/>
          <w:sz w:val="24"/>
          <w:szCs w:val="24"/>
        </w:rPr>
        <w:t xml:space="preserve">as </w:t>
      </w:r>
      <w:r w:rsidR="00F41936">
        <w:rPr>
          <w:rFonts w:ascii="Times New Roman" w:hAnsi="Times New Roman" w:cs="Times New Roman"/>
          <w:sz w:val="24"/>
          <w:szCs w:val="24"/>
        </w:rPr>
        <w:t>a</w:t>
      </w:r>
      <w:r>
        <w:rPr>
          <w:rFonts w:ascii="Times New Roman" w:hAnsi="Times New Roman" w:cs="Times New Roman"/>
          <w:sz w:val="24"/>
          <w:szCs w:val="24"/>
        </w:rPr>
        <w:t xml:space="preserve"> stated case</w:t>
      </w:r>
      <w:r w:rsidR="00D6646C">
        <w:rPr>
          <w:rFonts w:ascii="Times New Roman" w:hAnsi="Times New Roman" w:cs="Times New Roman"/>
          <w:sz w:val="24"/>
          <w:szCs w:val="24"/>
        </w:rPr>
        <w:t>. A</w:t>
      </w:r>
      <w:r w:rsidR="00F41936">
        <w:rPr>
          <w:rFonts w:ascii="Times New Roman" w:hAnsi="Times New Roman" w:cs="Times New Roman"/>
          <w:sz w:val="24"/>
          <w:szCs w:val="24"/>
        </w:rPr>
        <w:t>mong other things,</w:t>
      </w:r>
      <w:r w:rsidR="00672E2B" w:rsidRPr="001203B0">
        <w:rPr>
          <w:rFonts w:ascii="Times New Roman" w:hAnsi="Times New Roman" w:cs="Times New Roman"/>
          <w:sz w:val="24"/>
          <w:szCs w:val="24"/>
        </w:rPr>
        <w:t xml:space="preserve"> </w:t>
      </w:r>
      <w:r w:rsidR="00D6646C">
        <w:rPr>
          <w:rFonts w:ascii="Times New Roman" w:hAnsi="Times New Roman" w:cs="Times New Roman"/>
          <w:sz w:val="24"/>
          <w:szCs w:val="24"/>
        </w:rPr>
        <w:t xml:space="preserve">the parties filed </w:t>
      </w:r>
      <w:r w:rsidR="00672E2B" w:rsidRPr="001203B0">
        <w:rPr>
          <w:rFonts w:ascii="Times New Roman" w:hAnsi="Times New Roman" w:cs="Times New Roman"/>
          <w:sz w:val="24"/>
          <w:szCs w:val="24"/>
        </w:rPr>
        <w:t>a statement of agreed facts</w:t>
      </w:r>
      <w:r>
        <w:rPr>
          <w:rFonts w:ascii="Times New Roman" w:hAnsi="Times New Roman" w:cs="Times New Roman"/>
          <w:sz w:val="24"/>
          <w:szCs w:val="24"/>
        </w:rPr>
        <w:t xml:space="preserve"> and</w:t>
      </w:r>
      <w:r w:rsidR="00672E2B" w:rsidRPr="001203B0">
        <w:rPr>
          <w:rFonts w:ascii="Times New Roman" w:hAnsi="Times New Roman" w:cs="Times New Roman"/>
          <w:sz w:val="24"/>
          <w:szCs w:val="24"/>
        </w:rPr>
        <w:t xml:space="preserve"> </w:t>
      </w:r>
      <w:r w:rsidR="00D6646C">
        <w:rPr>
          <w:rFonts w:ascii="Times New Roman" w:hAnsi="Times New Roman" w:cs="Times New Roman"/>
          <w:sz w:val="24"/>
          <w:szCs w:val="24"/>
        </w:rPr>
        <w:t>then made</w:t>
      </w:r>
      <w:r w:rsidR="00672E2B" w:rsidRPr="001203B0">
        <w:rPr>
          <w:rFonts w:ascii="Times New Roman" w:hAnsi="Times New Roman" w:cs="Times New Roman"/>
          <w:sz w:val="24"/>
          <w:szCs w:val="24"/>
        </w:rPr>
        <w:t xml:space="preserve"> oral submissions </w:t>
      </w:r>
      <w:r>
        <w:rPr>
          <w:rFonts w:ascii="Times New Roman" w:hAnsi="Times New Roman" w:cs="Times New Roman"/>
          <w:sz w:val="24"/>
          <w:szCs w:val="24"/>
        </w:rPr>
        <w:t>afterwards</w:t>
      </w:r>
      <w:r w:rsidR="00672E2B" w:rsidRPr="001203B0">
        <w:rPr>
          <w:rFonts w:ascii="Times New Roman" w:hAnsi="Times New Roman" w:cs="Times New Roman"/>
          <w:sz w:val="24"/>
          <w:szCs w:val="24"/>
        </w:rPr>
        <w:t>.</w:t>
      </w:r>
    </w:p>
    <w:p w:rsidR="005A7A3C" w:rsidRPr="001203B0" w:rsidRDefault="001203B0" w:rsidP="001203B0">
      <w:pPr>
        <w:spacing w:line="360" w:lineRule="auto"/>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sidR="0098239E" w:rsidRPr="001203B0">
        <w:rPr>
          <w:rFonts w:ascii="Times New Roman" w:hAnsi="Times New Roman" w:cs="Times New Roman"/>
          <w:b/>
          <w:bCs/>
          <w:sz w:val="24"/>
          <w:szCs w:val="24"/>
        </w:rPr>
        <w:t xml:space="preserve">Background </w:t>
      </w:r>
      <w:r>
        <w:rPr>
          <w:rFonts w:ascii="Times New Roman" w:hAnsi="Times New Roman" w:cs="Times New Roman"/>
          <w:b/>
          <w:bCs/>
          <w:sz w:val="24"/>
          <w:szCs w:val="24"/>
        </w:rPr>
        <w:t>f</w:t>
      </w:r>
      <w:r w:rsidR="0098239E" w:rsidRPr="001203B0">
        <w:rPr>
          <w:rFonts w:ascii="Times New Roman" w:hAnsi="Times New Roman" w:cs="Times New Roman"/>
          <w:b/>
          <w:bCs/>
          <w:sz w:val="24"/>
          <w:szCs w:val="24"/>
        </w:rPr>
        <w:t>acts</w:t>
      </w:r>
    </w:p>
    <w:p w:rsidR="001203B0" w:rsidRDefault="001203B0" w:rsidP="0010455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w:t>
      </w:r>
      <w:r w:rsidR="00C43D6A">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T</w:t>
      </w:r>
      <w:r w:rsidR="00822A04" w:rsidRPr="00795242">
        <w:rPr>
          <w:rFonts w:ascii="Times New Roman" w:hAnsi="Times New Roman" w:cs="Times New Roman"/>
          <w:sz w:val="24"/>
          <w:szCs w:val="24"/>
        </w:rPr>
        <w:t xml:space="preserve">he </w:t>
      </w:r>
      <w:r w:rsidR="0007303D" w:rsidRPr="00795242">
        <w:rPr>
          <w:rFonts w:ascii="Times New Roman" w:hAnsi="Times New Roman" w:cs="Times New Roman"/>
          <w:sz w:val="24"/>
          <w:szCs w:val="24"/>
        </w:rPr>
        <w:t>a</w:t>
      </w:r>
      <w:r w:rsidR="00822A04" w:rsidRPr="00795242">
        <w:rPr>
          <w:rFonts w:ascii="Times New Roman" w:hAnsi="Times New Roman" w:cs="Times New Roman"/>
          <w:sz w:val="24"/>
          <w:szCs w:val="24"/>
        </w:rPr>
        <w:t xml:space="preserve">ppellant is a </w:t>
      </w:r>
      <w:r>
        <w:rPr>
          <w:rFonts w:ascii="Times New Roman" w:hAnsi="Times New Roman" w:cs="Times New Roman"/>
          <w:sz w:val="24"/>
          <w:szCs w:val="24"/>
        </w:rPr>
        <w:t xml:space="preserve">registered private </w:t>
      </w:r>
      <w:r w:rsidR="00822A04" w:rsidRPr="00795242">
        <w:rPr>
          <w:rFonts w:ascii="Times New Roman" w:hAnsi="Times New Roman" w:cs="Times New Roman"/>
          <w:sz w:val="24"/>
          <w:szCs w:val="24"/>
        </w:rPr>
        <w:t>company</w:t>
      </w:r>
      <w:r>
        <w:rPr>
          <w:rFonts w:ascii="Times New Roman" w:hAnsi="Times New Roman" w:cs="Times New Roman"/>
          <w:sz w:val="24"/>
          <w:szCs w:val="24"/>
        </w:rPr>
        <w:t xml:space="preserve"> in Zimbabwe. It is involved in </w:t>
      </w:r>
      <w:r w:rsidR="00822A04" w:rsidRPr="00795242">
        <w:rPr>
          <w:rFonts w:ascii="Times New Roman" w:hAnsi="Times New Roman" w:cs="Times New Roman"/>
          <w:sz w:val="24"/>
          <w:szCs w:val="24"/>
        </w:rPr>
        <w:t>platinum mining.</w:t>
      </w:r>
      <w:r w:rsidR="00104551">
        <w:rPr>
          <w:rFonts w:ascii="Times New Roman" w:hAnsi="Times New Roman" w:cs="Times New Roman"/>
          <w:sz w:val="24"/>
          <w:szCs w:val="24"/>
        </w:rPr>
        <w:t xml:space="preserve"> </w:t>
      </w:r>
      <w:r w:rsidR="00D21A42" w:rsidRPr="001203B0">
        <w:rPr>
          <w:rFonts w:ascii="Times New Roman" w:hAnsi="Times New Roman" w:cs="Times New Roman"/>
          <w:sz w:val="24"/>
          <w:szCs w:val="24"/>
        </w:rPr>
        <w:t xml:space="preserve">The </w:t>
      </w:r>
      <w:r w:rsidR="0007303D" w:rsidRPr="001203B0">
        <w:rPr>
          <w:rFonts w:ascii="Times New Roman" w:hAnsi="Times New Roman" w:cs="Times New Roman"/>
          <w:sz w:val="24"/>
          <w:szCs w:val="24"/>
        </w:rPr>
        <w:t>r</w:t>
      </w:r>
      <w:r w:rsidR="00D21A42" w:rsidRPr="001203B0">
        <w:rPr>
          <w:rFonts w:ascii="Times New Roman" w:hAnsi="Times New Roman" w:cs="Times New Roman"/>
          <w:sz w:val="24"/>
          <w:szCs w:val="24"/>
        </w:rPr>
        <w:t xml:space="preserve">espondent is the </w:t>
      </w:r>
      <w:r>
        <w:rPr>
          <w:rFonts w:ascii="Times New Roman" w:hAnsi="Times New Roman" w:cs="Times New Roman"/>
          <w:sz w:val="24"/>
          <w:szCs w:val="24"/>
        </w:rPr>
        <w:t>collector of revenue for central government.</w:t>
      </w:r>
    </w:p>
    <w:p w:rsidR="00D21A42" w:rsidRDefault="00104551" w:rsidP="0010455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203CA8" w:rsidRPr="00795242">
        <w:rPr>
          <w:rFonts w:ascii="Times New Roman" w:hAnsi="Times New Roman" w:cs="Times New Roman"/>
          <w:sz w:val="24"/>
          <w:szCs w:val="24"/>
        </w:rPr>
        <w:t>In January 2017</w:t>
      </w:r>
      <w:r>
        <w:rPr>
          <w:rFonts w:ascii="Times New Roman" w:hAnsi="Times New Roman" w:cs="Times New Roman"/>
          <w:sz w:val="24"/>
          <w:szCs w:val="24"/>
        </w:rPr>
        <w:t>,</w:t>
      </w:r>
      <w:r w:rsidR="00203CA8" w:rsidRPr="00795242">
        <w:rPr>
          <w:rFonts w:ascii="Times New Roman" w:hAnsi="Times New Roman" w:cs="Times New Roman"/>
          <w:sz w:val="24"/>
          <w:szCs w:val="24"/>
        </w:rPr>
        <w:t xml:space="preserve"> the </w:t>
      </w:r>
      <w:r w:rsidR="0007303D" w:rsidRPr="00795242">
        <w:rPr>
          <w:rFonts w:ascii="Times New Roman" w:hAnsi="Times New Roman" w:cs="Times New Roman"/>
          <w:sz w:val="24"/>
          <w:szCs w:val="24"/>
        </w:rPr>
        <w:t>a</w:t>
      </w:r>
      <w:r w:rsidR="00203CA8" w:rsidRPr="00795242">
        <w:rPr>
          <w:rFonts w:ascii="Times New Roman" w:hAnsi="Times New Roman" w:cs="Times New Roman"/>
          <w:sz w:val="24"/>
          <w:szCs w:val="24"/>
        </w:rPr>
        <w:t xml:space="preserve">ppellant was compulsorily registered for </w:t>
      </w:r>
      <w:r>
        <w:rPr>
          <w:rFonts w:ascii="Times New Roman" w:hAnsi="Times New Roman" w:cs="Times New Roman"/>
          <w:sz w:val="24"/>
          <w:szCs w:val="24"/>
        </w:rPr>
        <w:t>v</w:t>
      </w:r>
      <w:r w:rsidR="00203CA8" w:rsidRPr="00795242">
        <w:rPr>
          <w:rFonts w:ascii="Times New Roman" w:hAnsi="Times New Roman" w:cs="Times New Roman"/>
          <w:sz w:val="24"/>
          <w:szCs w:val="24"/>
        </w:rPr>
        <w:t xml:space="preserve">alue </w:t>
      </w:r>
      <w:r>
        <w:rPr>
          <w:rFonts w:ascii="Times New Roman" w:hAnsi="Times New Roman" w:cs="Times New Roman"/>
          <w:sz w:val="24"/>
          <w:szCs w:val="24"/>
        </w:rPr>
        <w:t>a</w:t>
      </w:r>
      <w:r w:rsidR="00203CA8" w:rsidRPr="00795242">
        <w:rPr>
          <w:rFonts w:ascii="Times New Roman" w:hAnsi="Times New Roman" w:cs="Times New Roman"/>
          <w:sz w:val="24"/>
          <w:szCs w:val="24"/>
        </w:rPr>
        <w:t xml:space="preserve">dded </w:t>
      </w:r>
      <w:r>
        <w:rPr>
          <w:rFonts w:ascii="Times New Roman" w:hAnsi="Times New Roman" w:cs="Times New Roman"/>
          <w:sz w:val="24"/>
          <w:szCs w:val="24"/>
        </w:rPr>
        <w:t>t</w:t>
      </w:r>
      <w:r w:rsidR="00203CA8" w:rsidRPr="00795242">
        <w:rPr>
          <w:rFonts w:ascii="Times New Roman" w:hAnsi="Times New Roman" w:cs="Times New Roman"/>
          <w:sz w:val="24"/>
          <w:szCs w:val="24"/>
        </w:rPr>
        <w:t>ax</w:t>
      </w:r>
      <w:r>
        <w:rPr>
          <w:rFonts w:ascii="Times New Roman" w:hAnsi="Times New Roman" w:cs="Times New Roman"/>
          <w:sz w:val="24"/>
          <w:szCs w:val="24"/>
        </w:rPr>
        <w:t xml:space="preserve"> [</w:t>
      </w:r>
      <w:r w:rsidR="00BC696E">
        <w:rPr>
          <w:rFonts w:ascii="Times New Roman" w:hAnsi="Times New Roman" w:cs="Times New Roman"/>
          <w:sz w:val="24"/>
          <w:szCs w:val="24"/>
        </w:rPr>
        <w:t>VAT</w:t>
      </w:r>
      <w:r>
        <w:rPr>
          <w:rFonts w:ascii="Times New Roman" w:hAnsi="Times New Roman" w:cs="Times New Roman"/>
          <w:sz w:val="24"/>
          <w:szCs w:val="24"/>
        </w:rPr>
        <w:t>]. However, it</w:t>
      </w:r>
      <w:r w:rsidR="00203CA8" w:rsidRPr="00795242">
        <w:rPr>
          <w:rFonts w:ascii="Times New Roman" w:hAnsi="Times New Roman" w:cs="Times New Roman"/>
          <w:sz w:val="24"/>
          <w:szCs w:val="24"/>
        </w:rPr>
        <w:t xml:space="preserve"> was subsequently deregistered</w:t>
      </w:r>
      <w:r>
        <w:rPr>
          <w:rFonts w:ascii="Times New Roman" w:hAnsi="Times New Roman" w:cs="Times New Roman"/>
          <w:sz w:val="24"/>
          <w:szCs w:val="24"/>
        </w:rPr>
        <w:t xml:space="preserve"> because</w:t>
      </w:r>
      <w:r w:rsidR="00203CA8" w:rsidRPr="00795242">
        <w:rPr>
          <w:rFonts w:ascii="Times New Roman" w:hAnsi="Times New Roman" w:cs="Times New Roman"/>
          <w:sz w:val="24"/>
          <w:szCs w:val="24"/>
        </w:rPr>
        <w:t xml:space="preserve"> </w:t>
      </w:r>
      <w:r>
        <w:rPr>
          <w:rFonts w:ascii="Times New Roman" w:hAnsi="Times New Roman" w:cs="Times New Roman"/>
          <w:sz w:val="24"/>
          <w:szCs w:val="24"/>
        </w:rPr>
        <w:t xml:space="preserve">at the time, </w:t>
      </w:r>
      <w:r w:rsidR="00203CA8" w:rsidRPr="00795242">
        <w:rPr>
          <w:rFonts w:ascii="Times New Roman" w:hAnsi="Times New Roman" w:cs="Times New Roman"/>
          <w:sz w:val="24"/>
          <w:szCs w:val="24"/>
        </w:rPr>
        <w:t>its turnover consistently failed to meet the</w:t>
      </w:r>
      <w:r w:rsidR="00BC696E">
        <w:rPr>
          <w:rFonts w:ascii="Times New Roman" w:hAnsi="Times New Roman" w:cs="Times New Roman"/>
          <w:sz w:val="24"/>
          <w:szCs w:val="24"/>
        </w:rPr>
        <w:t xml:space="preserve"> minimum threshold required for</w:t>
      </w:r>
      <w:r w:rsidR="00203CA8" w:rsidRPr="00795242">
        <w:rPr>
          <w:rFonts w:ascii="Times New Roman" w:hAnsi="Times New Roman" w:cs="Times New Roman"/>
          <w:sz w:val="24"/>
          <w:szCs w:val="24"/>
        </w:rPr>
        <w:t xml:space="preserve"> registration.</w:t>
      </w:r>
    </w:p>
    <w:p w:rsidR="00203CA8" w:rsidRDefault="00104551" w:rsidP="0010455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I</w:t>
      </w:r>
      <w:r w:rsidR="00E32D5B" w:rsidRPr="00795242">
        <w:rPr>
          <w:rFonts w:ascii="Times New Roman" w:hAnsi="Times New Roman" w:cs="Times New Roman"/>
          <w:sz w:val="24"/>
          <w:szCs w:val="24"/>
        </w:rPr>
        <w:t>n January 2019</w:t>
      </w:r>
      <w:r>
        <w:rPr>
          <w:rFonts w:ascii="Times New Roman" w:hAnsi="Times New Roman" w:cs="Times New Roman"/>
          <w:sz w:val="24"/>
          <w:szCs w:val="24"/>
        </w:rPr>
        <w:t>,</w:t>
      </w:r>
      <w:r w:rsidR="00E32D5B" w:rsidRPr="00795242">
        <w:rPr>
          <w:rFonts w:ascii="Times New Roman" w:hAnsi="Times New Roman" w:cs="Times New Roman"/>
          <w:sz w:val="24"/>
          <w:szCs w:val="24"/>
        </w:rPr>
        <w:t xml:space="preserve"> the </w:t>
      </w:r>
      <w:r w:rsidR="0007303D" w:rsidRPr="00795242">
        <w:rPr>
          <w:rFonts w:ascii="Times New Roman" w:hAnsi="Times New Roman" w:cs="Times New Roman"/>
          <w:sz w:val="24"/>
          <w:szCs w:val="24"/>
        </w:rPr>
        <w:t>a</w:t>
      </w:r>
      <w:r w:rsidR="00E32D5B" w:rsidRPr="00795242">
        <w:rPr>
          <w:rFonts w:ascii="Times New Roman" w:hAnsi="Times New Roman" w:cs="Times New Roman"/>
          <w:sz w:val="24"/>
          <w:szCs w:val="24"/>
        </w:rPr>
        <w:t xml:space="preserve">ppellant entered into </w:t>
      </w:r>
      <w:r>
        <w:rPr>
          <w:rFonts w:ascii="Times New Roman" w:hAnsi="Times New Roman" w:cs="Times New Roman"/>
          <w:sz w:val="24"/>
          <w:szCs w:val="24"/>
        </w:rPr>
        <w:t>a s</w:t>
      </w:r>
      <w:r w:rsidR="00E32D5B" w:rsidRPr="00795242">
        <w:rPr>
          <w:rFonts w:ascii="Times New Roman" w:hAnsi="Times New Roman" w:cs="Times New Roman"/>
          <w:sz w:val="24"/>
          <w:szCs w:val="24"/>
        </w:rPr>
        <w:t xml:space="preserve">pecial </w:t>
      </w:r>
      <w:r>
        <w:rPr>
          <w:rFonts w:ascii="Times New Roman" w:hAnsi="Times New Roman" w:cs="Times New Roman"/>
          <w:sz w:val="24"/>
          <w:szCs w:val="24"/>
        </w:rPr>
        <w:t>m</w:t>
      </w:r>
      <w:r w:rsidR="00E32D5B" w:rsidRPr="00795242">
        <w:rPr>
          <w:rFonts w:ascii="Times New Roman" w:hAnsi="Times New Roman" w:cs="Times New Roman"/>
          <w:sz w:val="24"/>
          <w:szCs w:val="24"/>
        </w:rPr>
        <w:t xml:space="preserve">ining </w:t>
      </w:r>
      <w:r>
        <w:rPr>
          <w:rFonts w:ascii="Times New Roman" w:hAnsi="Times New Roman" w:cs="Times New Roman"/>
          <w:sz w:val="24"/>
          <w:szCs w:val="24"/>
        </w:rPr>
        <w:t>l</w:t>
      </w:r>
      <w:r w:rsidR="00E32D5B" w:rsidRPr="00795242">
        <w:rPr>
          <w:rFonts w:ascii="Times New Roman" w:hAnsi="Times New Roman" w:cs="Times New Roman"/>
          <w:sz w:val="24"/>
          <w:szCs w:val="24"/>
        </w:rPr>
        <w:t xml:space="preserve">ease with </w:t>
      </w:r>
      <w:r>
        <w:rPr>
          <w:rFonts w:ascii="Times New Roman" w:hAnsi="Times New Roman" w:cs="Times New Roman"/>
          <w:sz w:val="24"/>
          <w:szCs w:val="24"/>
        </w:rPr>
        <w:t xml:space="preserve">central government. Subsequently, it </w:t>
      </w:r>
      <w:r w:rsidR="00E32D5B" w:rsidRPr="00795242">
        <w:rPr>
          <w:rFonts w:ascii="Times New Roman" w:hAnsi="Times New Roman" w:cs="Times New Roman"/>
          <w:sz w:val="24"/>
          <w:szCs w:val="24"/>
        </w:rPr>
        <w:t xml:space="preserve">commenced development </w:t>
      </w:r>
      <w:r>
        <w:rPr>
          <w:rFonts w:ascii="Times New Roman" w:hAnsi="Times New Roman" w:cs="Times New Roman"/>
          <w:sz w:val="24"/>
          <w:szCs w:val="24"/>
        </w:rPr>
        <w:t>on</w:t>
      </w:r>
      <w:r w:rsidR="00E32D5B" w:rsidRPr="00795242">
        <w:rPr>
          <w:rFonts w:ascii="Times New Roman" w:hAnsi="Times New Roman" w:cs="Times New Roman"/>
          <w:sz w:val="24"/>
          <w:szCs w:val="24"/>
        </w:rPr>
        <w:t xml:space="preserve"> the mining </w:t>
      </w:r>
      <w:r w:rsidR="00BC696E">
        <w:rPr>
          <w:rFonts w:ascii="Times New Roman" w:hAnsi="Times New Roman" w:cs="Times New Roman"/>
          <w:sz w:val="24"/>
          <w:szCs w:val="24"/>
        </w:rPr>
        <w:t>site</w:t>
      </w:r>
      <w:r w:rsidR="00E32D5B" w:rsidRPr="00795242">
        <w:rPr>
          <w:rFonts w:ascii="Times New Roman" w:hAnsi="Times New Roman" w:cs="Times New Roman"/>
          <w:sz w:val="24"/>
          <w:szCs w:val="24"/>
        </w:rPr>
        <w:t>.</w:t>
      </w:r>
    </w:p>
    <w:p w:rsidR="00E32D5B" w:rsidRDefault="00104551" w:rsidP="0010455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On </w:t>
      </w:r>
      <w:r w:rsidR="00C401B3" w:rsidRPr="00795242">
        <w:rPr>
          <w:rFonts w:ascii="Times New Roman" w:hAnsi="Times New Roman" w:cs="Times New Roman"/>
          <w:sz w:val="24"/>
          <w:szCs w:val="24"/>
        </w:rPr>
        <w:t>1 January 2021, s 23</w:t>
      </w:r>
      <w:r>
        <w:rPr>
          <w:rFonts w:ascii="Times New Roman" w:hAnsi="Times New Roman" w:cs="Times New Roman"/>
          <w:sz w:val="24"/>
          <w:szCs w:val="24"/>
        </w:rPr>
        <w:t>[</w:t>
      </w:r>
      <w:r w:rsidR="00C401B3" w:rsidRPr="00795242">
        <w:rPr>
          <w:rFonts w:ascii="Times New Roman" w:hAnsi="Times New Roman" w:cs="Times New Roman"/>
          <w:sz w:val="24"/>
          <w:szCs w:val="24"/>
        </w:rPr>
        <w:t>3</w:t>
      </w:r>
      <w:r>
        <w:rPr>
          <w:rFonts w:ascii="Times New Roman" w:hAnsi="Times New Roman" w:cs="Times New Roman"/>
          <w:sz w:val="24"/>
          <w:szCs w:val="24"/>
        </w:rPr>
        <w:t>]</w:t>
      </w:r>
      <w:r w:rsidR="00C401B3" w:rsidRPr="00795242">
        <w:rPr>
          <w:rFonts w:ascii="Times New Roman" w:hAnsi="Times New Roman" w:cs="Times New Roman"/>
          <w:sz w:val="24"/>
          <w:szCs w:val="24"/>
        </w:rPr>
        <w:t xml:space="preserve"> of the Act was amended to include a proviso which </w:t>
      </w:r>
      <w:r>
        <w:rPr>
          <w:rFonts w:ascii="Times New Roman" w:hAnsi="Times New Roman" w:cs="Times New Roman"/>
          <w:sz w:val="24"/>
          <w:szCs w:val="24"/>
        </w:rPr>
        <w:t>d</w:t>
      </w:r>
      <w:r w:rsidR="00C401B3" w:rsidRPr="00795242">
        <w:rPr>
          <w:rFonts w:ascii="Times New Roman" w:hAnsi="Times New Roman" w:cs="Times New Roman"/>
          <w:sz w:val="24"/>
          <w:szCs w:val="24"/>
        </w:rPr>
        <w:t xml:space="preserve">eemed holders of </w:t>
      </w:r>
      <w:r>
        <w:rPr>
          <w:rFonts w:ascii="Times New Roman" w:hAnsi="Times New Roman" w:cs="Times New Roman"/>
          <w:sz w:val="24"/>
          <w:szCs w:val="24"/>
        </w:rPr>
        <w:t>s</w:t>
      </w:r>
      <w:r w:rsidR="00C401B3" w:rsidRPr="00795242">
        <w:rPr>
          <w:rFonts w:ascii="Times New Roman" w:hAnsi="Times New Roman" w:cs="Times New Roman"/>
          <w:sz w:val="24"/>
          <w:szCs w:val="24"/>
        </w:rPr>
        <w:t xml:space="preserve">pecial </w:t>
      </w:r>
      <w:r>
        <w:rPr>
          <w:rFonts w:ascii="Times New Roman" w:hAnsi="Times New Roman" w:cs="Times New Roman"/>
          <w:sz w:val="24"/>
          <w:szCs w:val="24"/>
        </w:rPr>
        <w:t>m</w:t>
      </w:r>
      <w:r w:rsidR="00C401B3" w:rsidRPr="00795242">
        <w:rPr>
          <w:rFonts w:ascii="Times New Roman" w:hAnsi="Times New Roman" w:cs="Times New Roman"/>
          <w:sz w:val="24"/>
          <w:szCs w:val="24"/>
        </w:rPr>
        <w:t xml:space="preserve">ining </w:t>
      </w:r>
      <w:r>
        <w:rPr>
          <w:rFonts w:ascii="Times New Roman" w:hAnsi="Times New Roman" w:cs="Times New Roman"/>
          <w:sz w:val="24"/>
          <w:szCs w:val="24"/>
        </w:rPr>
        <w:t>l</w:t>
      </w:r>
      <w:r w:rsidR="00C401B3" w:rsidRPr="00795242">
        <w:rPr>
          <w:rFonts w:ascii="Times New Roman" w:hAnsi="Times New Roman" w:cs="Times New Roman"/>
          <w:sz w:val="24"/>
          <w:szCs w:val="24"/>
        </w:rPr>
        <w:t>eases to have met the requirements for VAT registration</w:t>
      </w:r>
      <w:r>
        <w:rPr>
          <w:rFonts w:ascii="Times New Roman" w:hAnsi="Times New Roman" w:cs="Times New Roman"/>
          <w:sz w:val="24"/>
          <w:szCs w:val="24"/>
        </w:rPr>
        <w:t>. The amendment was to apply retrospectively</w:t>
      </w:r>
      <w:r w:rsidR="00C401B3" w:rsidRPr="00795242">
        <w:rPr>
          <w:rFonts w:ascii="Times New Roman" w:hAnsi="Times New Roman" w:cs="Times New Roman"/>
          <w:sz w:val="24"/>
          <w:szCs w:val="24"/>
        </w:rPr>
        <w:t xml:space="preserve"> from 1 January 2020.</w:t>
      </w:r>
    </w:p>
    <w:p w:rsidR="00C401B3" w:rsidRDefault="00104551" w:rsidP="0010455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F</w:t>
      </w:r>
      <w:r w:rsidR="00C401B3" w:rsidRPr="00795242">
        <w:rPr>
          <w:rFonts w:ascii="Times New Roman" w:hAnsi="Times New Roman" w:cs="Times New Roman"/>
          <w:sz w:val="24"/>
          <w:szCs w:val="24"/>
        </w:rPr>
        <w:t xml:space="preserve">ollowing the above amendment, the </w:t>
      </w:r>
      <w:r w:rsidR="0007303D" w:rsidRPr="00795242">
        <w:rPr>
          <w:rFonts w:ascii="Times New Roman" w:hAnsi="Times New Roman" w:cs="Times New Roman"/>
          <w:sz w:val="24"/>
          <w:szCs w:val="24"/>
        </w:rPr>
        <w:t>a</w:t>
      </w:r>
      <w:r w:rsidR="00C401B3" w:rsidRPr="00795242">
        <w:rPr>
          <w:rFonts w:ascii="Times New Roman" w:hAnsi="Times New Roman" w:cs="Times New Roman"/>
          <w:sz w:val="24"/>
          <w:szCs w:val="24"/>
        </w:rPr>
        <w:t xml:space="preserve">ppellant, as a holder of a </w:t>
      </w:r>
      <w:r>
        <w:rPr>
          <w:rFonts w:ascii="Times New Roman" w:hAnsi="Times New Roman" w:cs="Times New Roman"/>
          <w:sz w:val="24"/>
          <w:szCs w:val="24"/>
        </w:rPr>
        <w:t>s</w:t>
      </w:r>
      <w:r w:rsidR="00C401B3" w:rsidRPr="00795242">
        <w:rPr>
          <w:rFonts w:ascii="Times New Roman" w:hAnsi="Times New Roman" w:cs="Times New Roman"/>
          <w:sz w:val="24"/>
          <w:szCs w:val="24"/>
        </w:rPr>
        <w:t xml:space="preserve">pecial </w:t>
      </w:r>
      <w:r>
        <w:rPr>
          <w:rFonts w:ascii="Times New Roman" w:hAnsi="Times New Roman" w:cs="Times New Roman"/>
          <w:sz w:val="24"/>
          <w:szCs w:val="24"/>
        </w:rPr>
        <w:t>m</w:t>
      </w:r>
      <w:r w:rsidR="00C401B3" w:rsidRPr="00795242">
        <w:rPr>
          <w:rFonts w:ascii="Times New Roman" w:hAnsi="Times New Roman" w:cs="Times New Roman"/>
          <w:sz w:val="24"/>
          <w:szCs w:val="24"/>
        </w:rPr>
        <w:t xml:space="preserve">ining </w:t>
      </w:r>
      <w:r>
        <w:rPr>
          <w:rFonts w:ascii="Times New Roman" w:hAnsi="Times New Roman" w:cs="Times New Roman"/>
          <w:sz w:val="24"/>
          <w:szCs w:val="24"/>
        </w:rPr>
        <w:t>l</w:t>
      </w:r>
      <w:r w:rsidR="00C401B3" w:rsidRPr="00795242">
        <w:rPr>
          <w:rFonts w:ascii="Times New Roman" w:hAnsi="Times New Roman" w:cs="Times New Roman"/>
          <w:sz w:val="24"/>
          <w:szCs w:val="24"/>
        </w:rPr>
        <w:t>ease, promptly applied for VAT registration.</w:t>
      </w:r>
      <w:r>
        <w:rPr>
          <w:rFonts w:ascii="Times New Roman" w:hAnsi="Times New Roman" w:cs="Times New Roman"/>
          <w:sz w:val="24"/>
          <w:szCs w:val="24"/>
        </w:rPr>
        <w:t xml:space="preserve"> </w:t>
      </w:r>
      <w:r w:rsidR="00967D0E">
        <w:rPr>
          <w:rFonts w:ascii="Times New Roman" w:hAnsi="Times New Roman" w:cs="Times New Roman"/>
          <w:sz w:val="24"/>
          <w:szCs w:val="24"/>
        </w:rPr>
        <w:t>Although i</w:t>
      </w:r>
      <w:r>
        <w:rPr>
          <w:rFonts w:ascii="Times New Roman" w:hAnsi="Times New Roman" w:cs="Times New Roman"/>
          <w:sz w:val="24"/>
          <w:szCs w:val="24"/>
        </w:rPr>
        <w:t xml:space="preserve">t </w:t>
      </w:r>
      <w:r w:rsidR="00D6646C">
        <w:rPr>
          <w:rFonts w:ascii="Times New Roman" w:hAnsi="Times New Roman" w:cs="Times New Roman"/>
          <w:sz w:val="24"/>
          <w:szCs w:val="24"/>
        </w:rPr>
        <w:t>had been</w:t>
      </w:r>
      <w:r>
        <w:rPr>
          <w:rFonts w:ascii="Times New Roman" w:hAnsi="Times New Roman" w:cs="Times New Roman"/>
          <w:sz w:val="24"/>
          <w:szCs w:val="24"/>
        </w:rPr>
        <w:t xml:space="preserve"> registered </w:t>
      </w:r>
      <w:r w:rsidR="00967D0E">
        <w:rPr>
          <w:rFonts w:ascii="Times New Roman" w:hAnsi="Times New Roman" w:cs="Times New Roman"/>
          <w:sz w:val="24"/>
          <w:szCs w:val="24"/>
        </w:rPr>
        <w:t xml:space="preserve">only in </w:t>
      </w:r>
      <w:r>
        <w:rPr>
          <w:rFonts w:ascii="Times New Roman" w:hAnsi="Times New Roman" w:cs="Times New Roman"/>
          <w:sz w:val="24"/>
          <w:szCs w:val="24"/>
        </w:rPr>
        <w:t>March 2021</w:t>
      </w:r>
      <w:r w:rsidR="00967D0E">
        <w:rPr>
          <w:rFonts w:ascii="Times New Roman" w:hAnsi="Times New Roman" w:cs="Times New Roman"/>
          <w:sz w:val="24"/>
          <w:szCs w:val="24"/>
        </w:rPr>
        <w:t>, the registration was with retrospective effect from 1 January 2020.</w:t>
      </w:r>
      <w:r>
        <w:rPr>
          <w:rFonts w:ascii="Times New Roman" w:hAnsi="Times New Roman" w:cs="Times New Roman"/>
          <w:sz w:val="24"/>
          <w:szCs w:val="24"/>
        </w:rPr>
        <w:t xml:space="preserve"> </w:t>
      </w:r>
    </w:p>
    <w:p w:rsidR="008105D5" w:rsidRDefault="00967D0E" w:rsidP="00967D0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F</w:t>
      </w:r>
      <w:r w:rsidR="008105D5" w:rsidRPr="00795242">
        <w:rPr>
          <w:rFonts w:ascii="Times New Roman" w:hAnsi="Times New Roman" w:cs="Times New Roman"/>
          <w:sz w:val="24"/>
          <w:szCs w:val="24"/>
        </w:rPr>
        <w:t xml:space="preserve">ollowing its </w:t>
      </w:r>
      <w:r w:rsidR="00D6646C">
        <w:rPr>
          <w:rFonts w:ascii="Times New Roman" w:hAnsi="Times New Roman" w:cs="Times New Roman"/>
          <w:sz w:val="24"/>
          <w:szCs w:val="24"/>
        </w:rPr>
        <w:t>VAT</w:t>
      </w:r>
      <w:r w:rsidR="008105D5" w:rsidRPr="00795242">
        <w:rPr>
          <w:rFonts w:ascii="Times New Roman" w:hAnsi="Times New Roman" w:cs="Times New Roman"/>
          <w:sz w:val="24"/>
          <w:szCs w:val="24"/>
        </w:rPr>
        <w:t xml:space="preserve"> registration</w:t>
      </w:r>
      <w:r>
        <w:rPr>
          <w:rFonts w:ascii="Times New Roman" w:hAnsi="Times New Roman" w:cs="Times New Roman"/>
          <w:sz w:val="24"/>
          <w:szCs w:val="24"/>
        </w:rPr>
        <w:t xml:space="preserve"> as aforesaid</w:t>
      </w:r>
      <w:r w:rsidR="008105D5" w:rsidRPr="00795242">
        <w:rPr>
          <w:rFonts w:ascii="Times New Roman" w:hAnsi="Times New Roman" w:cs="Times New Roman"/>
          <w:sz w:val="24"/>
          <w:szCs w:val="24"/>
        </w:rPr>
        <w:t xml:space="preserve">, the </w:t>
      </w:r>
      <w:r w:rsidR="0007303D" w:rsidRPr="00795242">
        <w:rPr>
          <w:rFonts w:ascii="Times New Roman" w:hAnsi="Times New Roman" w:cs="Times New Roman"/>
          <w:sz w:val="24"/>
          <w:szCs w:val="24"/>
        </w:rPr>
        <w:t>a</w:t>
      </w:r>
      <w:r w:rsidR="008105D5" w:rsidRPr="00795242">
        <w:rPr>
          <w:rFonts w:ascii="Times New Roman" w:hAnsi="Times New Roman" w:cs="Times New Roman"/>
          <w:sz w:val="24"/>
          <w:szCs w:val="24"/>
        </w:rPr>
        <w:t xml:space="preserve">ppellant submitted refund claims to the </w:t>
      </w:r>
      <w:r w:rsidR="0007303D" w:rsidRPr="00795242">
        <w:rPr>
          <w:rFonts w:ascii="Times New Roman" w:hAnsi="Times New Roman" w:cs="Times New Roman"/>
          <w:sz w:val="24"/>
          <w:szCs w:val="24"/>
        </w:rPr>
        <w:t>r</w:t>
      </w:r>
      <w:r w:rsidR="008105D5" w:rsidRPr="00795242">
        <w:rPr>
          <w:rFonts w:ascii="Times New Roman" w:hAnsi="Times New Roman" w:cs="Times New Roman"/>
          <w:sz w:val="24"/>
          <w:szCs w:val="24"/>
        </w:rPr>
        <w:t xml:space="preserve">espondent for input tax incurred during the period </w:t>
      </w:r>
      <w:r w:rsidR="008105D5" w:rsidRPr="00967D0E">
        <w:rPr>
          <w:rFonts w:ascii="Times New Roman" w:hAnsi="Times New Roman" w:cs="Times New Roman"/>
          <w:bCs/>
          <w:sz w:val="24"/>
          <w:szCs w:val="24"/>
        </w:rPr>
        <w:t>1 January 2020 to 28 February 2021</w:t>
      </w:r>
      <w:r w:rsidR="008105D5" w:rsidRPr="00795242">
        <w:rPr>
          <w:rFonts w:ascii="Times New Roman" w:hAnsi="Times New Roman" w:cs="Times New Roman"/>
          <w:sz w:val="24"/>
          <w:szCs w:val="24"/>
        </w:rPr>
        <w:t>.</w:t>
      </w:r>
    </w:p>
    <w:p w:rsidR="00967D0E" w:rsidRDefault="00967D0E" w:rsidP="00967D0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11</w:t>
      </w:r>
      <w:r>
        <w:rPr>
          <w:rFonts w:ascii="Times New Roman" w:hAnsi="Times New Roman" w:cs="Times New Roman"/>
          <w:sz w:val="24"/>
          <w:szCs w:val="24"/>
        </w:rPr>
        <w:t>]</w:t>
      </w:r>
      <w:r>
        <w:rPr>
          <w:rFonts w:ascii="Times New Roman" w:hAnsi="Times New Roman" w:cs="Times New Roman"/>
          <w:sz w:val="24"/>
          <w:szCs w:val="24"/>
        </w:rPr>
        <w:tab/>
        <w:t>S</w:t>
      </w:r>
      <w:r w:rsidR="00D86A85" w:rsidRPr="00795242">
        <w:rPr>
          <w:rFonts w:ascii="Times New Roman" w:hAnsi="Times New Roman" w:cs="Times New Roman"/>
          <w:sz w:val="24"/>
          <w:szCs w:val="24"/>
        </w:rPr>
        <w:t>pecifically, the refund claims related to the following tax periods:</w:t>
      </w:r>
    </w:p>
    <w:p w:rsidR="00967D0E" w:rsidRPr="00AE310A" w:rsidRDefault="00D86A85" w:rsidP="00F74F38">
      <w:pPr>
        <w:pStyle w:val="ListParagraph"/>
        <w:numPr>
          <w:ilvl w:val="0"/>
          <w:numId w:val="13"/>
        </w:numPr>
        <w:spacing w:after="0" w:line="240" w:lineRule="auto"/>
        <w:rPr>
          <w:rFonts w:ascii="Times New Roman" w:hAnsi="Times New Roman" w:cs="Times New Roman"/>
          <w:b/>
          <w:bCs/>
          <w:sz w:val="24"/>
          <w:szCs w:val="24"/>
        </w:rPr>
      </w:pPr>
      <w:r w:rsidRPr="00AE310A">
        <w:rPr>
          <w:rFonts w:ascii="Times New Roman" w:hAnsi="Times New Roman" w:cs="Times New Roman"/>
          <w:sz w:val="24"/>
          <w:szCs w:val="24"/>
        </w:rPr>
        <w:t>January</w:t>
      </w:r>
      <w:r w:rsidR="00967D0E" w:rsidRPr="00AE310A">
        <w:rPr>
          <w:rFonts w:ascii="Times New Roman" w:hAnsi="Times New Roman" w:cs="Times New Roman"/>
          <w:sz w:val="24"/>
          <w:szCs w:val="24"/>
        </w:rPr>
        <w:t xml:space="preserve"> 2020 – </w:t>
      </w:r>
      <w:r w:rsidRPr="00AE310A">
        <w:rPr>
          <w:rFonts w:ascii="Times New Roman" w:hAnsi="Times New Roman" w:cs="Times New Roman"/>
          <w:sz w:val="24"/>
          <w:szCs w:val="24"/>
        </w:rPr>
        <w:t>February 2020</w:t>
      </w:r>
      <w:r w:rsidR="00967D0E" w:rsidRPr="00AE310A">
        <w:rPr>
          <w:rFonts w:ascii="Times New Roman" w:hAnsi="Times New Roman" w:cs="Times New Roman"/>
          <w:sz w:val="24"/>
          <w:szCs w:val="24"/>
        </w:rPr>
        <w:t>,</w:t>
      </w:r>
      <w:r w:rsidRPr="00AE310A">
        <w:rPr>
          <w:rFonts w:ascii="Times New Roman" w:hAnsi="Times New Roman" w:cs="Times New Roman"/>
          <w:b/>
          <w:bCs/>
          <w:sz w:val="24"/>
          <w:szCs w:val="24"/>
        </w:rPr>
        <w:t xml:space="preserve"> </w:t>
      </w:r>
      <w:r w:rsidR="00967D0E" w:rsidRPr="00AE310A">
        <w:rPr>
          <w:rFonts w:ascii="Times New Roman" w:hAnsi="Times New Roman" w:cs="Times New Roman"/>
          <w:bCs/>
          <w:sz w:val="24"/>
          <w:szCs w:val="24"/>
        </w:rPr>
        <w:t xml:space="preserve">reference </w:t>
      </w:r>
      <w:r w:rsidRPr="00AE310A">
        <w:rPr>
          <w:rFonts w:ascii="Times New Roman" w:hAnsi="Times New Roman" w:cs="Times New Roman"/>
          <w:b/>
          <w:bCs/>
          <w:sz w:val="24"/>
          <w:szCs w:val="24"/>
        </w:rPr>
        <w:t>20B1</w:t>
      </w:r>
      <w:r w:rsidR="00967D0E" w:rsidRPr="00AE310A">
        <w:rPr>
          <w:rFonts w:ascii="Times New Roman" w:hAnsi="Times New Roman" w:cs="Times New Roman"/>
          <w:bCs/>
          <w:sz w:val="24"/>
          <w:szCs w:val="24"/>
        </w:rPr>
        <w:t>,</w:t>
      </w:r>
      <w:r w:rsidRPr="00AE310A">
        <w:rPr>
          <w:rFonts w:ascii="Times New Roman" w:hAnsi="Times New Roman" w:cs="Times New Roman"/>
          <w:b/>
          <w:bCs/>
          <w:sz w:val="24"/>
          <w:szCs w:val="24"/>
        </w:rPr>
        <w:t xml:space="preserve"> </w:t>
      </w:r>
    </w:p>
    <w:p w:rsidR="00967D0E" w:rsidRPr="00AE310A" w:rsidRDefault="00D86A85" w:rsidP="00F74F38">
      <w:pPr>
        <w:pStyle w:val="ListParagraph"/>
        <w:numPr>
          <w:ilvl w:val="0"/>
          <w:numId w:val="13"/>
        </w:numPr>
        <w:spacing w:after="0" w:line="240" w:lineRule="auto"/>
        <w:rPr>
          <w:rFonts w:ascii="Times New Roman" w:hAnsi="Times New Roman" w:cs="Times New Roman"/>
          <w:sz w:val="24"/>
          <w:szCs w:val="24"/>
        </w:rPr>
      </w:pPr>
      <w:r w:rsidRPr="00AE310A">
        <w:rPr>
          <w:rFonts w:ascii="Times New Roman" w:hAnsi="Times New Roman" w:cs="Times New Roman"/>
          <w:sz w:val="24"/>
          <w:szCs w:val="24"/>
        </w:rPr>
        <w:t>March</w:t>
      </w:r>
      <w:r w:rsidR="00967D0E" w:rsidRPr="00AE310A">
        <w:rPr>
          <w:rFonts w:ascii="Times New Roman" w:hAnsi="Times New Roman" w:cs="Times New Roman"/>
          <w:sz w:val="24"/>
          <w:szCs w:val="24"/>
        </w:rPr>
        <w:t xml:space="preserve"> 2020 – </w:t>
      </w:r>
      <w:r w:rsidRPr="00AE310A">
        <w:rPr>
          <w:rFonts w:ascii="Times New Roman" w:hAnsi="Times New Roman" w:cs="Times New Roman"/>
          <w:sz w:val="24"/>
          <w:szCs w:val="24"/>
        </w:rPr>
        <w:t>April 2020</w:t>
      </w:r>
      <w:r w:rsidR="00967D0E" w:rsidRPr="00AE310A">
        <w:rPr>
          <w:rFonts w:ascii="Times New Roman" w:hAnsi="Times New Roman" w:cs="Times New Roman"/>
          <w:sz w:val="24"/>
          <w:szCs w:val="24"/>
        </w:rPr>
        <w:t xml:space="preserve">, reference </w:t>
      </w:r>
      <w:r w:rsidR="00967D0E" w:rsidRPr="00AE310A">
        <w:rPr>
          <w:rFonts w:ascii="Times New Roman" w:hAnsi="Times New Roman" w:cs="Times New Roman"/>
          <w:b/>
          <w:sz w:val="24"/>
          <w:szCs w:val="24"/>
        </w:rPr>
        <w:t>20B2</w:t>
      </w:r>
      <w:r w:rsidR="00967D0E" w:rsidRPr="00AE310A">
        <w:rPr>
          <w:rFonts w:ascii="Times New Roman" w:hAnsi="Times New Roman" w:cs="Times New Roman"/>
          <w:sz w:val="24"/>
          <w:szCs w:val="24"/>
        </w:rPr>
        <w:t>,</w:t>
      </w:r>
    </w:p>
    <w:p w:rsidR="00967D0E" w:rsidRPr="00AE310A" w:rsidRDefault="00D86A85" w:rsidP="00F74F38">
      <w:pPr>
        <w:pStyle w:val="ListParagraph"/>
        <w:numPr>
          <w:ilvl w:val="0"/>
          <w:numId w:val="13"/>
        </w:numPr>
        <w:spacing w:after="0" w:line="240" w:lineRule="auto"/>
        <w:rPr>
          <w:rFonts w:ascii="Times New Roman" w:hAnsi="Times New Roman" w:cs="Times New Roman"/>
          <w:b/>
          <w:bCs/>
          <w:sz w:val="24"/>
          <w:szCs w:val="24"/>
        </w:rPr>
      </w:pPr>
      <w:r w:rsidRPr="00AE310A">
        <w:rPr>
          <w:rFonts w:ascii="Times New Roman" w:hAnsi="Times New Roman" w:cs="Times New Roman"/>
          <w:sz w:val="24"/>
          <w:szCs w:val="24"/>
        </w:rPr>
        <w:t>May</w:t>
      </w:r>
      <w:r w:rsidR="00967D0E" w:rsidRPr="00AE310A">
        <w:rPr>
          <w:rFonts w:ascii="Times New Roman" w:hAnsi="Times New Roman" w:cs="Times New Roman"/>
          <w:sz w:val="24"/>
          <w:szCs w:val="24"/>
        </w:rPr>
        <w:t xml:space="preserve"> 2020 – J</w:t>
      </w:r>
      <w:r w:rsidRPr="00AE310A">
        <w:rPr>
          <w:rFonts w:ascii="Times New Roman" w:hAnsi="Times New Roman" w:cs="Times New Roman"/>
          <w:sz w:val="24"/>
          <w:szCs w:val="24"/>
        </w:rPr>
        <w:t>une 2020</w:t>
      </w:r>
      <w:r w:rsidR="00967D0E" w:rsidRPr="00AE310A">
        <w:rPr>
          <w:rFonts w:ascii="Times New Roman" w:hAnsi="Times New Roman" w:cs="Times New Roman"/>
          <w:sz w:val="24"/>
          <w:szCs w:val="24"/>
        </w:rPr>
        <w:t xml:space="preserve">, reference </w:t>
      </w:r>
      <w:r w:rsidRPr="00AE310A">
        <w:rPr>
          <w:rFonts w:ascii="Times New Roman" w:hAnsi="Times New Roman" w:cs="Times New Roman"/>
          <w:b/>
          <w:bCs/>
          <w:sz w:val="24"/>
          <w:szCs w:val="24"/>
        </w:rPr>
        <w:t>20B3</w:t>
      </w:r>
      <w:r w:rsidRPr="00AE310A">
        <w:rPr>
          <w:rFonts w:ascii="Times New Roman" w:hAnsi="Times New Roman" w:cs="Times New Roman"/>
          <w:bCs/>
          <w:sz w:val="24"/>
          <w:szCs w:val="24"/>
        </w:rPr>
        <w:t>,</w:t>
      </w:r>
      <w:r w:rsidRPr="00AE310A">
        <w:rPr>
          <w:rFonts w:ascii="Times New Roman" w:hAnsi="Times New Roman" w:cs="Times New Roman"/>
          <w:b/>
          <w:bCs/>
          <w:sz w:val="24"/>
          <w:szCs w:val="24"/>
        </w:rPr>
        <w:t xml:space="preserve"> </w:t>
      </w:r>
    </w:p>
    <w:p w:rsidR="00967D0E" w:rsidRPr="00AE310A" w:rsidRDefault="00D86A85" w:rsidP="00F74F38">
      <w:pPr>
        <w:pStyle w:val="ListParagraph"/>
        <w:numPr>
          <w:ilvl w:val="0"/>
          <w:numId w:val="13"/>
        </w:numPr>
        <w:spacing w:after="0" w:line="240" w:lineRule="auto"/>
        <w:rPr>
          <w:rFonts w:ascii="Times New Roman" w:hAnsi="Times New Roman" w:cs="Times New Roman"/>
          <w:bCs/>
          <w:sz w:val="24"/>
          <w:szCs w:val="24"/>
        </w:rPr>
      </w:pPr>
      <w:r w:rsidRPr="00AE310A">
        <w:rPr>
          <w:rFonts w:ascii="Times New Roman" w:hAnsi="Times New Roman" w:cs="Times New Roman"/>
          <w:sz w:val="24"/>
          <w:szCs w:val="24"/>
        </w:rPr>
        <w:t>July</w:t>
      </w:r>
      <w:r w:rsidR="00967D0E" w:rsidRPr="00AE310A">
        <w:rPr>
          <w:rFonts w:ascii="Times New Roman" w:hAnsi="Times New Roman" w:cs="Times New Roman"/>
          <w:sz w:val="24"/>
          <w:szCs w:val="24"/>
        </w:rPr>
        <w:t xml:space="preserve"> 2020 – A</w:t>
      </w:r>
      <w:r w:rsidRPr="00AE310A">
        <w:rPr>
          <w:rFonts w:ascii="Times New Roman" w:hAnsi="Times New Roman" w:cs="Times New Roman"/>
          <w:sz w:val="24"/>
          <w:szCs w:val="24"/>
        </w:rPr>
        <w:t>ugust 2020</w:t>
      </w:r>
      <w:r w:rsidR="00967D0E" w:rsidRPr="00AE310A">
        <w:rPr>
          <w:rFonts w:ascii="Times New Roman" w:hAnsi="Times New Roman" w:cs="Times New Roman"/>
          <w:sz w:val="24"/>
          <w:szCs w:val="24"/>
        </w:rPr>
        <w:t xml:space="preserve">, reference </w:t>
      </w:r>
      <w:r w:rsidRPr="00AE310A">
        <w:rPr>
          <w:rFonts w:ascii="Times New Roman" w:hAnsi="Times New Roman" w:cs="Times New Roman"/>
          <w:b/>
          <w:bCs/>
          <w:sz w:val="24"/>
          <w:szCs w:val="24"/>
        </w:rPr>
        <w:t>20B4</w:t>
      </w:r>
      <w:r w:rsidR="00967D0E" w:rsidRPr="00AE310A">
        <w:rPr>
          <w:rFonts w:ascii="Times New Roman" w:hAnsi="Times New Roman" w:cs="Times New Roman"/>
          <w:bCs/>
          <w:sz w:val="24"/>
          <w:szCs w:val="24"/>
        </w:rPr>
        <w:t>,</w:t>
      </w:r>
    </w:p>
    <w:p w:rsidR="00967D0E" w:rsidRPr="00AE310A" w:rsidRDefault="00D86A85" w:rsidP="00F74F38">
      <w:pPr>
        <w:pStyle w:val="ListParagraph"/>
        <w:numPr>
          <w:ilvl w:val="0"/>
          <w:numId w:val="13"/>
        </w:numPr>
        <w:spacing w:after="0" w:line="240" w:lineRule="auto"/>
        <w:rPr>
          <w:rFonts w:ascii="Times New Roman" w:hAnsi="Times New Roman" w:cs="Times New Roman"/>
          <w:sz w:val="24"/>
          <w:szCs w:val="24"/>
        </w:rPr>
      </w:pPr>
      <w:r w:rsidRPr="00AE310A">
        <w:rPr>
          <w:rFonts w:ascii="Times New Roman" w:hAnsi="Times New Roman" w:cs="Times New Roman"/>
          <w:sz w:val="24"/>
          <w:szCs w:val="24"/>
        </w:rPr>
        <w:t>September</w:t>
      </w:r>
      <w:r w:rsidR="00967D0E" w:rsidRPr="00AE310A">
        <w:rPr>
          <w:rFonts w:ascii="Times New Roman" w:hAnsi="Times New Roman" w:cs="Times New Roman"/>
          <w:sz w:val="24"/>
          <w:szCs w:val="24"/>
        </w:rPr>
        <w:t xml:space="preserve"> 2020 – O</w:t>
      </w:r>
      <w:r w:rsidRPr="00AE310A">
        <w:rPr>
          <w:rFonts w:ascii="Times New Roman" w:hAnsi="Times New Roman" w:cs="Times New Roman"/>
          <w:sz w:val="24"/>
          <w:szCs w:val="24"/>
        </w:rPr>
        <w:t>ctober 2020</w:t>
      </w:r>
      <w:r w:rsidR="00967D0E" w:rsidRPr="00AE310A">
        <w:rPr>
          <w:rFonts w:ascii="Times New Roman" w:hAnsi="Times New Roman" w:cs="Times New Roman"/>
          <w:sz w:val="24"/>
          <w:szCs w:val="24"/>
        </w:rPr>
        <w:t>, reference</w:t>
      </w:r>
      <w:r w:rsidRPr="00AE310A">
        <w:rPr>
          <w:rFonts w:ascii="Times New Roman" w:hAnsi="Times New Roman" w:cs="Times New Roman"/>
          <w:b/>
          <w:bCs/>
          <w:sz w:val="24"/>
          <w:szCs w:val="24"/>
        </w:rPr>
        <w:t xml:space="preserve"> 20B5</w:t>
      </w:r>
      <w:r w:rsidRPr="00AE310A">
        <w:rPr>
          <w:rFonts w:ascii="Times New Roman" w:hAnsi="Times New Roman" w:cs="Times New Roman"/>
          <w:bCs/>
          <w:sz w:val="24"/>
          <w:szCs w:val="24"/>
        </w:rPr>
        <w:t>,</w:t>
      </w:r>
      <w:r w:rsidRPr="00AE310A">
        <w:rPr>
          <w:rFonts w:ascii="Times New Roman" w:hAnsi="Times New Roman" w:cs="Times New Roman"/>
          <w:b/>
          <w:bCs/>
          <w:sz w:val="24"/>
          <w:szCs w:val="24"/>
        </w:rPr>
        <w:t xml:space="preserve"> </w:t>
      </w:r>
      <w:r w:rsidRPr="00AE310A">
        <w:rPr>
          <w:rFonts w:ascii="Times New Roman" w:hAnsi="Times New Roman" w:cs="Times New Roman"/>
          <w:sz w:val="24"/>
          <w:szCs w:val="24"/>
        </w:rPr>
        <w:t xml:space="preserve">and </w:t>
      </w:r>
    </w:p>
    <w:p w:rsidR="00D86A85" w:rsidRPr="00AE310A" w:rsidRDefault="00D86A85" w:rsidP="00AE310A">
      <w:pPr>
        <w:pStyle w:val="ListParagraph"/>
        <w:numPr>
          <w:ilvl w:val="0"/>
          <w:numId w:val="13"/>
        </w:numPr>
        <w:spacing w:line="360" w:lineRule="auto"/>
        <w:rPr>
          <w:rFonts w:ascii="Times New Roman" w:hAnsi="Times New Roman" w:cs="Times New Roman"/>
          <w:bCs/>
          <w:sz w:val="24"/>
          <w:szCs w:val="24"/>
        </w:rPr>
      </w:pPr>
      <w:r w:rsidRPr="00AE310A">
        <w:rPr>
          <w:rFonts w:ascii="Times New Roman" w:hAnsi="Times New Roman" w:cs="Times New Roman"/>
          <w:sz w:val="24"/>
          <w:szCs w:val="24"/>
        </w:rPr>
        <w:t>November</w:t>
      </w:r>
      <w:r w:rsidR="00967D0E" w:rsidRPr="00AE310A">
        <w:rPr>
          <w:rFonts w:ascii="Times New Roman" w:hAnsi="Times New Roman" w:cs="Times New Roman"/>
          <w:sz w:val="24"/>
          <w:szCs w:val="24"/>
        </w:rPr>
        <w:t xml:space="preserve"> 202 </w:t>
      </w:r>
      <w:r w:rsidRPr="00AE310A">
        <w:rPr>
          <w:rFonts w:ascii="Times New Roman" w:hAnsi="Times New Roman" w:cs="Times New Roman"/>
          <w:sz w:val="24"/>
          <w:szCs w:val="24"/>
        </w:rPr>
        <w:t>–</w:t>
      </w:r>
      <w:r w:rsidR="00967D0E" w:rsidRPr="00AE310A">
        <w:rPr>
          <w:rFonts w:ascii="Times New Roman" w:hAnsi="Times New Roman" w:cs="Times New Roman"/>
          <w:sz w:val="24"/>
          <w:szCs w:val="24"/>
        </w:rPr>
        <w:t xml:space="preserve"> </w:t>
      </w:r>
      <w:r w:rsidRPr="00AE310A">
        <w:rPr>
          <w:rFonts w:ascii="Times New Roman" w:hAnsi="Times New Roman" w:cs="Times New Roman"/>
          <w:sz w:val="24"/>
          <w:szCs w:val="24"/>
        </w:rPr>
        <w:t>December 2020</w:t>
      </w:r>
      <w:r w:rsidR="00967D0E" w:rsidRPr="00AE310A">
        <w:rPr>
          <w:rFonts w:ascii="Times New Roman" w:hAnsi="Times New Roman" w:cs="Times New Roman"/>
          <w:sz w:val="24"/>
          <w:szCs w:val="24"/>
        </w:rPr>
        <w:t xml:space="preserve">, reference </w:t>
      </w:r>
      <w:r w:rsidRPr="00AE310A">
        <w:rPr>
          <w:rFonts w:ascii="Times New Roman" w:hAnsi="Times New Roman" w:cs="Times New Roman"/>
          <w:b/>
          <w:bCs/>
          <w:sz w:val="24"/>
          <w:szCs w:val="24"/>
        </w:rPr>
        <w:t>20B6</w:t>
      </w:r>
      <w:r w:rsidRPr="00AE310A">
        <w:rPr>
          <w:rFonts w:ascii="Times New Roman" w:hAnsi="Times New Roman" w:cs="Times New Roman"/>
          <w:bCs/>
          <w:sz w:val="24"/>
          <w:szCs w:val="24"/>
        </w:rPr>
        <w:t>.</w:t>
      </w:r>
    </w:p>
    <w:p w:rsidR="00D86A85" w:rsidRDefault="00967D0E" w:rsidP="00967D0E">
      <w:pPr>
        <w:spacing w:line="360" w:lineRule="auto"/>
        <w:ind w:left="720" w:hanging="720"/>
        <w:rPr>
          <w:rFonts w:ascii="Times New Roman" w:hAnsi="Times New Roman" w:cs="Times New Roman"/>
          <w:sz w:val="24"/>
          <w:szCs w:val="24"/>
        </w:rPr>
      </w:pPr>
      <w:r>
        <w:rPr>
          <w:rFonts w:ascii="Times New Roman" w:hAnsi="Times New Roman" w:cs="Times New Roman"/>
          <w:bCs/>
          <w:sz w:val="24"/>
          <w:szCs w:val="24"/>
        </w:rPr>
        <w:t>[</w:t>
      </w:r>
      <w:r w:rsidR="00C43D6A">
        <w:rPr>
          <w:rFonts w:ascii="Times New Roman" w:hAnsi="Times New Roman" w:cs="Times New Roman"/>
          <w:bCs/>
          <w:sz w:val="24"/>
          <w:szCs w:val="24"/>
        </w:rPr>
        <w:t>12</w:t>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sz w:val="24"/>
          <w:szCs w:val="24"/>
        </w:rPr>
        <w:t>T</w:t>
      </w:r>
      <w:r w:rsidR="00D86A85" w:rsidRPr="00795242">
        <w:rPr>
          <w:rFonts w:ascii="Times New Roman" w:hAnsi="Times New Roman" w:cs="Times New Roman"/>
          <w:sz w:val="24"/>
          <w:szCs w:val="24"/>
        </w:rPr>
        <w:t xml:space="preserve">he </w:t>
      </w:r>
      <w:r w:rsidR="00493BCE">
        <w:rPr>
          <w:rFonts w:ascii="Times New Roman" w:hAnsi="Times New Roman" w:cs="Times New Roman"/>
          <w:sz w:val="24"/>
          <w:szCs w:val="24"/>
        </w:rPr>
        <w:t>r</w:t>
      </w:r>
      <w:r w:rsidR="00D86A85" w:rsidRPr="00795242">
        <w:rPr>
          <w:rFonts w:ascii="Times New Roman" w:hAnsi="Times New Roman" w:cs="Times New Roman"/>
          <w:sz w:val="24"/>
          <w:szCs w:val="24"/>
        </w:rPr>
        <w:t xml:space="preserve">espondent </w:t>
      </w:r>
      <w:r>
        <w:rPr>
          <w:rFonts w:ascii="Times New Roman" w:hAnsi="Times New Roman" w:cs="Times New Roman"/>
          <w:sz w:val="24"/>
          <w:szCs w:val="24"/>
        </w:rPr>
        <w:t xml:space="preserve">duly </w:t>
      </w:r>
      <w:r w:rsidR="00D86A85" w:rsidRPr="00795242">
        <w:rPr>
          <w:rFonts w:ascii="Times New Roman" w:hAnsi="Times New Roman" w:cs="Times New Roman"/>
          <w:sz w:val="24"/>
          <w:szCs w:val="24"/>
        </w:rPr>
        <w:t xml:space="preserve">processed the </w:t>
      </w:r>
      <w:r>
        <w:rPr>
          <w:rFonts w:ascii="Times New Roman" w:hAnsi="Times New Roman" w:cs="Times New Roman"/>
          <w:sz w:val="24"/>
          <w:szCs w:val="24"/>
        </w:rPr>
        <w:t>a</w:t>
      </w:r>
      <w:r w:rsidR="00D86A85" w:rsidRPr="00795242">
        <w:rPr>
          <w:rFonts w:ascii="Times New Roman" w:hAnsi="Times New Roman" w:cs="Times New Roman"/>
          <w:sz w:val="24"/>
          <w:szCs w:val="24"/>
        </w:rPr>
        <w:t xml:space="preserve">ppellant’s refund claims </w:t>
      </w:r>
      <w:r w:rsidR="00D86A85" w:rsidRPr="00795242">
        <w:rPr>
          <w:rFonts w:ascii="Times New Roman" w:hAnsi="Times New Roman" w:cs="Times New Roman"/>
          <w:b/>
          <w:bCs/>
          <w:sz w:val="24"/>
          <w:szCs w:val="24"/>
        </w:rPr>
        <w:t xml:space="preserve">20B1 </w:t>
      </w:r>
      <w:r w:rsidR="00D86A85" w:rsidRPr="00493BCE">
        <w:rPr>
          <w:rFonts w:ascii="Times New Roman" w:hAnsi="Times New Roman" w:cs="Times New Roman"/>
          <w:bCs/>
          <w:sz w:val="24"/>
          <w:szCs w:val="24"/>
        </w:rPr>
        <w:t>to</w:t>
      </w:r>
      <w:r w:rsidR="00D86A85" w:rsidRPr="00795242">
        <w:rPr>
          <w:rFonts w:ascii="Times New Roman" w:hAnsi="Times New Roman" w:cs="Times New Roman"/>
          <w:b/>
          <w:bCs/>
          <w:sz w:val="24"/>
          <w:szCs w:val="24"/>
        </w:rPr>
        <w:t xml:space="preserve"> 20B4</w:t>
      </w:r>
      <w:r w:rsidR="00D86A85" w:rsidRPr="00795242">
        <w:rPr>
          <w:rFonts w:ascii="Times New Roman" w:hAnsi="Times New Roman" w:cs="Times New Roman"/>
          <w:sz w:val="24"/>
          <w:szCs w:val="24"/>
        </w:rPr>
        <w:t>.</w:t>
      </w:r>
      <w:r w:rsidR="00493BCE">
        <w:rPr>
          <w:rFonts w:ascii="Times New Roman" w:hAnsi="Times New Roman" w:cs="Times New Roman"/>
          <w:sz w:val="24"/>
          <w:szCs w:val="24"/>
        </w:rPr>
        <w:t xml:space="preserve"> H</w:t>
      </w:r>
      <w:r w:rsidR="00D86A85" w:rsidRPr="00795242">
        <w:rPr>
          <w:rFonts w:ascii="Times New Roman" w:hAnsi="Times New Roman" w:cs="Times New Roman"/>
          <w:sz w:val="24"/>
          <w:szCs w:val="24"/>
        </w:rPr>
        <w:t xml:space="preserve">owever, </w:t>
      </w:r>
      <w:r w:rsidR="00493BCE">
        <w:rPr>
          <w:rFonts w:ascii="Times New Roman" w:hAnsi="Times New Roman" w:cs="Times New Roman"/>
          <w:sz w:val="24"/>
          <w:szCs w:val="24"/>
        </w:rPr>
        <w:t xml:space="preserve">it flagged </w:t>
      </w:r>
      <w:r w:rsidR="00D86A85" w:rsidRPr="00795242">
        <w:rPr>
          <w:rFonts w:ascii="Times New Roman" w:hAnsi="Times New Roman" w:cs="Times New Roman"/>
          <w:sz w:val="24"/>
          <w:szCs w:val="24"/>
        </w:rPr>
        <w:t>the claim</w:t>
      </w:r>
      <w:r w:rsidR="00D86A85" w:rsidRPr="00795242">
        <w:rPr>
          <w:rFonts w:ascii="Times New Roman" w:hAnsi="Times New Roman" w:cs="Times New Roman"/>
          <w:b/>
          <w:bCs/>
          <w:sz w:val="24"/>
          <w:szCs w:val="24"/>
        </w:rPr>
        <w:t xml:space="preserve"> 20B5</w:t>
      </w:r>
      <w:r w:rsidR="00D86A85" w:rsidRPr="00795242">
        <w:rPr>
          <w:rFonts w:ascii="Times New Roman" w:hAnsi="Times New Roman" w:cs="Times New Roman"/>
          <w:sz w:val="24"/>
          <w:szCs w:val="24"/>
        </w:rPr>
        <w:t xml:space="preserve"> as high risk, prompting an audit</w:t>
      </w:r>
      <w:r w:rsidR="00D6646C">
        <w:rPr>
          <w:rFonts w:ascii="Times New Roman" w:hAnsi="Times New Roman" w:cs="Times New Roman"/>
          <w:sz w:val="24"/>
          <w:szCs w:val="24"/>
        </w:rPr>
        <w:t xml:space="preserve"> by its officers</w:t>
      </w:r>
      <w:r w:rsidR="00D86A85" w:rsidRPr="00795242">
        <w:rPr>
          <w:rFonts w:ascii="Times New Roman" w:hAnsi="Times New Roman" w:cs="Times New Roman"/>
          <w:sz w:val="24"/>
          <w:szCs w:val="24"/>
        </w:rPr>
        <w:t xml:space="preserve">, after which </w:t>
      </w:r>
      <w:r w:rsidR="00493BCE">
        <w:rPr>
          <w:rFonts w:ascii="Times New Roman" w:hAnsi="Times New Roman" w:cs="Times New Roman"/>
          <w:sz w:val="24"/>
          <w:szCs w:val="24"/>
        </w:rPr>
        <w:t>i</w:t>
      </w:r>
      <w:r w:rsidR="00D86A85" w:rsidRPr="00795242">
        <w:rPr>
          <w:rFonts w:ascii="Times New Roman" w:hAnsi="Times New Roman" w:cs="Times New Roman"/>
          <w:sz w:val="24"/>
          <w:szCs w:val="24"/>
        </w:rPr>
        <w:t>t disallowed th</w:t>
      </w:r>
      <w:r w:rsidR="00493BCE">
        <w:rPr>
          <w:rFonts w:ascii="Times New Roman" w:hAnsi="Times New Roman" w:cs="Times New Roman"/>
          <w:sz w:val="24"/>
          <w:szCs w:val="24"/>
        </w:rPr>
        <w:t xml:space="preserve">e </w:t>
      </w:r>
      <w:r w:rsidR="00D86A85" w:rsidRPr="00795242">
        <w:rPr>
          <w:rFonts w:ascii="Times New Roman" w:hAnsi="Times New Roman" w:cs="Times New Roman"/>
          <w:sz w:val="24"/>
          <w:szCs w:val="24"/>
        </w:rPr>
        <w:t>claim.</w:t>
      </w:r>
    </w:p>
    <w:p w:rsidR="001B3BE5" w:rsidRDefault="00493BCE" w:rsidP="00493BC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13</w:t>
      </w:r>
      <w:r>
        <w:rPr>
          <w:rFonts w:ascii="Times New Roman" w:hAnsi="Times New Roman" w:cs="Times New Roman"/>
          <w:sz w:val="24"/>
          <w:szCs w:val="24"/>
        </w:rPr>
        <w:t>]</w:t>
      </w:r>
      <w:r>
        <w:rPr>
          <w:rFonts w:ascii="Times New Roman" w:hAnsi="Times New Roman" w:cs="Times New Roman"/>
          <w:sz w:val="24"/>
          <w:szCs w:val="24"/>
        </w:rPr>
        <w:tab/>
        <w:t>In its communication to the appellant, the r</w:t>
      </w:r>
      <w:r w:rsidR="00FB71DE" w:rsidRPr="00795242">
        <w:rPr>
          <w:rFonts w:ascii="Times New Roman" w:hAnsi="Times New Roman" w:cs="Times New Roman"/>
          <w:sz w:val="24"/>
          <w:szCs w:val="24"/>
        </w:rPr>
        <w:t xml:space="preserve">espondent </w:t>
      </w:r>
      <w:r>
        <w:rPr>
          <w:rFonts w:ascii="Times New Roman" w:hAnsi="Times New Roman" w:cs="Times New Roman"/>
          <w:sz w:val="24"/>
          <w:szCs w:val="24"/>
        </w:rPr>
        <w:t xml:space="preserve">advised </w:t>
      </w:r>
      <w:r w:rsidR="00BC696E">
        <w:rPr>
          <w:rFonts w:ascii="Times New Roman" w:hAnsi="Times New Roman" w:cs="Times New Roman"/>
          <w:sz w:val="24"/>
          <w:szCs w:val="24"/>
        </w:rPr>
        <w:t xml:space="preserve">that </w:t>
      </w:r>
      <w:r>
        <w:rPr>
          <w:rFonts w:ascii="Times New Roman" w:hAnsi="Times New Roman" w:cs="Times New Roman"/>
          <w:sz w:val="24"/>
          <w:szCs w:val="24"/>
        </w:rPr>
        <w:t xml:space="preserve">it had </w:t>
      </w:r>
      <w:r w:rsidR="00BC696E">
        <w:rPr>
          <w:rFonts w:ascii="Times New Roman" w:hAnsi="Times New Roman" w:cs="Times New Roman"/>
          <w:sz w:val="24"/>
          <w:szCs w:val="24"/>
        </w:rPr>
        <w:t xml:space="preserve">disallowed </w:t>
      </w:r>
      <w:r w:rsidR="00FB71DE" w:rsidRPr="00795242">
        <w:rPr>
          <w:rFonts w:ascii="Times New Roman" w:hAnsi="Times New Roman" w:cs="Times New Roman"/>
          <w:sz w:val="24"/>
          <w:szCs w:val="24"/>
        </w:rPr>
        <w:t xml:space="preserve">claim </w:t>
      </w:r>
      <w:r w:rsidRPr="00493BCE">
        <w:rPr>
          <w:rFonts w:ascii="Times New Roman" w:hAnsi="Times New Roman" w:cs="Times New Roman"/>
          <w:b/>
          <w:sz w:val="24"/>
          <w:szCs w:val="24"/>
        </w:rPr>
        <w:t>20B5</w:t>
      </w:r>
      <w:r>
        <w:rPr>
          <w:rFonts w:ascii="Times New Roman" w:hAnsi="Times New Roman" w:cs="Times New Roman"/>
          <w:sz w:val="24"/>
          <w:szCs w:val="24"/>
        </w:rPr>
        <w:t xml:space="preserve"> on the</w:t>
      </w:r>
      <w:r w:rsidR="00FB71DE" w:rsidRPr="00795242">
        <w:rPr>
          <w:rFonts w:ascii="Times New Roman" w:hAnsi="Times New Roman" w:cs="Times New Roman"/>
          <w:sz w:val="24"/>
          <w:szCs w:val="24"/>
        </w:rPr>
        <w:t xml:space="preserve"> grounds</w:t>
      </w:r>
      <w:r>
        <w:rPr>
          <w:rFonts w:ascii="Times New Roman" w:hAnsi="Times New Roman" w:cs="Times New Roman"/>
          <w:sz w:val="24"/>
          <w:szCs w:val="24"/>
        </w:rPr>
        <w:t xml:space="preserve"> </w:t>
      </w:r>
      <w:r w:rsidR="00BC696E">
        <w:rPr>
          <w:rFonts w:ascii="Times New Roman" w:hAnsi="Times New Roman" w:cs="Times New Roman"/>
          <w:sz w:val="24"/>
          <w:szCs w:val="24"/>
        </w:rPr>
        <w:t xml:space="preserve">that it </w:t>
      </w:r>
      <w:r>
        <w:rPr>
          <w:rFonts w:ascii="Times New Roman" w:hAnsi="Times New Roman" w:cs="Times New Roman"/>
          <w:sz w:val="24"/>
          <w:szCs w:val="24"/>
        </w:rPr>
        <w:t>g</w:t>
      </w:r>
      <w:r w:rsidR="0007303D" w:rsidRPr="00795242">
        <w:rPr>
          <w:rFonts w:ascii="Times New Roman" w:hAnsi="Times New Roman" w:cs="Times New Roman"/>
          <w:sz w:val="24"/>
          <w:szCs w:val="24"/>
        </w:rPr>
        <w:t>eneral</w:t>
      </w:r>
      <w:r w:rsidR="00BC696E">
        <w:rPr>
          <w:rFonts w:ascii="Times New Roman" w:hAnsi="Times New Roman" w:cs="Times New Roman"/>
          <w:sz w:val="24"/>
          <w:szCs w:val="24"/>
        </w:rPr>
        <w:t xml:space="preserve">ly did not comply </w:t>
      </w:r>
      <w:r w:rsidR="00FB71DE" w:rsidRPr="00795242">
        <w:rPr>
          <w:rFonts w:ascii="Times New Roman" w:hAnsi="Times New Roman" w:cs="Times New Roman"/>
          <w:sz w:val="24"/>
          <w:szCs w:val="24"/>
        </w:rPr>
        <w:t>with s 20 of the Act</w:t>
      </w:r>
      <w:r w:rsidR="0007303D" w:rsidRPr="00795242">
        <w:rPr>
          <w:rFonts w:ascii="Times New Roman" w:hAnsi="Times New Roman" w:cs="Times New Roman"/>
          <w:sz w:val="24"/>
          <w:szCs w:val="24"/>
        </w:rPr>
        <w:t xml:space="preserve"> </w:t>
      </w:r>
      <w:r w:rsidR="00052970">
        <w:rPr>
          <w:rFonts w:ascii="Times New Roman" w:hAnsi="Times New Roman" w:cs="Times New Roman"/>
          <w:sz w:val="24"/>
          <w:szCs w:val="24"/>
        </w:rPr>
        <w:t xml:space="preserve">in that, among other things, there </w:t>
      </w:r>
      <w:r w:rsidR="002E748A">
        <w:rPr>
          <w:rFonts w:ascii="Times New Roman" w:hAnsi="Times New Roman" w:cs="Times New Roman"/>
          <w:sz w:val="24"/>
          <w:szCs w:val="24"/>
        </w:rPr>
        <w:t>were</w:t>
      </w:r>
      <w:r w:rsidR="00052970">
        <w:rPr>
          <w:rFonts w:ascii="Times New Roman" w:hAnsi="Times New Roman" w:cs="Times New Roman"/>
          <w:sz w:val="24"/>
          <w:szCs w:val="24"/>
        </w:rPr>
        <w:t xml:space="preserve"> </w:t>
      </w:r>
      <w:r w:rsidR="00FB71DE" w:rsidRPr="00795242">
        <w:rPr>
          <w:rFonts w:ascii="Times New Roman" w:hAnsi="Times New Roman" w:cs="Times New Roman"/>
          <w:sz w:val="24"/>
          <w:szCs w:val="24"/>
        </w:rPr>
        <w:t>duplication of invoices</w:t>
      </w:r>
      <w:r w:rsidR="002E748A">
        <w:rPr>
          <w:rFonts w:ascii="Times New Roman" w:hAnsi="Times New Roman" w:cs="Times New Roman"/>
          <w:sz w:val="24"/>
          <w:szCs w:val="24"/>
        </w:rPr>
        <w:t xml:space="preserve"> and </w:t>
      </w:r>
      <w:r w:rsidR="00D6646C">
        <w:rPr>
          <w:rFonts w:ascii="Times New Roman" w:hAnsi="Times New Roman" w:cs="Times New Roman"/>
          <w:sz w:val="24"/>
          <w:szCs w:val="24"/>
        </w:rPr>
        <w:t>that</w:t>
      </w:r>
      <w:r w:rsidR="0007303D" w:rsidRPr="00795242">
        <w:rPr>
          <w:rFonts w:ascii="Times New Roman" w:hAnsi="Times New Roman" w:cs="Times New Roman"/>
          <w:sz w:val="24"/>
          <w:szCs w:val="24"/>
        </w:rPr>
        <w:t xml:space="preserve"> </w:t>
      </w:r>
      <w:r w:rsidR="00052970">
        <w:rPr>
          <w:rFonts w:ascii="Times New Roman" w:hAnsi="Times New Roman" w:cs="Times New Roman"/>
          <w:sz w:val="24"/>
          <w:szCs w:val="24"/>
        </w:rPr>
        <w:t xml:space="preserve">there was </w:t>
      </w:r>
      <w:r w:rsidR="0007303D" w:rsidRPr="00795242">
        <w:rPr>
          <w:rFonts w:ascii="Times New Roman" w:hAnsi="Times New Roman" w:cs="Times New Roman"/>
          <w:sz w:val="24"/>
          <w:szCs w:val="24"/>
        </w:rPr>
        <w:t xml:space="preserve">no </w:t>
      </w:r>
      <w:r w:rsidR="00D6646C">
        <w:rPr>
          <w:rFonts w:ascii="Times New Roman" w:hAnsi="Times New Roman" w:cs="Times New Roman"/>
          <w:sz w:val="24"/>
          <w:szCs w:val="24"/>
        </w:rPr>
        <w:t>VAT</w:t>
      </w:r>
      <w:r w:rsidR="0007303D" w:rsidRPr="00795242">
        <w:rPr>
          <w:rFonts w:ascii="Times New Roman" w:hAnsi="Times New Roman" w:cs="Times New Roman"/>
          <w:sz w:val="24"/>
          <w:szCs w:val="24"/>
        </w:rPr>
        <w:t xml:space="preserve"> registration number on </w:t>
      </w:r>
      <w:r w:rsidR="002E748A">
        <w:rPr>
          <w:rFonts w:ascii="Times New Roman" w:hAnsi="Times New Roman" w:cs="Times New Roman"/>
          <w:sz w:val="24"/>
          <w:szCs w:val="24"/>
        </w:rPr>
        <w:t xml:space="preserve">the </w:t>
      </w:r>
      <w:r w:rsidR="0007303D" w:rsidRPr="00795242">
        <w:rPr>
          <w:rFonts w:ascii="Times New Roman" w:hAnsi="Times New Roman" w:cs="Times New Roman"/>
          <w:sz w:val="24"/>
          <w:szCs w:val="24"/>
        </w:rPr>
        <w:t>invoices</w:t>
      </w:r>
      <w:r w:rsidR="00052970">
        <w:rPr>
          <w:rFonts w:ascii="Times New Roman" w:hAnsi="Times New Roman" w:cs="Times New Roman"/>
          <w:sz w:val="24"/>
          <w:szCs w:val="24"/>
        </w:rPr>
        <w:t xml:space="preserve">. There were further concerns </w:t>
      </w:r>
      <w:r w:rsidR="00FB71DE" w:rsidRPr="00795242">
        <w:rPr>
          <w:rFonts w:ascii="Times New Roman" w:hAnsi="Times New Roman" w:cs="Times New Roman"/>
          <w:sz w:val="24"/>
          <w:szCs w:val="24"/>
        </w:rPr>
        <w:t>relat</w:t>
      </w:r>
      <w:r w:rsidR="00052970">
        <w:rPr>
          <w:rFonts w:ascii="Times New Roman" w:hAnsi="Times New Roman" w:cs="Times New Roman"/>
          <w:sz w:val="24"/>
          <w:szCs w:val="24"/>
        </w:rPr>
        <w:t>ing</w:t>
      </w:r>
      <w:r w:rsidR="00FB71DE" w:rsidRPr="00795242">
        <w:rPr>
          <w:rFonts w:ascii="Times New Roman" w:hAnsi="Times New Roman" w:cs="Times New Roman"/>
          <w:sz w:val="24"/>
          <w:szCs w:val="24"/>
        </w:rPr>
        <w:t xml:space="preserve"> to the </w:t>
      </w:r>
      <w:r>
        <w:rPr>
          <w:rFonts w:ascii="Times New Roman" w:hAnsi="Times New Roman" w:cs="Times New Roman"/>
          <w:sz w:val="24"/>
          <w:szCs w:val="24"/>
        </w:rPr>
        <w:t>a</w:t>
      </w:r>
      <w:r w:rsidR="00FB71DE" w:rsidRPr="00795242">
        <w:rPr>
          <w:rFonts w:ascii="Times New Roman" w:hAnsi="Times New Roman" w:cs="Times New Roman"/>
          <w:sz w:val="24"/>
          <w:szCs w:val="24"/>
        </w:rPr>
        <w:t xml:space="preserve">ppellant’s </w:t>
      </w:r>
      <w:r w:rsidR="00052970">
        <w:rPr>
          <w:rFonts w:ascii="Times New Roman" w:hAnsi="Times New Roman" w:cs="Times New Roman"/>
          <w:sz w:val="24"/>
          <w:szCs w:val="24"/>
        </w:rPr>
        <w:t>VAT</w:t>
      </w:r>
      <w:r w:rsidR="00FB71DE" w:rsidRPr="00795242">
        <w:rPr>
          <w:rFonts w:ascii="Times New Roman" w:hAnsi="Times New Roman" w:cs="Times New Roman"/>
          <w:sz w:val="24"/>
          <w:szCs w:val="24"/>
        </w:rPr>
        <w:t xml:space="preserve"> registration status.</w:t>
      </w:r>
    </w:p>
    <w:p w:rsidR="00236FEA" w:rsidRPr="00795242" w:rsidRDefault="00493BCE" w:rsidP="00493BC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w:t>
      </w:r>
      <w:r w:rsidR="00C43D6A">
        <w:rPr>
          <w:rFonts w:ascii="Times New Roman" w:hAnsi="Times New Roman" w:cs="Times New Roman"/>
          <w:sz w:val="24"/>
          <w:szCs w:val="24"/>
        </w:rPr>
        <w:t>14</w:t>
      </w:r>
      <w:r>
        <w:rPr>
          <w:rFonts w:ascii="Times New Roman" w:hAnsi="Times New Roman" w:cs="Times New Roman"/>
          <w:sz w:val="24"/>
          <w:szCs w:val="24"/>
        </w:rPr>
        <w:t>]</w:t>
      </w:r>
      <w:r>
        <w:rPr>
          <w:rFonts w:ascii="Times New Roman" w:hAnsi="Times New Roman" w:cs="Times New Roman"/>
          <w:sz w:val="24"/>
          <w:szCs w:val="24"/>
        </w:rPr>
        <w:tab/>
        <w:t xml:space="preserve">In </w:t>
      </w:r>
      <w:r w:rsidR="0007303D" w:rsidRPr="00795242">
        <w:rPr>
          <w:rFonts w:ascii="Times New Roman" w:hAnsi="Times New Roman" w:cs="Times New Roman"/>
          <w:sz w:val="24"/>
          <w:szCs w:val="24"/>
        </w:rPr>
        <w:t xml:space="preserve">April 2023, the </w:t>
      </w:r>
      <w:r>
        <w:rPr>
          <w:rFonts w:ascii="Times New Roman" w:hAnsi="Times New Roman" w:cs="Times New Roman"/>
          <w:sz w:val="24"/>
          <w:szCs w:val="24"/>
        </w:rPr>
        <w:t>a</w:t>
      </w:r>
      <w:r w:rsidR="0007303D" w:rsidRPr="00795242">
        <w:rPr>
          <w:rFonts w:ascii="Times New Roman" w:hAnsi="Times New Roman" w:cs="Times New Roman"/>
          <w:sz w:val="24"/>
          <w:szCs w:val="24"/>
        </w:rPr>
        <w:t xml:space="preserve">ppellant </w:t>
      </w:r>
      <w:r w:rsidR="00052970">
        <w:rPr>
          <w:rFonts w:ascii="Times New Roman" w:hAnsi="Times New Roman" w:cs="Times New Roman"/>
          <w:sz w:val="24"/>
          <w:szCs w:val="24"/>
        </w:rPr>
        <w:t xml:space="preserve">lodged a </w:t>
      </w:r>
      <w:r w:rsidR="0007303D" w:rsidRPr="00795242">
        <w:rPr>
          <w:rFonts w:ascii="Times New Roman" w:hAnsi="Times New Roman" w:cs="Times New Roman"/>
          <w:sz w:val="24"/>
          <w:szCs w:val="24"/>
        </w:rPr>
        <w:t>form</w:t>
      </w:r>
      <w:r w:rsidR="002E748A">
        <w:rPr>
          <w:rFonts w:ascii="Times New Roman" w:hAnsi="Times New Roman" w:cs="Times New Roman"/>
          <w:sz w:val="24"/>
          <w:szCs w:val="24"/>
        </w:rPr>
        <w:t>al</w:t>
      </w:r>
      <w:r w:rsidR="0007303D" w:rsidRPr="00795242">
        <w:rPr>
          <w:rFonts w:ascii="Times New Roman" w:hAnsi="Times New Roman" w:cs="Times New Roman"/>
          <w:sz w:val="24"/>
          <w:szCs w:val="24"/>
        </w:rPr>
        <w:t xml:space="preserve"> objection</w:t>
      </w:r>
      <w:r w:rsidR="00052970">
        <w:rPr>
          <w:rFonts w:ascii="Times New Roman" w:hAnsi="Times New Roman" w:cs="Times New Roman"/>
          <w:sz w:val="24"/>
          <w:szCs w:val="24"/>
        </w:rPr>
        <w:t>.</w:t>
      </w:r>
      <w:r>
        <w:rPr>
          <w:rFonts w:ascii="Times New Roman" w:hAnsi="Times New Roman" w:cs="Times New Roman"/>
          <w:sz w:val="24"/>
          <w:szCs w:val="24"/>
        </w:rPr>
        <w:t xml:space="preserve"> The </w:t>
      </w:r>
      <w:r w:rsidR="00052970">
        <w:rPr>
          <w:rFonts w:ascii="Times New Roman" w:hAnsi="Times New Roman" w:cs="Times New Roman"/>
          <w:sz w:val="24"/>
          <w:szCs w:val="24"/>
        </w:rPr>
        <w:t>r</w:t>
      </w:r>
      <w:r>
        <w:rPr>
          <w:rFonts w:ascii="Times New Roman" w:hAnsi="Times New Roman" w:cs="Times New Roman"/>
          <w:sz w:val="24"/>
          <w:szCs w:val="24"/>
        </w:rPr>
        <w:t xml:space="preserve">espondent dismissed </w:t>
      </w:r>
      <w:r w:rsidR="00052970">
        <w:rPr>
          <w:rFonts w:ascii="Times New Roman" w:hAnsi="Times New Roman" w:cs="Times New Roman"/>
          <w:sz w:val="24"/>
          <w:szCs w:val="24"/>
        </w:rPr>
        <w:t>it</w:t>
      </w:r>
      <w:r w:rsidR="00910713" w:rsidRPr="00795242">
        <w:rPr>
          <w:rFonts w:ascii="Times New Roman" w:hAnsi="Times New Roman" w:cs="Times New Roman"/>
          <w:sz w:val="24"/>
          <w:szCs w:val="24"/>
        </w:rPr>
        <w:t xml:space="preserve"> in its entirety.</w:t>
      </w:r>
    </w:p>
    <w:p w:rsidR="00C75637" w:rsidRPr="00795242" w:rsidRDefault="00493BCE" w:rsidP="00AE310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15</w:t>
      </w:r>
      <w:r>
        <w:rPr>
          <w:rFonts w:ascii="Times New Roman" w:hAnsi="Times New Roman" w:cs="Times New Roman"/>
          <w:sz w:val="24"/>
          <w:szCs w:val="24"/>
        </w:rPr>
        <w:t>]</w:t>
      </w:r>
      <w:r>
        <w:rPr>
          <w:rFonts w:ascii="Times New Roman" w:hAnsi="Times New Roman" w:cs="Times New Roman"/>
          <w:sz w:val="24"/>
          <w:szCs w:val="24"/>
        </w:rPr>
        <w:tab/>
        <w:t>The present</w:t>
      </w:r>
      <w:r w:rsidR="00052970">
        <w:rPr>
          <w:rFonts w:ascii="Times New Roman" w:hAnsi="Times New Roman" w:cs="Times New Roman"/>
          <w:sz w:val="24"/>
          <w:szCs w:val="24"/>
        </w:rPr>
        <w:t xml:space="preserve"> appeal is against</w:t>
      </w:r>
      <w:r w:rsidR="00236FEA" w:rsidRPr="00795242">
        <w:rPr>
          <w:rFonts w:ascii="Times New Roman" w:hAnsi="Times New Roman" w:cs="Times New Roman"/>
          <w:sz w:val="24"/>
          <w:szCs w:val="24"/>
        </w:rPr>
        <w:t xml:space="preserve"> the </w:t>
      </w:r>
      <w:r w:rsidR="00AE310A">
        <w:rPr>
          <w:rFonts w:ascii="Times New Roman" w:hAnsi="Times New Roman" w:cs="Times New Roman"/>
          <w:sz w:val="24"/>
          <w:szCs w:val="24"/>
        </w:rPr>
        <w:t>r</w:t>
      </w:r>
      <w:r w:rsidR="00236FEA" w:rsidRPr="00795242">
        <w:rPr>
          <w:rFonts w:ascii="Times New Roman" w:hAnsi="Times New Roman" w:cs="Times New Roman"/>
          <w:sz w:val="24"/>
          <w:szCs w:val="24"/>
        </w:rPr>
        <w:t xml:space="preserve">espondent’s decision to disallow the </w:t>
      </w:r>
      <w:r w:rsidR="00AE310A">
        <w:rPr>
          <w:rFonts w:ascii="Times New Roman" w:hAnsi="Times New Roman" w:cs="Times New Roman"/>
          <w:sz w:val="24"/>
          <w:szCs w:val="24"/>
        </w:rPr>
        <w:t>a</w:t>
      </w:r>
      <w:r w:rsidR="00236FEA" w:rsidRPr="00795242">
        <w:rPr>
          <w:rFonts w:ascii="Times New Roman" w:hAnsi="Times New Roman" w:cs="Times New Roman"/>
          <w:sz w:val="24"/>
          <w:szCs w:val="24"/>
        </w:rPr>
        <w:t xml:space="preserve">ppellant’s input tax refund claim </w:t>
      </w:r>
      <w:r w:rsidR="00236FEA" w:rsidRPr="00795242">
        <w:rPr>
          <w:rFonts w:ascii="Times New Roman" w:hAnsi="Times New Roman" w:cs="Times New Roman"/>
          <w:b/>
          <w:bCs/>
          <w:sz w:val="24"/>
          <w:szCs w:val="24"/>
        </w:rPr>
        <w:t>20B5</w:t>
      </w:r>
      <w:r w:rsidR="00236FEA" w:rsidRPr="00795242">
        <w:rPr>
          <w:rFonts w:ascii="Times New Roman" w:hAnsi="Times New Roman" w:cs="Times New Roman"/>
          <w:sz w:val="24"/>
          <w:szCs w:val="24"/>
        </w:rPr>
        <w:t>.</w:t>
      </w:r>
    </w:p>
    <w:p w:rsidR="00236FEA" w:rsidRPr="00795242" w:rsidRDefault="00AE310A" w:rsidP="00AE310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16</w:t>
      </w:r>
      <w:r>
        <w:rPr>
          <w:rFonts w:ascii="Times New Roman" w:hAnsi="Times New Roman" w:cs="Times New Roman"/>
          <w:sz w:val="24"/>
          <w:szCs w:val="24"/>
        </w:rPr>
        <w:t>]</w:t>
      </w:r>
      <w:r>
        <w:rPr>
          <w:rFonts w:ascii="Times New Roman" w:hAnsi="Times New Roman" w:cs="Times New Roman"/>
          <w:sz w:val="24"/>
          <w:szCs w:val="24"/>
        </w:rPr>
        <w:tab/>
        <w:t>B</w:t>
      </w:r>
      <w:r w:rsidR="00052970">
        <w:rPr>
          <w:rFonts w:ascii="Times New Roman" w:hAnsi="Times New Roman" w:cs="Times New Roman"/>
          <w:sz w:val="24"/>
          <w:szCs w:val="24"/>
        </w:rPr>
        <w:t>y agreement</w:t>
      </w:r>
      <w:r w:rsidR="00236FEA" w:rsidRPr="00795242">
        <w:rPr>
          <w:rFonts w:ascii="Times New Roman" w:hAnsi="Times New Roman" w:cs="Times New Roman"/>
          <w:sz w:val="24"/>
          <w:szCs w:val="24"/>
        </w:rPr>
        <w:t xml:space="preserve">, the </w:t>
      </w:r>
      <w:r w:rsidR="0007303D" w:rsidRPr="00795242">
        <w:rPr>
          <w:rFonts w:ascii="Times New Roman" w:hAnsi="Times New Roman" w:cs="Times New Roman"/>
          <w:sz w:val="24"/>
          <w:szCs w:val="24"/>
        </w:rPr>
        <w:t>a</w:t>
      </w:r>
      <w:r w:rsidR="00236FEA" w:rsidRPr="00795242">
        <w:rPr>
          <w:rFonts w:ascii="Times New Roman" w:hAnsi="Times New Roman" w:cs="Times New Roman"/>
          <w:sz w:val="24"/>
          <w:szCs w:val="24"/>
        </w:rPr>
        <w:t xml:space="preserve">ppellant’s </w:t>
      </w:r>
      <w:r w:rsidR="00052970">
        <w:rPr>
          <w:rFonts w:ascii="Times New Roman" w:hAnsi="Times New Roman" w:cs="Times New Roman"/>
          <w:sz w:val="24"/>
          <w:szCs w:val="24"/>
        </w:rPr>
        <w:t>VAT</w:t>
      </w:r>
      <w:r w:rsidR="00236FEA" w:rsidRPr="00795242">
        <w:rPr>
          <w:rFonts w:ascii="Times New Roman" w:hAnsi="Times New Roman" w:cs="Times New Roman"/>
          <w:sz w:val="24"/>
          <w:szCs w:val="24"/>
        </w:rPr>
        <w:t xml:space="preserve"> registration status is no longer in dispute.</w:t>
      </w:r>
    </w:p>
    <w:p w:rsidR="000B3DD6" w:rsidRPr="00AE310A" w:rsidRDefault="00AE310A" w:rsidP="00AE310A">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00236FEA" w:rsidRPr="00AE310A">
        <w:rPr>
          <w:rFonts w:ascii="Times New Roman" w:hAnsi="Times New Roman" w:cs="Times New Roman"/>
          <w:b/>
          <w:bCs/>
          <w:sz w:val="24"/>
          <w:szCs w:val="24"/>
        </w:rPr>
        <w:t>Appellant’s case</w:t>
      </w:r>
    </w:p>
    <w:p w:rsidR="0007303D" w:rsidRDefault="00AE310A" w:rsidP="00AE310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17</w:t>
      </w:r>
      <w:r>
        <w:rPr>
          <w:rFonts w:ascii="Times New Roman" w:hAnsi="Times New Roman" w:cs="Times New Roman"/>
          <w:sz w:val="24"/>
          <w:szCs w:val="24"/>
        </w:rPr>
        <w:t>]</w:t>
      </w:r>
      <w:r>
        <w:rPr>
          <w:rFonts w:ascii="Times New Roman" w:hAnsi="Times New Roman" w:cs="Times New Roman"/>
          <w:sz w:val="24"/>
          <w:szCs w:val="24"/>
        </w:rPr>
        <w:tab/>
        <w:t>T</w:t>
      </w:r>
      <w:r w:rsidR="000B3DD6" w:rsidRPr="00AE310A">
        <w:rPr>
          <w:rFonts w:ascii="Times New Roman" w:hAnsi="Times New Roman" w:cs="Times New Roman"/>
          <w:sz w:val="24"/>
          <w:szCs w:val="24"/>
        </w:rPr>
        <w:t xml:space="preserve">he </w:t>
      </w:r>
      <w:r w:rsidR="0007303D" w:rsidRPr="00AE310A">
        <w:rPr>
          <w:rFonts w:ascii="Times New Roman" w:hAnsi="Times New Roman" w:cs="Times New Roman"/>
          <w:sz w:val="24"/>
          <w:szCs w:val="24"/>
        </w:rPr>
        <w:t>a</w:t>
      </w:r>
      <w:r w:rsidR="000B3DD6" w:rsidRPr="00AE310A">
        <w:rPr>
          <w:rFonts w:ascii="Times New Roman" w:hAnsi="Times New Roman" w:cs="Times New Roman"/>
          <w:sz w:val="24"/>
          <w:szCs w:val="24"/>
        </w:rPr>
        <w:t>ppellant</w:t>
      </w:r>
      <w:r>
        <w:rPr>
          <w:rFonts w:ascii="Times New Roman" w:hAnsi="Times New Roman" w:cs="Times New Roman"/>
          <w:sz w:val="24"/>
          <w:szCs w:val="24"/>
        </w:rPr>
        <w:t xml:space="preserve"> c</w:t>
      </w:r>
      <w:r w:rsidR="0007303D" w:rsidRPr="00795242">
        <w:rPr>
          <w:rFonts w:ascii="Times New Roman" w:hAnsi="Times New Roman" w:cs="Times New Roman"/>
          <w:sz w:val="24"/>
          <w:szCs w:val="24"/>
        </w:rPr>
        <w:t xml:space="preserve">ontends that it qualifies for </w:t>
      </w:r>
      <w:r w:rsidR="00A90A3D">
        <w:rPr>
          <w:rFonts w:ascii="Times New Roman" w:hAnsi="Times New Roman" w:cs="Times New Roman"/>
          <w:sz w:val="24"/>
          <w:szCs w:val="24"/>
        </w:rPr>
        <w:t>the</w:t>
      </w:r>
      <w:r w:rsidR="0007303D" w:rsidRPr="00795242">
        <w:rPr>
          <w:rFonts w:ascii="Times New Roman" w:hAnsi="Times New Roman" w:cs="Times New Roman"/>
          <w:sz w:val="24"/>
          <w:szCs w:val="24"/>
        </w:rPr>
        <w:t xml:space="preserve"> input tax refund </w:t>
      </w:r>
      <w:r w:rsidR="0007303D" w:rsidRPr="00AE310A">
        <w:rPr>
          <w:rFonts w:ascii="Times New Roman" w:hAnsi="Times New Roman" w:cs="Times New Roman"/>
          <w:b/>
          <w:sz w:val="24"/>
          <w:szCs w:val="24"/>
        </w:rPr>
        <w:t>20B5</w:t>
      </w:r>
      <w:r w:rsidR="00052970">
        <w:rPr>
          <w:rFonts w:ascii="Times New Roman" w:hAnsi="Times New Roman" w:cs="Times New Roman"/>
          <w:b/>
          <w:sz w:val="24"/>
          <w:szCs w:val="24"/>
        </w:rPr>
        <w:t xml:space="preserve"> </w:t>
      </w:r>
      <w:r>
        <w:rPr>
          <w:rFonts w:ascii="Times New Roman" w:hAnsi="Times New Roman" w:cs="Times New Roman"/>
          <w:sz w:val="24"/>
          <w:szCs w:val="24"/>
        </w:rPr>
        <w:t xml:space="preserve">because </w:t>
      </w:r>
      <w:r w:rsidR="00052970">
        <w:rPr>
          <w:rFonts w:ascii="Times New Roman" w:hAnsi="Times New Roman" w:cs="Times New Roman"/>
          <w:sz w:val="24"/>
          <w:szCs w:val="24"/>
        </w:rPr>
        <w:t>the amendment aforesaid applied r</w:t>
      </w:r>
      <w:r w:rsidR="0007303D" w:rsidRPr="00795242">
        <w:rPr>
          <w:rFonts w:ascii="Times New Roman" w:hAnsi="Times New Roman" w:cs="Times New Roman"/>
          <w:sz w:val="24"/>
          <w:szCs w:val="24"/>
        </w:rPr>
        <w:t>etrospectively</w:t>
      </w:r>
      <w:r w:rsidR="00052970">
        <w:rPr>
          <w:rFonts w:ascii="Times New Roman" w:hAnsi="Times New Roman" w:cs="Times New Roman"/>
          <w:sz w:val="24"/>
          <w:szCs w:val="24"/>
        </w:rPr>
        <w:t xml:space="preserve">. As such, </w:t>
      </w:r>
      <w:r w:rsidR="0007303D" w:rsidRPr="00795242">
        <w:rPr>
          <w:rFonts w:ascii="Times New Roman" w:hAnsi="Times New Roman" w:cs="Times New Roman"/>
          <w:sz w:val="24"/>
          <w:szCs w:val="24"/>
        </w:rPr>
        <w:t xml:space="preserve">holders of special mining leases </w:t>
      </w:r>
      <w:r w:rsidR="00052970">
        <w:rPr>
          <w:rFonts w:ascii="Times New Roman" w:hAnsi="Times New Roman" w:cs="Times New Roman"/>
          <w:sz w:val="24"/>
          <w:szCs w:val="24"/>
        </w:rPr>
        <w:t xml:space="preserve">were deemed </w:t>
      </w:r>
      <w:r>
        <w:rPr>
          <w:rFonts w:ascii="Times New Roman" w:hAnsi="Times New Roman" w:cs="Times New Roman"/>
          <w:sz w:val="24"/>
          <w:szCs w:val="24"/>
        </w:rPr>
        <w:t xml:space="preserve">to be </w:t>
      </w:r>
      <w:r w:rsidR="0007303D" w:rsidRPr="00795242">
        <w:rPr>
          <w:rFonts w:ascii="Times New Roman" w:hAnsi="Times New Roman" w:cs="Times New Roman"/>
          <w:sz w:val="24"/>
          <w:szCs w:val="24"/>
        </w:rPr>
        <w:t xml:space="preserve">registered for </w:t>
      </w:r>
      <w:r w:rsidR="00052970">
        <w:rPr>
          <w:rFonts w:ascii="Times New Roman" w:hAnsi="Times New Roman" w:cs="Times New Roman"/>
          <w:sz w:val="24"/>
          <w:szCs w:val="24"/>
        </w:rPr>
        <w:t>VAT</w:t>
      </w:r>
      <w:r>
        <w:rPr>
          <w:rFonts w:ascii="Times New Roman" w:hAnsi="Times New Roman" w:cs="Times New Roman"/>
          <w:sz w:val="24"/>
          <w:szCs w:val="24"/>
        </w:rPr>
        <w:t xml:space="preserve"> with effect </w:t>
      </w:r>
      <w:r w:rsidR="0007303D" w:rsidRPr="00795242">
        <w:rPr>
          <w:rFonts w:ascii="Times New Roman" w:hAnsi="Times New Roman" w:cs="Times New Roman"/>
          <w:sz w:val="24"/>
          <w:szCs w:val="24"/>
        </w:rPr>
        <w:t>from 1 January 2020.</w:t>
      </w:r>
    </w:p>
    <w:p w:rsidR="0007303D" w:rsidRDefault="00AE310A" w:rsidP="00AE310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18</w:t>
      </w:r>
      <w:r>
        <w:rPr>
          <w:rFonts w:ascii="Times New Roman" w:hAnsi="Times New Roman" w:cs="Times New Roman"/>
          <w:sz w:val="24"/>
          <w:szCs w:val="24"/>
        </w:rPr>
        <w:t>]</w:t>
      </w:r>
      <w:r>
        <w:rPr>
          <w:rFonts w:ascii="Times New Roman" w:hAnsi="Times New Roman" w:cs="Times New Roman"/>
          <w:sz w:val="24"/>
          <w:szCs w:val="24"/>
        </w:rPr>
        <w:tab/>
        <w:t>T</w:t>
      </w:r>
      <w:r w:rsidR="0007303D" w:rsidRPr="00795242">
        <w:rPr>
          <w:rFonts w:ascii="Times New Roman" w:hAnsi="Times New Roman" w:cs="Times New Roman"/>
          <w:sz w:val="24"/>
          <w:szCs w:val="24"/>
        </w:rPr>
        <w:t xml:space="preserve">he appellant further contends that the deeming provision constitutes a legal fiction, expressly designed to override the factual reality </w:t>
      </w:r>
      <w:r w:rsidR="00052970">
        <w:rPr>
          <w:rFonts w:ascii="Times New Roman" w:hAnsi="Times New Roman" w:cs="Times New Roman"/>
          <w:sz w:val="24"/>
          <w:szCs w:val="24"/>
        </w:rPr>
        <w:t>that disqualified it</w:t>
      </w:r>
      <w:r w:rsidR="0007303D" w:rsidRPr="00795242">
        <w:rPr>
          <w:rFonts w:ascii="Times New Roman" w:hAnsi="Times New Roman" w:cs="Times New Roman"/>
          <w:sz w:val="24"/>
          <w:szCs w:val="24"/>
        </w:rPr>
        <w:t xml:space="preserve"> as at 1 January 2020 and </w:t>
      </w:r>
      <w:r>
        <w:rPr>
          <w:rFonts w:ascii="Times New Roman" w:hAnsi="Times New Roman" w:cs="Times New Roman"/>
          <w:sz w:val="24"/>
          <w:szCs w:val="24"/>
        </w:rPr>
        <w:t xml:space="preserve">that </w:t>
      </w:r>
      <w:r w:rsidR="0007303D" w:rsidRPr="00795242">
        <w:rPr>
          <w:rFonts w:ascii="Times New Roman" w:hAnsi="Times New Roman" w:cs="Times New Roman"/>
          <w:sz w:val="24"/>
          <w:szCs w:val="24"/>
        </w:rPr>
        <w:t xml:space="preserve">any invoices issued during that period should be evaluated in </w:t>
      </w:r>
      <w:r>
        <w:rPr>
          <w:rFonts w:ascii="Times New Roman" w:hAnsi="Times New Roman" w:cs="Times New Roman"/>
          <w:sz w:val="24"/>
          <w:szCs w:val="24"/>
        </w:rPr>
        <w:t>the context</w:t>
      </w:r>
      <w:r w:rsidR="0007303D" w:rsidRPr="00795242">
        <w:rPr>
          <w:rFonts w:ascii="Times New Roman" w:hAnsi="Times New Roman" w:cs="Times New Roman"/>
          <w:sz w:val="24"/>
          <w:szCs w:val="24"/>
        </w:rPr>
        <w:t xml:space="preserve"> of this fiction.</w:t>
      </w:r>
    </w:p>
    <w:p w:rsidR="0007303D" w:rsidRDefault="00052970" w:rsidP="00D6663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D6663A">
        <w:rPr>
          <w:rFonts w:ascii="Times New Roman" w:hAnsi="Times New Roman" w:cs="Times New Roman"/>
          <w:sz w:val="24"/>
          <w:szCs w:val="24"/>
        </w:rPr>
        <w:t>[</w:t>
      </w:r>
      <w:r w:rsidR="00C43D6A">
        <w:rPr>
          <w:rFonts w:ascii="Times New Roman" w:hAnsi="Times New Roman" w:cs="Times New Roman"/>
          <w:sz w:val="24"/>
          <w:szCs w:val="24"/>
        </w:rPr>
        <w:t>19</w:t>
      </w:r>
      <w:r w:rsidR="00D6663A">
        <w:rPr>
          <w:rFonts w:ascii="Times New Roman" w:hAnsi="Times New Roman" w:cs="Times New Roman"/>
          <w:sz w:val="24"/>
          <w:szCs w:val="24"/>
        </w:rPr>
        <w:t>]</w:t>
      </w:r>
      <w:r w:rsidR="00D6663A">
        <w:rPr>
          <w:rFonts w:ascii="Times New Roman" w:hAnsi="Times New Roman" w:cs="Times New Roman"/>
          <w:sz w:val="24"/>
          <w:szCs w:val="24"/>
        </w:rPr>
        <w:tab/>
        <w:t>T</w:t>
      </w:r>
      <w:r w:rsidR="0007303D" w:rsidRPr="00795242">
        <w:rPr>
          <w:rFonts w:ascii="Times New Roman" w:hAnsi="Times New Roman" w:cs="Times New Roman"/>
          <w:sz w:val="24"/>
          <w:szCs w:val="24"/>
        </w:rPr>
        <w:t>he appellant further submits that the respondent previously accep</w:t>
      </w:r>
      <w:r w:rsidR="00D6663A">
        <w:rPr>
          <w:rFonts w:ascii="Times New Roman" w:hAnsi="Times New Roman" w:cs="Times New Roman"/>
          <w:sz w:val="24"/>
          <w:szCs w:val="24"/>
        </w:rPr>
        <w:t xml:space="preserve">ted and paid </w:t>
      </w:r>
      <w:r>
        <w:rPr>
          <w:rFonts w:ascii="Times New Roman" w:hAnsi="Times New Roman" w:cs="Times New Roman"/>
          <w:sz w:val="24"/>
          <w:szCs w:val="24"/>
        </w:rPr>
        <w:t xml:space="preserve">out </w:t>
      </w:r>
      <w:r w:rsidR="00D6663A">
        <w:rPr>
          <w:rFonts w:ascii="Times New Roman" w:hAnsi="Times New Roman" w:cs="Times New Roman"/>
          <w:sz w:val="24"/>
          <w:szCs w:val="24"/>
        </w:rPr>
        <w:t>input tax refunds</w:t>
      </w:r>
      <w:r w:rsidR="0007303D" w:rsidRPr="00795242">
        <w:rPr>
          <w:rFonts w:ascii="Times New Roman" w:hAnsi="Times New Roman" w:cs="Times New Roman"/>
          <w:sz w:val="24"/>
          <w:szCs w:val="24"/>
        </w:rPr>
        <w:t xml:space="preserve"> </w:t>
      </w:r>
      <w:r w:rsidR="0007303D" w:rsidRPr="00D6663A">
        <w:rPr>
          <w:rFonts w:ascii="Times New Roman" w:hAnsi="Times New Roman" w:cs="Times New Roman"/>
          <w:b/>
          <w:sz w:val="24"/>
          <w:szCs w:val="24"/>
        </w:rPr>
        <w:t>20B1 to 20B4</w:t>
      </w:r>
      <w:r w:rsidR="0007303D" w:rsidRPr="00795242">
        <w:rPr>
          <w:rFonts w:ascii="Times New Roman" w:hAnsi="Times New Roman" w:cs="Times New Roman"/>
          <w:sz w:val="24"/>
          <w:szCs w:val="24"/>
        </w:rPr>
        <w:t xml:space="preserve"> under identical circumstances, including </w:t>
      </w:r>
      <w:r w:rsidR="00C43D6A">
        <w:rPr>
          <w:rFonts w:ascii="Times New Roman" w:hAnsi="Times New Roman" w:cs="Times New Roman"/>
          <w:sz w:val="24"/>
          <w:szCs w:val="24"/>
        </w:rPr>
        <w:t xml:space="preserve">accepting invoices without </w:t>
      </w:r>
      <w:r>
        <w:rPr>
          <w:rFonts w:ascii="Times New Roman" w:hAnsi="Times New Roman" w:cs="Times New Roman"/>
          <w:sz w:val="24"/>
          <w:szCs w:val="24"/>
        </w:rPr>
        <w:t xml:space="preserve">VAT </w:t>
      </w:r>
      <w:r w:rsidR="0007303D" w:rsidRPr="00795242">
        <w:rPr>
          <w:rFonts w:ascii="Times New Roman" w:hAnsi="Times New Roman" w:cs="Times New Roman"/>
          <w:sz w:val="24"/>
          <w:szCs w:val="24"/>
        </w:rPr>
        <w:t>number</w:t>
      </w:r>
      <w:r w:rsidR="00D6663A">
        <w:rPr>
          <w:rFonts w:ascii="Times New Roman" w:hAnsi="Times New Roman" w:cs="Times New Roman"/>
          <w:sz w:val="24"/>
          <w:szCs w:val="24"/>
        </w:rPr>
        <w:t>s</w:t>
      </w:r>
      <w:r w:rsidR="0007303D" w:rsidRPr="00795242">
        <w:rPr>
          <w:rFonts w:ascii="Times New Roman" w:hAnsi="Times New Roman" w:cs="Times New Roman"/>
          <w:sz w:val="24"/>
          <w:szCs w:val="24"/>
        </w:rPr>
        <w:t xml:space="preserve">, thereby creating an expectation </w:t>
      </w:r>
      <w:r w:rsidR="00A90A3D">
        <w:rPr>
          <w:rFonts w:ascii="Times New Roman" w:hAnsi="Times New Roman" w:cs="Times New Roman"/>
          <w:sz w:val="24"/>
          <w:szCs w:val="24"/>
        </w:rPr>
        <w:t xml:space="preserve">by the appellant </w:t>
      </w:r>
      <w:r>
        <w:rPr>
          <w:rFonts w:ascii="Times New Roman" w:hAnsi="Times New Roman" w:cs="Times New Roman"/>
          <w:sz w:val="24"/>
          <w:szCs w:val="24"/>
        </w:rPr>
        <w:t>for</w:t>
      </w:r>
      <w:r w:rsidR="0007303D" w:rsidRPr="00795242">
        <w:rPr>
          <w:rFonts w:ascii="Times New Roman" w:hAnsi="Times New Roman" w:cs="Times New Roman"/>
          <w:sz w:val="24"/>
          <w:szCs w:val="24"/>
        </w:rPr>
        <w:t xml:space="preserve"> consistent treatment</w:t>
      </w:r>
      <w:r w:rsidR="002E748A">
        <w:rPr>
          <w:rFonts w:ascii="Times New Roman" w:hAnsi="Times New Roman" w:cs="Times New Roman"/>
          <w:sz w:val="24"/>
          <w:szCs w:val="24"/>
        </w:rPr>
        <w:t xml:space="preserve"> by the respondent</w:t>
      </w:r>
      <w:r w:rsidR="0007303D" w:rsidRPr="00795242">
        <w:rPr>
          <w:rFonts w:ascii="Times New Roman" w:hAnsi="Times New Roman" w:cs="Times New Roman"/>
          <w:sz w:val="24"/>
          <w:szCs w:val="24"/>
        </w:rPr>
        <w:t>.</w:t>
      </w:r>
    </w:p>
    <w:p w:rsidR="0007303D" w:rsidRDefault="00D6663A" w:rsidP="000A1CF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r>
      <w:r w:rsidR="0007303D" w:rsidRPr="00795242">
        <w:rPr>
          <w:rFonts w:ascii="Times New Roman" w:hAnsi="Times New Roman" w:cs="Times New Roman"/>
          <w:sz w:val="24"/>
          <w:szCs w:val="24"/>
        </w:rPr>
        <w:t xml:space="preserve">The </w:t>
      </w:r>
      <w:r w:rsidR="000A1CFF">
        <w:rPr>
          <w:rFonts w:ascii="Times New Roman" w:hAnsi="Times New Roman" w:cs="Times New Roman"/>
          <w:sz w:val="24"/>
          <w:szCs w:val="24"/>
        </w:rPr>
        <w:t>appellant attacks the respondent’s failure or refusal to exercise its discretion as reposed in it by s</w:t>
      </w:r>
      <w:r w:rsidR="0007303D" w:rsidRPr="00795242">
        <w:rPr>
          <w:rFonts w:ascii="Times New Roman" w:hAnsi="Times New Roman" w:cs="Times New Roman"/>
          <w:sz w:val="24"/>
          <w:szCs w:val="24"/>
        </w:rPr>
        <w:t xml:space="preserve"> 20</w:t>
      </w:r>
      <w:r w:rsidR="000A1CFF">
        <w:rPr>
          <w:rFonts w:ascii="Times New Roman" w:hAnsi="Times New Roman" w:cs="Times New Roman"/>
          <w:sz w:val="24"/>
          <w:szCs w:val="24"/>
        </w:rPr>
        <w:t>[</w:t>
      </w:r>
      <w:r w:rsidR="0007303D" w:rsidRPr="00795242">
        <w:rPr>
          <w:rFonts w:ascii="Times New Roman" w:hAnsi="Times New Roman" w:cs="Times New Roman"/>
          <w:sz w:val="24"/>
          <w:szCs w:val="24"/>
        </w:rPr>
        <w:t>4</w:t>
      </w:r>
      <w:r w:rsidR="000A1CFF">
        <w:rPr>
          <w:rFonts w:ascii="Times New Roman" w:hAnsi="Times New Roman" w:cs="Times New Roman"/>
          <w:sz w:val="24"/>
          <w:szCs w:val="24"/>
        </w:rPr>
        <w:t>]</w:t>
      </w:r>
      <w:r w:rsidR="0007303D" w:rsidRPr="00795242">
        <w:rPr>
          <w:rFonts w:ascii="Times New Roman" w:hAnsi="Times New Roman" w:cs="Times New Roman"/>
          <w:sz w:val="24"/>
          <w:szCs w:val="24"/>
        </w:rPr>
        <w:t xml:space="preserve"> of the Act</w:t>
      </w:r>
      <w:r w:rsidR="000A1CFF">
        <w:rPr>
          <w:rFonts w:ascii="Times New Roman" w:hAnsi="Times New Roman" w:cs="Times New Roman"/>
          <w:sz w:val="24"/>
          <w:szCs w:val="24"/>
        </w:rPr>
        <w:t xml:space="preserve">. This provision </w:t>
      </w:r>
      <w:r w:rsidR="0007303D" w:rsidRPr="00795242">
        <w:rPr>
          <w:rFonts w:ascii="Times New Roman" w:hAnsi="Times New Roman" w:cs="Times New Roman"/>
          <w:sz w:val="24"/>
          <w:szCs w:val="24"/>
        </w:rPr>
        <w:t>prescribes invoice content</w:t>
      </w:r>
      <w:r w:rsidR="000A1CFF">
        <w:rPr>
          <w:rFonts w:ascii="Times New Roman" w:hAnsi="Times New Roman" w:cs="Times New Roman"/>
          <w:sz w:val="24"/>
          <w:szCs w:val="24"/>
        </w:rPr>
        <w:t>. It</w:t>
      </w:r>
      <w:r w:rsidR="0007303D" w:rsidRPr="00795242">
        <w:rPr>
          <w:rFonts w:ascii="Times New Roman" w:hAnsi="Times New Roman" w:cs="Times New Roman"/>
          <w:sz w:val="24"/>
          <w:szCs w:val="24"/>
        </w:rPr>
        <w:t xml:space="preserve"> begins with the phrase </w:t>
      </w:r>
      <w:r w:rsidR="0007303D" w:rsidRPr="002E748A">
        <w:rPr>
          <w:rFonts w:ascii="Times New Roman" w:hAnsi="Times New Roman" w:cs="Times New Roman"/>
          <w:iCs/>
          <w:sz w:val="24"/>
          <w:szCs w:val="24"/>
        </w:rPr>
        <w:t>“</w:t>
      </w:r>
      <w:r w:rsidR="0007303D" w:rsidRPr="002E748A">
        <w:rPr>
          <w:rFonts w:ascii="Times New Roman" w:hAnsi="Times New Roman" w:cs="Times New Roman"/>
          <w:bCs/>
          <w:i/>
          <w:iCs/>
          <w:sz w:val="24"/>
          <w:szCs w:val="24"/>
        </w:rPr>
        <w:t>Except as the Commissioner may otherwise allow…</w:t>
      </w:r>
      <w:r w:rsidR="0007303D" w:rsidRPr="002E748A">
        <w:rPr>
          <w:rFonts w:ascii="Times New Roman" w:hAnsi="Times New Roman" w:cs="Times New Roman"/>
          <w:bCs/>
          <w:iCs/>
          <w:sz w:val="24"/>
          <w:szCs w:val="24"/>
        </w:rPr>
        <w:t>”</w:t>
      </w:r>
      <w:r w:rsidR="0007303D" w:rsidRPr="00795242">
        <w:rPr>
          <w:rFonts w:ascii="Times New Roman" w:hAnsi="Times New Roman" w:cs="Times New Roman"/>
          <w:sz w:val="24"/>
          <w:szCs w:val="24"/>
        </w:rPr>
        <w:t xml:space="preserve"> </w:t>
      </w:r>
      <w:r w:rsidR="000A1CFF">
        <w:rPr>
          <w:rFonts w:ascii="Times New Roman" w:hAnsi="Times New Roman" w:cs="Times New Roman"/>
          <w:sz w:val="24"/>
          <w:szCs w:val="24"/>
        </w:rPr>
        <w:t xml:space="preserve">The appellant argues that this </w:t>
      </w:r>
      <w:r w:rsidR="0007303D" w:rsidRPr="00795242">
        <w:rPr>
          <w:rFonts w:ascii="Times New Roman" w:hAnsi="Times New Roman" w:cs="Times New Roman"/>
          <w:sz w:val="24"/>
          <w:szCs w:val="24"/>
        </w:rPr>
        <w:t>grant</w:t>
      </w:r>
      <w:r w:rsidR="000A1CFF">
        <w:rPr>
          <w:rFonts w:ascii="Times New Roman" w:hAnsi="Times New Roman" w:cs="Times New Roman"/>
          <w:sz w:val="24"/>
          <w:szCs w:val="24"/>
        </w:rPr>
        <w:t>s the respondent the</w:t>
      </w:r>
      <w:r w:rsidR="0007303D" w:rsidRPr="00795242">
        <w:rPr>
          <w:rFonts w:ascii="Times New Roman" w:hAnsi="Times New Roman" w:cs="Times New Roman"/>
          <w:sz w:val="24"/>
          <w:szCs w:val="24"/>
        </w:rPr>
        <w:t xml:space="preserve"> discretion to accept non-compliant invoices in appropriate circumstances</w:t>
      </w:r>
      <w:r w:rsidR="000A1CFF">
        <w:rPr>
          <w:rFonts w:ascii="Times New Roman" w:hAnsi="Times New Roman" w:cs="Times New Roman"/>
          <w:sz w:val="24"/>
          <w:szCs w:val="24"/>
        </w:rPr>
        <w:t xml:space="preserve"> and that, a</w:t>
      </w:r>
      <w:r w:rsidR="0007303D" w:rsidRPr="00795242">
        <w:rPr>
          <w:rFonts w:ascii="Times New Roman" w:hAnsi="Times New Roman" w:cs="Times New Roman"/>
          <w:sz w:val="24"/>
          <w:szCs w:val="24"/>
        </w:rPr>
        <w:t>s such, any technical defects in invoices</w:t>
      </w:r>
      <w:r w:rsidR="000A1CFF">
        <w:rPr>
          <w:rFonts w:ascii="Times New Roman" w:hAnsi="Times New Roman" w:cs="Times New Roman"/>
          <w:sz w:val="24"/>
          <w:szCs w:val="24"/>
        </w:rPr>
        <w:t xml:space="preserve">, for example, the </w:t>
      </w:r>
      <w:r w:rsidR="0007303D" w:rsidRPr="00795242">
        <w:rPr>
          <w:rFonts w:ascii="Times New Roman" w:hAnsi="Times New Roman" w:cs="Times New Roman"/>
          <w:sz w:val="24"/>
          <w:szCs w:val="24"/>
        </w:rPr>
        <w:t xml:space="preserve">omission of </w:t>
      </w:r>
      <w:r w:rsidR="000A1CFF">
        <w:rPr>
          <w:rFonts w:ascii="Times New Roman" w:hAnsi="Times New Roman" w:cs="Times New Roman"/>
          <w:sz w:val="24"/>
          <w:szCs w:val="24"/>
        </w:rPr>
        <w:t>a</w:t>
      </w:r>
      <w:r w:rsidR="0007303D" w:rsidRPr="00795242">
        <w:rPr>
          <w:rFonts w:ascii="Times New Roman" w:hAnsi="Times New Roman" w:cs="Times New Roman"/>
          <w:sz w:val="24"/>
          <w:szCs w:val="24"/>
        </w:rPr>
        <w:t xml:space="preserve"> </w:t>
      </w:r>
      <w:r w:rsidR="003D4DD9">
        <w:rPr>
          <w:rFonts w:ascii="Times New Roman" w:hAnsi="Times New Roman" w:cs="Times New Roman"/>
          <w:sz w:val="24"/>
          <w:szCs w:val="24"/>
        </w:rPr>
        <w:t>VAT</w:t>
      </w:r>
      <w:r w:rsidR="0007303D" w:rsidRPr="00795242">
        <w:rPr>
          <w:rFonts w:ascii="Times New Roman" w:hAnsi="Times New Roman" w:cs="Times New Roman"/>
          <w:sz w:val="24"/>
          <w:szCs w:val="24"/>
        </w:rPr>
        <w:t xml:space="preserve"> number</w:t>
      </w:r>
      <w:r w:rsidR="000A1CFF">
        <w:rPr>
          <w:rFonts w:ascii="Times New Roman" w:hAnsi="Times New Roman" w:cs="Times New Roman"/>
          <w:sz w:val="24"/>
          <w:szCs w:val="24"/>
        </w:rPr>
        <w:t>, would be c</w:t>
      </w:r>
      <w:r w:rsidR="0007303D" w:rsidRPr="00795242">
        <w:rPr>
          <w:rFonts w:ascii="Times New Roman" w:hAnsi="Times New Roman" w:cs="Times New Roman"/>
          <w:sz w:val="24"/>
          <w:szCs w:val="24"/>
        </w:rPr>
        <w:t xml:space="preserve">urable under the </w:t>
      </w:r>
      <w:r w:rsidR="000A1CFF">
        <w:rPr>
          <w:rFonts w:ascii="Times New Roman" w:hAnsi="Times New Roman" w:cs="Times New Roman"/>
          <w:sz w:val="24"/>
          <w:szCs w:val="24"/>
        </w:rPr>
        <w:t xml:space="preserve">respondent’s </w:t>
      </w:r>
      <w:r w:rsidR="0007303D" w:rsidRPr="00795242">
        <w:rPr>
          <w:rFonts w:ascii="Times New Roman" w:hAnsi="Times New Roman" w:cs="Times New Roman"/>
          <w:sz w:val="24"/>
          <w:szCs w:val="24"/>
        </w:rPr>
        <w:t>Comm</w:t>
      </w:r>
      <w:r w:rsidR="000A1CFF">
        <w:rPr>
          <w:rFonts w:ascii="Times New Roman" w:hAnsi="Times New Roman" w:cs="Times New Roman"/>
          <w:sz w:val="24"/>
          <w:szCs w:val="24"/>
        </w:rPr>
        <w:t>issioner’s discretion in s</w:t>
      </w:r>
      <w:r w:rsidR="0007303D" w:rsidRPr="00795242">
        <w:rPr>
          <w:rFonts w:ascii="Times New Roman" w:hAnsi="Times New Roman" w:cs="Times New Roman"/>
          <w:sz w:val="24"/>
          <w:szCs w:val="24"/>
        </w:rPr>
        <w:t xml:space="preserve"> 20</w:t>
      </w:r>
      <w:r w:rsidR="000A1CFF">
        <w:rPr>
          <w:rFonts w:ascii="Times New Roman" w:hAnsi="Times New Roman" w:cs="Times New Roman"/>
          <w:sz w:val="24"/>
          <w:szCs w:val="24"/>
        </w:rPr>
        <w:t>[</w:t>
      </w:r>
      <w:r w:rsidR="0007303D" w:rsidRPr="00795242">
        <w:rPr>
          <w:rFonts w:ascii="Times New Roman" w:hAnsi="Times New Roman" w:cs="Times New Roman"/>
          <w:sz w:val="24"/>
          <w:szCs w:val="24"/>
        </w:rPr>
        <w:t>4</w:t>
      </w:r>
      <w:r w:rsidR="000A1CFF">
        <w:rPr>
          <w:rFonts w:ascii="Times New Roman" w:hAnsi="Times New Roman" w:cs="Times New Roman"/>
          <w:sz w:val="24"/>
          <w:szCs w:val="24"/>
        </w:rPr>
        <w:t>] aforesaid</w:t>
      </w:r>
      <w:r w:rsidR="0007303D" w:rsidRPr="00795242">
        <w:rPr>
          <w:rFonts w:ascii="Times New Roman" w:hAnsi="Times New Roman" w:cs="Times New Roman"/>
          <w:sz w:val="24"/>
          <w:szCs w:val="24"/>
        </w:rPr>
        <w:t>.</w:t>
      </w:r>
    </w:p>
    <w:p w:rsidR="0007303D" w:rsidRDefault="000A1CFF" w:rsidP="000A1CFF">
      <w:pPr>
        <w:spacing w:line="360" w:lineRule="auto"/>
        <w:ind w:left="720" w:hanging="720"/>
        <w:jc w:val="both"/>
        <w:rPr>
          <w:rFonts w:ascii="Times New Roman" w:hAnsi="Times New Roman" w:cs="Times New Roman"/>
          <w:b/>
          <w:bCs/>
          <w:sz w:val="24"/>
          <w:szCs w:val="24"/>
        </w:rPr>
      </w:pPr>
      <w:r w:rsidRPr="000A1CFF">
        <w:rPr>
          <w:rFonts w:ascii="Times New Roman" w:hAnsi="Times New Roman" w:cs="Times New Roman"/>
          <w:b/>
          <w:sz w:val="24"/>
          <w:szCs w:val="24"/>
        </w:rPr>
        <w:t>d</w:t>
      </w:r>
      <w:r>
        <w:rPr>
          <w:rFonts w:ascii="Times New Roman" w:hAnsi="Times New Roman" w:cs="Times New Roman"/>
          <w:sz w:val="24"/>
          <w:szCs w:val="24"/>
        </w:rPr>
        <w:tab/>
      </w:r>
      <w:r>
        <w:rPr>
          <w:rFonts w:ascii="Times New Roman" w:hAnsi="Times New Roman" w:cs="Times New Roman"/>
          <w:b/>
          <w:bCs/>
          <w:sz w:val="24"/>
          <w:szCs w:val="24"/>
        </w:rPr>
        <w:t>R</w:t>
      </w:r>
      <w:r w:rsidR="0007303D" w:rsidRPr="00795242">
        <w:rPr>
          <w:rFonts w:ascii="Times New Roman" w:hAnsi="Times New Roman" w:cs="Times New Roman"/>
          <w:b/>
          <w:bCs/>
          <w:sz w:val="24"/>
          <w:szCs w:val="24"/>
        </w:rPr>
        <w:t>espondent</w:t>
      </w:r>
      <w:r w:rsidR="008756B7" w:rsidRPr="00795242">
        <w:rPr>
          <w:rFonts w:ascii="Times New Roman" w:hAnsi="Times New Roman" w:cs="Times New Roman"/>
          <w:b/>
          <w:bCs/>
          <w:sz w:val="24"/>
          <w:szCs w:val="24"/>
        </w:rPr>
        <w:t>’</w:t>
      </w:r>
      <w:r w:rsidR="0007303D" w:rsidRPr="00795242">
        <w:rPr>
          <w:rFonts w:ascii="Times New Roman" w:hAnsi="Times New Roman" w:cs="Times New Roman"/>
          <w:b/>
          <w:bCs/>
          <w:sz w:val="24"/>
          <w:szCs w:val="24"/>
        </w:rPr>
        <w:t>s Case</w:t>
      </w:r>
    </w:p>
    <w:p w:rsidR="0007303D" w:rsidRDefault="000A1CFF" w:rsidP="000A1CFF">
      <w:pPr>
        <w:spacing w:line="36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w:t>
      </w:r>
      <w:r w:rsidR="00C43D6A">
        <w:rPr>
          <w:rFonts w:ascii="Times New Roman" w:hAnsi="Times New Roman" w:cs="Times New Roman"/>
          <w:bCs/>
          <w:sz w:val="24"/>
          <w:szCs w:val="24"/>
        </w:rPr>
        <w:t>21</w:t>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sz w:val="24"/>
          <w:szCs w:val="24"/>
        </w:rPr>
        <w:t>T</w:t>
      </w:r>
      <w:r w:rsidR="0007303D" w:rsidRPr="00795242">
        <w:rPr>
          <w:rFonts w:ascii="Times New Roman" w:hAnsi="Times New Roman" w:cs="Times New Roman"/>
          <w:sz w:val="24"/>
          <w:szCs w:val="24"/>
        </w:rPr>
        <w:t xml:space="preserve">he respondent submits that the </w:t>
      </w:r>
      <w:r w:rsidR="00D1677A">
        <w:rPr>
          <w:rFonts w:ascii="Times New Roman" w:hAnsi="Times New Roman" w:cs="Times New Roman"/>
          <w:sz w:val="24"/>
          <w:szCs w:val="24"/>
        </w:rPr>
        <w:t>a</w:t>
      </w:r>
      <w:r w:rsidR="0007303D" w:rsidRPr="00795242">
        <w:rPr>
          <w:rFonts w:ascii="Times New Roman" w:hAnsi="Times New Roman" w:cs="Times New Roman"/>
          <w:sz w:val="24"/>
          <w:szCs w:val="24"/>
        </w:rPr>
        <w:t xml:space="preserve">ppellant’s claim for </w:t>
      </w:r>
      <w:r w:rsidR="00A90A3D">
        <w:rPr>
          <w:rFonts w:ascii="Times New Roman" w:hAnsi="Times New Roman" w:cs="Times New Roman"/>
          <w:sz w:val="24"/>
          <w:szCs w:val="24"/>
        </w:rPr>
        <w:t>the</w:t>
      </w:r>
      <w:r w:rsidR="0007303D" w:rsidRPr="00795242">
        <w:rPr>
          <w:rFonts w:ascii="Times New Roman" w:hAnsi="Times New Roman" w:cs="Times New Roman"/>
          <w:sz w:val="24"/>
          <w:szCs w:val="24"/>
        </w:rPr>
        <w:t xml:space="preserve"> </w:t>
      </w:r>
      <w:r w:rsidR="003D4DD9">
        <w:rPr>
          <w:rFonts w:ascii="Times New Roman" w:hAnsi="Times New Roman" w:cs="Times New Roman"/>
          <w:sz w:val="24"/>
          <w:szCs w:val="24"/>
        </w:rPr>
        <w:t>VAT</w:t>
      </w:r>
      <w:r w:rsidR="0007303D" w:rsidRPr="00795242">
        <w:rPr>
          <w:rFonts w:ascii="Times New Roman" w:hAnsi="Times New Roman" w:cs="Times New Roman"/>
          <w:sz w:val="24"/>
          <w:szCs w:val="24"/>
        </w:rPr>
        <w:t xml:space="preserve"> input tax refund </w:t>
      </w:r>
      <w:r w:rsidR="0007303D" w:rsidRPr="00D1677A">
        <w:rPr>
          <w:rFonts w:ascii="Times New Roman" w:hAnsi="Times New Roman" w:cs="Times New Roman"/>
          <w:b/>
          <w:sz w:val="24"/>
          <w:szCs w:val="24"/>
        </w:rPr>
        <w:t>20B5</w:t>
      </w:r>
      <w:r w:rsidR="0007303D" w:rsidRPr="00795242">
        <w:rPr>
          <w:rFonts w:ascii="Times New Roman" w:hAnsi="Times New Roman" w:cs="Times New Roman"/>
          <w:sz w:val="24"/>
          <w:szCs w:val="24"/>
        </w:rPr>
        <w:t xml:space="preserve"> was correctly disallowed on the basis that the supporting invoices failed to comply with the mandatory requirements of </w:t>
      </w:r>
      <w:r w:rsidR="00F14DFD">
        <w:rPr>
          <w:rFonts w:ascii="Times New Roman" w:hAnsi="Times New Roman" w:cs="Times New Roman"/>
          <w:sz w:val="24"/>
          <w:szCs w:val="24"/>
        </w:rPr>
        <w:t>s</w:t>
      </w:r>
      <w:r w:rsidR="00D1677A">
        <w:rPr>
          <w:rFonts w:ascii="Times New Roman" w:hAnsi="Times New Roman" w:cs="Times New Roman"/>
          <w:sz w:val="24"/>
          <w:szCs w:val="24"/>
        </w:rPr>
        <w:t xml:space="preserve"> </w:t>
      </w:r>
      <w:r w:rsidR="0007303D" w:rsidRPr="00795242">
        <w:rPr>
          <w:rFonts w:ascii="Times New Roman" w:hAnsi="Times New Roman" w:cs="Times New Roman"/>
          <w:sz w:val="24"/>
          <w:szCs w:val="24"/>
        </w:rPr>
        <w:t>20</w:t>
      </w:r>
      <w:r w:rsidR="00D1677A">
        <w:rPr>
          <w:rFonts w:ascii="Times New Roman" w:hAnsi="Times New Roman" w:cs="Times New Roman"/>
          <w:sz w:val="24"/>
          <w:szCs w:val="24"/>
        </w:rPr>
        <w:t>[</w:t>
      </w:r>
      <w:r w:rsidR="0007303D" w:rsidRPr="00795242">
        <w:rPr>
          <w:rFonts w:ascii="Times New Roman" w:hAnsi="Times New Roman" w:cs="Times New Roman"/>
          <w:sz w:val="24"/>
          <w:szCs w:val="24"/>
        </w:rPr>
        <w:t>4</w:t>
      </w:r>
      <w:r w:rsidR="00D1677A">
        <w:rPr>
          <w:rFonts w:ascii="Times New Roman" w:hAnsi="Times New Roman" w:cs="Times New Roman"/>
          <w:sz w:val="24"/>
          <w:szCs w:val="24"/>
        </w:rPr>
        <w:t>]</w:t>
      </w:r>
      <w:r w:rsidR="0007303D" w:rsidRPr="00795242">
        <w:rPr>
          <w:rFonts w:ascii="Times New Roman" w:hAnsi="Times New Roman" w:cs="Times New Roman"/>
          <w:sz w:val="24"/>
          <w:szCs w:val="24"/>
        </w:rPr>
        <w:t xml:space="preserve"> of the Act.</w:t>
      </w:r>
    </w:p>
    <w:p w:rsidR="0007303D" w:rsidRDefault="00D1677A" w:rsidP="00F14DF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C43D6A">
        <w:rPr>
          <w:rFonts w:ascii="Times New Roman" w:hAnsi="Times New Roman" w:cs="Times New Roman"/>
          <w:sz w:val="24"/>
          <w:szCs w:val="24"/>
        </w:rPr>
        <w:t>22</w:t>
      </w:r>
      <w:r>
        <w:rPr>
          <w:rFonts w:ascii="Times New Roman" w:hAnsi="Times New Roman" w:cs="Times New Roman"/>
          <w:sz w:val="24"/>
          <w:szCs w:val="24"/>
        </w:rPr>
        <w:t>]</w:t>
      </w:r>
      <w:r>
        <w:rPr>
          <w:rFonts w:ascii="Times New Roman" w:hAnsi="Times New Roman" w:cs="Times New Roman"/>
          <w:sz w:val="24"/>
          <w:szCs w:val="24"/>
        </w:rPr>
        <w:tab/>
      </w:r>
      <w:r w:rsidR="00F14DFD">
        <w:rPr>
          <w:rFonts w:ascii="Times New Roman" w:hAnsi="Times New Roman" w:cs="Times New Roman"/>
          <w:sz w:val="24"/>
          <w:szCs w:val="24"/>
        </w:rPr>
        <w:t>The r</w:t>
      </w:r>
      <w:r w:rsidR="0007303D" w:rsidRPr="00795242">
        <w:rPr>
          <w:rFonts w:ascii="Times New Roman" w:hAnsi="Times New Roman" w:cs="Times New Roman"/>
          <w:sz w:val="24"/>
          <w:szCs w:val="24"/>
        </w:rPr>
        <w:t xml:space="preserve">espondent further submits that </w:t>
      </w:r>
      <w:r w:rsidR="00F14DFD">
        <w:rPr>
          <w:rFonts w:ascii="Times New Roman" w:hAnsi="Times New Roman" w:cs="Times New Roman"/>
          <w:sz w:val="24"/>
          <w:szCs w:val="24"/>
        </w:rPr>
        <w:t>s 15[</w:t>
      </w:r>
      <w:r w:rsidR="0007303D" w:rsidRPr="00795242">
        <w:rPr>
          <w:rFonts w:ascii="Times New Roman" w:hAnsi="Times New Roman" w:cs="Times New Roman"/>
          <w:sz w:val="24"/>
          <w:szCs w:val="24"/>
        </w:rPr>
        <w:t>2</w:t>
      </w:r>
      <w:r w:rsidR="00F14DFD">
        <w:rPr>
          <w:rFonts w:ascii="Times New Roman" w:hAnsi="Times New Roman" w:cs="Times New Roman"/>
          <w:sz w:val="24"/>
          <w:szCs w:val="24"/>
        </w:rPr>
        <w:t>][</w:t>
      </w:r>
      <w:r w:rsidR="0007303D" w:rsidRPr="00795242">
        <w:rPr>
          <w:rFonts w:ascii="Times New Roman" w:hAnsi="Times New Roman" w:cs="Times New Roman"/>
          <w:sz w:val="24"/>
          <w:szCs w:val="24"/>
        </w:rPr>
        <w:t>a</w:t>
      </w:r>
      <w:r w:rsidR="00F14DFD">
        <w:rPr>
          <w:rFonts w:ascii="Times New Roman" w:hAnsi="Times New Roman" w:cs="Times New Roman"/>
          <w:sz w:val="24"/>
          <w:szCs w:val="24"/>
        </w:rPr>
        <w:t>]</w:t>
      </w:r>
      <w:r w:rsidR="0007303D" w:rsidRPr="00795242">
        <w:rPr>
          <w:rFonts w:ascii="Times New Roman" w:hAnsi="Times New Roman" w:cs="Times New Roman"/>
          <w:sz w:val="24"/>
          <w:szCs w:val="24"/>
        </w:rPr>
        <w:t xml:space="preserve"> of the Act makes it a condition precedent for input tax deduction that a valid tax invoice, compliant with </w:t>
      </w:r>
      <w:r w:rsidR="00F14DFD">
        <w:rPr>
          <w:rFonts w:ascii="Times New Roman" w:hAnsi="Times New Roman" w:cs="Times New Roman"/>
          <w:sz w:val="24"/>
          <w:szCs w:val="24"/>
        </w:rPr>
        <w:t>s</w:t>
      </w:r>
      <w:r w:rsidR="0007303D" w:rsidRPr="00795242">
        <w:rPr>
          <w:rFonts w:ascii="Times New Roman" w:hAnsi="Times New Roman" w:cs="Times New Roman"/>
          <w:sz w:val="24"/>
          <w:szCs w:val="24"/>
        </w:rPr>
        <w:t xml:space="preserve"> 20, be held at the time the return is filed. Failure to meet these conditions invalidates the claim as a matter of law.</w:t>
      </w:r>
    </w:p>
    <w:p w:rsidR="0007303D" w:rsidRDefault="00F14DFD" w:rsidP="00F14DF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23</w:t>
      </w:r>
      <w:r>
        <w:rPr>
          <w:rFonts w:ascii="Times New Roman" w:hAnsi="Times New Roman" w:cs="Times New Roman"/>
          <w:sz w:val="24"/>
          <w:szCs w:val="24"/>
        </w:rPr>
        <w:t>]</w:t>
      </w:r>
      <w:r>
        <w:rPr>
          <w:rFonts w:ascii="Times New Roman" w:hAnsi="Times New Roman" w:cs="Times New Roman"/>
          <w:sz w:val="24"/>
          <w:szCs w:val="24"/>
        </w:rPr>
        <w:tab/>
        <w:t>T</w:t>
      </w:r>
      <w:r w:rsidR="0007303D" w:rsidRPr="00795242">
        <w:rPr>
          <w:rFonts w:ascii="Times New Roman" w:hAnsi="Times New Roman" w:cs="Times New Roman"/>
          <w:sz w:val="24"/>
          <w:szCs w:val="24"/>
        </w:rPr>
        <w:t xml:space="preserve">he </w:t>
      </w:r>
      <w:r>
        <w:rPr>
          <w:rFonts w:ascii="Times New Roman" w:hAnsi="Times New Roman" w:cs="Times New Roman"/>
          <w:sz w:val="24"/>
          <w:szCs w:val="24"/>
        </w:rPr>
        <w:t>r</w:t>
      </w:r>
      <w:r w:rsidR="0007303D" w:rsidRPr="00795242">
        <w:rPr>
          <w:rFonts w:ascii="Times New Roman" w:hAnsi="Times New Roman" w:cs="Times New Roman"/>
          <w:sz w:val="24"/>
          <w:szCs w:val="24"/>
        </w:rPr>
        <w:t xml:space="preserve">espondent contends that the invoices submitted </w:t>
      </w:r>
      <w:r>
        <w:rPr>
          <w:rFonts w:ascii="Times New Roman" w:hAnsi="Times New Roman" w:cs="Times New Roman"/>
          <w:sz w:val="24"/>
          <w:szCs w:val="24"/>
        </w:rPr>
        <w:t xml:space="preserve">by the appellant </w:t>
      </w:r>
      <w:r w:rsidR="0007303D" w:rsidRPr="00795242">
        <w:rPr>
          <w:rFonts w:ascii="Times New Roman" w:hAnsi="Times New Roman" w:cs="Times New Roman"/>
          <w:sz w:val="24"/>
          <w:szCs w:val="24"/>
        </w:rPr>
        <w:t xml:space="preserve">were non-compliant primarily because they did not include the </w:t>
      </w:r>
      <w:r>
        <w:rPr>
          <w:rFonts w:ascii="Times New Roman" w:hAnsi="Times New Roman" w:cs="Times New Roman"/>
          <w:sz w:val="24"/>
          <w:szCs w:val="24"/>
        </w:rPr>
        <w:t>a</w:t>
      </w:r>
      <w:r w:rsidR="0007303D" w:rsidRPr="00795242">
        <w:rPr>
          <w:rFonts w:ascii="Times New Roman" w:hAnsi="Times New Roman" w:cs="Times New Roman"/>
          <w:sz w:val="24"/>
          <w:szCs w:val="24"/>
        </w:rPr>
        <w:t xml:space="preserve">ppellant’s </w:t>
      </w:r>
      <w:r w:rsidR="003D4DD9">
        <w:rPr>
          <w:rFonts w:ascii="Times New Roman" w:hAnsi="Times New Roman" w:cs="Times New Roman"/>
          <w:sz w:val="24"/>
          <w:szCs w:val="24"/>
        </w:rPr>
        <w:t>VAT</w:t>
      </w:r>
      <w:r w:rsidR="0007303D" w:rsidRPr="00795242">
        <w:rPr>
          <w:rFonts w:ascii="Times New Roman" w:hAnsi="Times New Roman" w:cs="Times New Roman"/>
          <w:sz w:val="24"/>
          <w:szCs w:val="24"/>
        </w:rPr>
        <w:t xml:space="preserve"> registration number, in contravention of</w:t>
      </w:r>
      <w:r>
        <w:rPr>
          <w:rFonts w:ascii="Times New Roman" w:hAnsi="Times New Roman" w:cs="Times New Roman"/>
          <w:sz w:val="24"/>
          <w:szCs w:val="24"/>
        </w:rPr>
        <w:t xml:space="preserve"> s 20[4]</w:t>
      </w:r>
      <w:r>
        <w:rPr>
          <w:rFonts w:ascii="Times New Roman" w:hAnsi="Times New Roman" w:cs="Times New Roman"/>
          <w:b/>
          <w:bCs/>
          <w:sz w:val="24"/>
          <w:szCs w:val="24"/>
        </w:rPr>
        <w:t xml:space="preserve"> </w:t>
      </w:r>
      <w:r>
        <w:rPr>
          <w:rFonts w:ascii="Times New Roman" w:hAnsi="Times New Roman" w:cs="Times New Roman"/>
          <w:bCs/>
          <w:sz w:val="24"/>
          <w:szCs w:val="24"/>
        </w:rPr>
        <w:t>of the Act</w:t>
      </w:r>
      <w:r w:rsidR="0007303D" w:rsidRPr="00795242">
        <w:rPr>
          <w:rFonts w:ascii="Times New Roman" w:hAnsi="Times New Roman" w:cs="Times New Roman"/>
          <w:sz w:val="24"/>
          <w:szCs w:val="24"/>
        </w:rPr>
        <w:t>.</w:t>
      </w:r>
    </w:p>
    <w:p w:rsidR="003D4DD9" w:rsidRDefault="003D4DD9" w:rsidP="002D456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24</w:t>
      </w:r>
      <w:r>
        <w:rPr>
          <w:rFonts w:ascii="Times New Roman" w:hAnsi="Times New Roman" w:cs="Times New Roman"/>
          <w:sz w:val="24"/>
          <w:szCs w:val="24"/>
        </w:rPr>
        <w:t>]</w:t>
      </w:r>
      <w:r>
        <w:rPr>
          <w:rFonts w:ascii="Times New Roman" w:hAnsi="Times New Roman" w:cs="Times New Roman"/>
          <w:sz w:val="24"/>
          <w:szCs w:val="24"/>
        </w:rPr>
        <w:tab/>
        <w:t>T</w:t>
      </w:r>
      <w:r w:rsidRPr="00795242">
        <w:rPr>
          <w:rFonts w:ascii="Times New Roman" w:hAnsi="Times New Roman" w:cs="Times New Roman"/>
          <w:sz w:val="24"/>
          <w:szCs w:val="24"/>
        </w:rPr>
        <w:t xml:space="preserve">he </w:t>
      </w:r>
      <w:r>
        <w:rPr>
          <w:rFonts w:ascii="Times New Roman" w:hAnsi="Times New Roman" w:cs="Times New Roman"/>
          <w:sz w:val="24"/>
          <w:szCs w:val="24"/>
        </w:rPr>
        <w:t>r</w:t>
      </w:r>
      <w:r w:rsidRPr="00795242">
        <w:rPr>
          <w:rFonts w:ascii="Times New Roman" w:hAnsi="Times New Roman" w:cs="Times New Roman"/>
          <w:sz w:val="24"/>
          <w:szCs w:val="24"/>
        </w:rPr>
        <w:t xml:space="preserve">espondent rejects the </w:t>
      </w:r>
      <w:r>
        <w:rPr>
          <w:rFonts w:ascii="Times New Roman" w:hAnsi="Times New Roman" w:cs="Times New Roman"/>
          <w:sz w:val="24"/>
          <w:szCs w:val="24"/>
        </w:rPr>
        <w:t>a</w:t>
      </w:r>
      <w:r w:rsidRPr="00795242">
        <w:rPr>
          <w:rFonts w:ascii="Times New Roman" w:hAnsi="Times New Roman" w:cs="Times New Roman"/>
          <w:sz w:val="24"/>
          <w:szCs w:val="24"/>
        </w:rPr>
        <w:t xml:space="preserve">ppellant’s </w:t>
      </w:r>
      <w:r>
        <w:rPr>
          <w:rFonts w:ascii="Times New Roman" w:hAnsi="Times New Roman" w:cs="Times New Roman"/>
          <w:sz w:val="24"/>
          <w:szCs w:val="24"/>
        </w:rPr>
        <w:t xml:space="preserve">argument that the respondent could not turn down further claims after having approved previous ones. It argues </w:t>
      </w:r>
      <w:r w:rsidRPr="00795242">
        <w:rPr>
          <w:rFonts w:ascii="Times New Roman" w:hAnsi="Times New Roman" w:cs="Times New Roman"/>
          <w:sz w:val="24"/>
          <w:szCs w:val="24"/>
        </w:rPr>
        <w:t xml:space="preserve">that past administrative errors do not create legal entitlements. </w:t>
      </w:r>
    </w:p>
    <w:p w:rsidR="0007303D" w:rsidRDefault="002D4567" w:rsidP="002D456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25</w:t>
      </w:r>
      <w:r>
        <w:rPr>
          <w:rFonts w:ascii="Times New Roman" w:hAnsi="Times New Roman" w:cs="Times New Roman"/>
          <w:sz w:val="24"/>
          <w:szCs w:val="24"/>
        </w:rPr>
        <w:t>]</w:t>
      </w:r>
      <w:r>
        <w:rPr>
          <w:rFonts w:ascii="Times New Roman" w:hAnsi="Times New Roman" w:cs="Times New Roman"/>
          <w:sz w:val="24"/>
          <w:szCs w:val="24"/>
        </w:rPr>
        <w:tab/>
        <w:t>On s 23[3]</w:t>
      </w:r>
      <w:r w:rsidR="002E748A">
        <w:rPr>
          <w:rFonts w:ascii="Times New Roman" w:hAnsi="Times New Roman" w:cs="Times New Roman"/>
          <w:sz w:val="24"/>
          <w:szCs w:val="24"/>
        </w:rPr>
        <w:t xml:space="preserve"> of the Act</w:t>
      </w:r>
      <w:r w:rsidR="0007303D" w:rsidRPr="00795242">
        <w:rPr>
          <w:rFonts w:ascii="Times New Roman" w:hAnsi="Times New Roman" w:cs="Times New Roman"/>
          <w:sz w:val="24"/>
          <w:szCs w:val="24"/>
        </w:rPr>
        <w:t xml:space="preserve">, the </w:t>
      </w:r>
      <w:r>
        <w:rPr>
          <w:rFonts w:ascii="Times New Roman" w:hAnsi="Times New Roman" w:cs="Times New Roman"/>
          <w:sz w:val="24"/>
          <w:szCs w:val="24"/>
        </w:rPr>
        <w:t>r</w:t>
      </w:r>
      <w:r w:rsidR="0007303D" w:rsidRPr="00795242">
        <w:rPr>
          <w:rFonts w:ascii="Times New Roman" w:hAnsi="Times New Roman" w:cs="Times New Roman"/>
          <w:sz w:val="24"/>
          <w:szCs w:val="24"/>
        </w:rPr>
        <w:t xml:space="preserve">espondent argues that while </w:t>
      </w:r>
      <w:r w:rsidR="003D4DD9">
        <w:rPr>
          <w:rFonts w:ascii="Times New Roman" w:hAnsi="Times New Roman" w:cs="Times New Roman"/>
          <w:sz w:val="24"/>
          <w:szCs w:val="24"/>
        </w:rPr>
        <w:t xml:space="preserve">the provision deems </w:t>
      </w:r>
      <w:r w:rsidR="0007303D" w:rsidRPr="00795242">
        <w:rPr>
          <w:rFonts w:ascii="Times New Roman" w:hAnsi="Times New Roman" w:cs="Times New Roman"/>
          <w:sz w:val="24"/>
          <w:szCs w:val="24"/>
        </w:rPr>
        <w:t xml:space="preserve">certain entities </w:t>
      </w:r>
      <w:r w:rsidR="003D4DD9">
        <w:rPr>
          <w:rFonts w:ascii="Times New Roman" w:hAnsi="Times New Roman" w:cs="Times New Roman"/>
          <w:sz w:val="24"/>
          <w:szCs w:val="24"/>
        </w:rPr>
        <w:t xml:space="preserve">retrospectively </w:t>
      </w:r>
      <w:r w:rsidR="0007303D" w:rsidRPr="00795242">
        <w:rPr>
          <w:rFonts w:ascii="Times New Roman" w:hAnsi="Times New Roman" w:cs="Times New Roman"/>
          <w:sz w:val="24"/>
          <w:szCs w:val="24"/>
        </w:rPr>
        <w:t xml:space="preserve">registered for </w:t>
      </w:r>
      <w:r w:rsidR="003D4DD9">
        <w:rPr>
          <w:rFonts w:ascii="Times New Roman" w:hAnsi="Times New Roman" w:cs="Times New Roman"/>
          <w:sz w:val="24"/>
          <w:szCs w:val="24"/>
        </w:rPr>
        <w:t>VAT</w:t>
      </w:r>
      <w:r w:rsidR="0007303D" w:rsidRPr="00795242">
        <w:rPr>
          <w:rFonts w:ascii="Times New Roman" w:hAnsi="Times New Roman" w:cs="Times New Roman"/>
          <w:sz w:val="24"/>
          <w:szCs w:val="24"/>
        </w:rPr>
        <w:t xml:space="preserve">, </w:t>
      </w:r>
      <w:r>
        <w:rPr>
          <w:rFonts w:ascii="Times New Roman" w:hAnsi="Times New Roman" w:cs="Times New Roman"/>
          <w:sz w:val="24"/>
          <w:szCs w:val="24"/>
        </w:rPr>
        <w:t xml:space="preserve">nevertheless, </w:t>
      </w:r>
      <w:r w:rsidR="0007303D" w:rsidRPr="002D4567">
        <w:rPr>
          <w:rFonts w:ascii="Times New Roman" w:hAnsi="Times New Roman" w:cs="Times New Roman"/>
          <w:sz w:val="24"/>
          <w:szCs w:val="24"/>
        </w:rPr>
        <w:t xml:space="preserve">it </w:t>
      </w:r>
      <w:r w:rsidR="0007303D" w:rsidRPr="002D4567">
        <w:rPr>
          <w:rFonts w:ascii="Times New Roman" w:hAnsi="Times New Roman" w:cs="Times New Roman"/>
          <w:bCs/>
          <w:sz w:val="24"/>
          <w:szCs w:val="24"/>
        </w:rPr>
        <w:t>does not waive or modify</w:t>
      </w:r>
      <w:r w:rsidR="0007303D" w:rsidRPr="00795242">
        <w:rPr>
          <w:rFonts w:ascii="Times New Roman" w:hAnsi="Times New Roman" w:cs="Times New Roman"/>
          <w:b/>
          <w:bCs/>
          <w:sz w:val="24"/>
          <w:szCs w:val="24"/>
        </w:rPr>
        <w:t xml:space="preserve"> </w:t>
      </w:r>
      <w:r w:rsidR="0007303D" w:rsidRPr="00795242">
        <w:rPr>
          <w:rFonts w:ascii="Times New Roman" w:hAnsi="Times New Roman" w:cs="Times New Roman"/>
          <w:sz w:val="24"/>
          <w:szCs w:val="24"/>
        </w:rPr>
        <w:t xml:space="preserve">the requirement to produce valid tax invoices under </w:t>
      </w:r>
      <w:r>
        <w:rPr>
          <w:rFonts w:ascii="Times New Roman" w:hAnsi="Times New Roman" w:cs="Times New Roman"/>
          <w:sz w:val="24"/>
          <w:szCs w:val="24"/>
        </w:rPr>
        <w:t>s 20[</w:t>
      </w:r>
      <w:r w:rsidR="0007303D" w:rsidRPr="00795242">
        <w:rPr>
          <w:rFonts w:ascii="Times New Roman" w:hAnsi="Times New Roman" w:cs="Times New Roman"/>
          <w:sz w:val="24"/>
          <w:szCs w:val="24"/>
        </w:rPr>
        <w:t>4</w:t>
      </w:r>
      <w:r>
        <w:rPr>
          <w:rFonts w:ascii="Times New Roman" w:hAnsi="Times New Roman" w:cs="Times New Roman"/>
          <w:sz w:val="24"/>
          <w:szCs w:val="24"/>
        </w:rPr>
        <w:t>]</w:t>
      </w:r>
      <w:r w:rsidR="0007303D" w:rsidRPr="00795242">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0007303D" w:rsidRPr="00795242">
        <w:rPr>
          <w:rFonts w:ascii="Times New Roman" w:hAnsi="Times New Roman" w:cs="Times New Roman"/>
          <w:sz w:val="24"/>
          <w:szCs w:val="24"/>
        </w:rPr>
        <w:t>Act.</w:t>
      </w:r>
    </w:p>
    <w:p w:rsidR="0007303D" w:rsidRDefault="003D4DD9" w:rsidP="002F296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2F2965">
        <w:rPr>
          <w:rFonts w:ascii="Times New Roman" w:hAnsi="Times New Roman" w:cs="Times New Roman"/>
          <w:sz w:val="24"/>
          <w:szCs w:val="24"/>
        </w:rPr>
        <w:t>[</w:t>
      </w:r>
      <w:r w:rsidR="00C43D6A">
        <w:rPr>
          <w:rFonts w:ascii="Times New Roman" w:hAnsi="Times New Roman" w:cs="Times New Roman"/>
          <w:sz w:val="24"/>
          <w:szCs w:val="24"/>
        </w:rPr>
        <w:t>26</w:t>
      </w:r>
      <w:r w:rsidR="002F2965">
        <w:rPr>
          <w:rFonts w:ascii="Times New Roman" w:hAnsi="Times New Roman" w:cs="Times New Roman"/>
          <w:sz w:val="24"/>
          <w:szCs w:val="24"/>
        </w:rPr>
        <w:t>]</w:t>
      </w:r>
      <w:r w:rsidR="002F2965">
        <w:rPr>
          <w:rFonts w:ascii="Times New Roman" w:hAnsi="Times New Roman" w:cs="Times New Roman"/>
          <w:sz w:val="24"/>
          <w:szCs w:val="24"/>
        </w:rPr>
        <w:tab/>
        <w:t>I</w:t>
      </w:r>
      <w:r w:rsidR="0007303D" w:rsidRPr="00795242">
        <w:rPr>
          <w:rFonts w:ascii="Times New Roman" w:hAnsi="Times New Roman" w:cs="Times New Roman"/>
          <w:sz w:val="24"/>
          <w:szCs w:val="24"/>
        </w:rPr>
        <w:t xml:space="preserve">n relation to the discretionary powers under </w:t>
      </w:r>
      <w:r w:rsidR="002F2965">
        <w:rPr>
          <w:rFonts w:ascii="Times New Roman" w:hAnsi="Times New Roman" w:cs="Times New Roman"/>
          <w:sz w:val="24"/>
          <w:szCs w:val="24"/>
        </w:rPr>
        <w:t xml:space="preserve">s </w:t>
      </w:r>
      <w:r w:rsidR="0007303D" w:rsidRPr="00795242">
        <w:rPr>
          <w:rFonts w:ascii="Times New Roman" w:hAnsi="Times New Roman" w:cs="Times New Roman"/>
          <w:sz w:val="24"/>
          <w:szCs w:val="24"/>
        </w:rPr>
        <w:t>20</w:t>
      </w:r>
      <w:r w:rsidR="002F2965">
        <w:rPr>
          <w:rFonts w:ascii="Times New Roman" w:hAnsi="Times New Roman" w:cs="Times New Roman"/>
          <w:sz w:val="24"/>
          <w:szCs w:val="24"/>
        </w:rPr>
        <w:t>[</w:t>
      </w:r>
      <w:r w:rsidR="0007303D" w:rsidRPr="00795242">
        <w:rPr>
          <w:rFonts w:ascii="Times New Roman" w:hAnsi="Times New Roman" w:cs="Times New Roman"/>
          <w:sz w:val="24"/>
          <w:szCs w:val="24"/>
        </w:rPr>
        <w:t>4</w:t>
      </w:r>
      <w:r w:rsidR="002F2965">
        <w:rPr>
          <w:rFonts w:ascii="Times New Roman" w:hAnsi="Times New Roman" w:cs="Times New Roman"/>
          <w:sz w:val="24"/>
          <w:szCs w:val="24"/>
        </w:rPr>
        <w:t>] of the Act</w:t>
      </w:r>
      <w:r w:rsidR="0007303D" w:rsidRPr="00795242">
        <w:rPr>
          <w:rFonts w:ascii="Times New Roman" w:hAnsi="Times New Roman" w:cs="Times New Roman"/>
          <w:sz w:val="24"/>
          <w:szCs w:val="24"/>
        </w:rPr>
        <w:t xml:space="preserve">, the </w:t>
      </w:r>
      <w:r w:rsidR="002F2965">
        <w:rPr>
          <w:rFonts w:ascii="Times New Roman" w:hAnsi="Times New Roman" w:cs="Times New Roman"/>
          <w:sz w:val="24"/>
          <w:szCs w:val="24"/>
        </w:rPr>
        <w:t>r</w:t>
      </w:r>
      <w:r w:rsidR="0007303D" w:rsidRPr="00795242">
        <w:rPr>
          <w:rFonts w:ascii="Times New Roman" w:hAnsi="Times New Roman" w:cs="Times New Roman"/>
          <w:sz w:val="24"/>
          <w:szCs w:val="24"/>
        </w:rPr>
        <w:t xml:space="preserve">espondent submits that </w:t>
      </w:r>
      <w:r w:rsidR="002E748A">
        <w:rPr>
          <w:rFonts w:ascii="Times New Roman" w:hAnsi="Times New Roman" w:cs="Times New Roman"/>
          <w:sz w:val="24"/>
          <w:szCs w:val="24"/>
        </w:rPr>
        <w:t>it</w:t>
      </w:r>
      <w:r w:rsidR="002F2965">
        <w:rPr>
          <w:rFonts w:ascii="Times New Roman" w:hAnsi="Times New Roman" w:cs="Times New Roman"/>
          <w:sz w:val="24"/>
          <w:szCs w:val="24"/>
        </w:rPr>
        <w:t xml:space="preserve">s </w:t>
      </w:r>
      <w:r w:rsidR="0007303D" w:rsidRPr="00795242">
        <w:rPr>
          <w:rFonts w:ascii="Times New Roman" w:hAnsi="Times New Roman" w:cs="Times New Roman"/>
          <w:sz w:val="24"/>
          <w:szCs w:val="24"/>
        </w:rPr>
        <w:t xml:space="preserve">Commissioner </w:t>
      </w:r>
      <w:r w:rsidR="002F2965">
        <w:rPr>
          <w:rFonts w:ascii="Times New Roman" w:hAnsi="Times New Roman" w:cs="Times New Roman"/>
          <w:sz w:val="24"/>
          <w:szCs w:val="24"/>
        </w:rPr>
        <w:t>wa</w:t>
      </w:r>
      <w:r w:rsidR="0007303D" w:rsidRPr="00795242">
        <w:rPr>
          <w:rFonts w:ascii="Times New Roman" w:hAnsi="Times New Roman" w:cs="Times New Roman"/>
          <w:sz w:val="24"/>
          <w:szCs w:val="24"/>
        </w:rPr>
        <w:t xml:space="preserve">s not obligated to exercise that discretion in favour of the </w:t>
      </w:r>
      <w:r w:rsidR="002F2965">
        <w:rPr>
          <w:rFonts w:ascii="Times New Roman" w:hAnsi="Times New Roman" w:cs="Times New Roman"/>
          <w:sz w:val="24"/>
          <w:szCs w:val="24"/>
        </w:rPr>
        <w:t>a</w:t>
      </w:r>
      <w:r w:rsidR="0007303D" w:rsidRPr="00795242">
        <w:rPr>
          <w:rFonts w:ascii="Times New Roman" w:hAnsi="Times New Roman" w:cs="Times New Roman"/>
          <w:sz w:val="24"/>
          <w:szCs w:val="24"/>
        </w:rPr>
        <w:t>ppellant</w:t>
      </w:r>
      <w:r w:rsidR="002F2965">
        <w:rPr>
          <w:rFonts w:ascii="Times New Roman" w:hAnsi="Times New Roman" w:cs="Times New Roman"/>
          <w:sz w:val="24"/>
          <w:szCs w:val="24"/>
        </w:rPr>
        <w:t xml:space="preserve"> and that</w:t>
      </w:r>
      <w:r>
        <w:rPr>
          <w:rFonts w:ascii="Times New Roman" w:hAnsi="Times New Roman" w:cs="Times New Roman"/>
          <w:sz w:val="24"/>
          <w:szCs w:val="24"/>
        </w:rPr>
        <w:t xml:space="preserve"> courts cannot compel the exercise of discretion unless that is mandatory</w:t>
      </w:r>
    </w:p>
    <w:p w:rsidR="0007303D" w:rsidRDefault="002F2965" w:rsidP="002F296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27</w:t>
      </w:r>
      <w:r>
        <w:rPr>
          <w:rFonts w:ascii="Times New Roman" w:hAnsi="Times New Roman" w:cs="Times New Roman"/>
          <w:sz w:val="24"/>
          <w:szCs w:val="24"/>
        </w:rPr>
        <w:t>]</w:t>
      </w:r>
      <w:r>
        <w:rPr>
          <w:rFonts w:ascii="Times New Roman" w:hAnsi="Times New Roman" w:cs="Times New Roman"/>
          <w:sz w:val="24"/>
          <w:szCs w:val="24"/>
        </w:rPr>
        <w:tab/>
        <w:t xml:space="preserve">In regards to some two invoices by one supplier, </w:t>
      </w:r>
      <w:r w:rsidR="0007303D" w:rsidRPr="00795242">
        <w:rPr>
          <w:rFonts w:ascii="Times New Roman" w:hAnsi="Times New Roman" w:cs="Times New Roman"/>
          <w:sz w:val="24"/>
          <w:szCs w:val="24"/>
        </w:rPr>
        <w:t>Stewart Scott Zimbabwe</w:t>
      </w:r>
      <w:r>
        <w:rPr>
          <w:rFonts w:ascii="Times New Roman" w:hAnsi="Times New Roman" w:cs="Times New Roman"/>
          <w:sz w:val="24"/>
          <w:szCs w:val="24"/>
        </w:rPr>
        <w:t>, the respondent contends that they</w:t>
      </w:r>
      <w:r w:rsidR="0007303D" w:rsidRPr="00795242">
        <w:rPr>
          <w:rFonts w:ascii="Times New Roman" w:hAnsi="Times New Roman" w:cs="Times New Roman"/>
          <w:sz w:val="24"/>
          <w:szCs w:val="24"/>
        </w:rPr>
        <w:t xml:space="preserve"> were </w:t>
      </w:r>
      <w:r w:rsidR="0007303D" w:rsidRPr="002F2965">
        <w:rPr>
          <w:rFonts w:ascii="Times New Roman" w:hAnsi="Times New Roman" w:cs="Times New Roman"/>
          <w:bCs/>
          <w:sz w:val="24"/>
          <w:szCs w:val="24"/>
        </w:rPr>
        <w:t>duplicated</w:t>
      </w:r>
      <w:r>
        <w:rPr>
          <w:rFonts w:ascii="Times New Roman" w:hAnsi="Times New Roman" w:cs="Times New Roman"/>
          <w:sz w:val="24"/>
          <w:szCs w:val="24"/>
        </w:rPr>
        <w:t xml:space="preserve"> as they allegedly bore the </w:t>
      </w:r>
      <w:r w:rsidR="0007303D" w:rsidRPr="00795242">
        <w:rPr>
          <w:rFonts w:ascii="Times New Roman" w:hAnsi="Times New Roman" w:cs="Times New Roman"/>
          <w:sz w:val="24"/>
          <w:szCs w:val="24"/>
        </w:rPr>
        <w:t>same number and value, in breach of</w:t>
      </w:r>
      <w:r>
        <w:rPr>
          <w:rFonts w:ascii="Times New Roman" w:hAnsi="Times New Roman" w:cs="Times New Roman"/>
          <w:sz w:val="24"/>
          <w:szCs w:val="24"/>
        </w:rPr>
        <w:t xml:space="preserve"> s 20[1][a] of the Act. This provision </w:t>
      </w:r>
      <w:r w:rsidR="0007303D" w:rsidRPr="00795242">
        <w:rPr>
          <w:rFonts w:ascii="Times New Roman" w:hAnsi="Times New Roman" w:cs="Times New Roman"/>
          <w:sz w:val="24"/>
          <w:szCs w:val="24"/>
        </w:rPr>
        <w:t xml:space="preserve">prohibits </w:t>
      </w:r>
      <w:r>
        <w:rPr>
          <w:rFonts w:ascii="Times New Roman" w:hAnsi="Times New Roman" w:cs="Times New Roman"/>
          <w:sz w:val="24"/>
          <w:szCs w:val="24"/>
        </w:rPr>
        <w:t xml:space="preserve">the </w:t>
      </w:r>
      <w:r w:rsidR="0007303D" w:rsidRPr="00795242">
        <w:rPr>
          <w:rFonts w:ascii="Times New Roman" w:hAnsi="Times New Roman" w:cs="Times New Roman"/>
          <w:sz w:val="24"/>
          <w:szCs w:val="24"/>
        </w:rPr>
        <w:t xml:space="preserve">issuing </w:t>
      </w:r>
      <w:r>
        <w:rPr>
          <w:rFonts w:ascii="Times New Roman" w:hAnsi="Times New Roman" w:cs="Times New Roman"/>
          <w:sz w:val="24"/>
          <w:szCs w:val="24"/>
        </w:rPr>
        <w:t xml:space="preserve">of </w:t>
      </w:r>
      <w:r w:rsidR="0007303D" w:rsidRPr="00795242">
        <w:rPr>
          <w:rFonts w:ascii="Times New Roman" w:hAnsi="Times New Roman" w:cs="Times New Roman"/>
          <w:sz w:val="24"/>
          <w:szCs w:val="24"/>
        </w:rPr>
        <w:t xml:space="preserve">more than one tax invoice per </w:t>
      </w:r>
      <w:r>
        <w:rPr>
          <w:rFonts w:ascii="Times New Roman" w:hAnsi="Times New Roman" w:cs="Times New Roman"/>
          <w:sz w:val="24"/>
          <w:szCs w:val="24"/>
        </w:rPr>
        <w:t xml:space="preserve">any </w:t>
      </w:r>
      <w:r w:rsidR="0007303D" w:rsidRPr="00795242">
        <w:rPr>
          <w:rFonts w:ascii="Times New Roman" w:hAnsi="Times New Roman" w:cs="Times New Roman"/>
          <w:sz w:val="24"/>
          <w:szCs w:val="24"/>
        </w:rPr>
        <w:t>taxable supply.</w:t>
      </w:r>
    </w:p>
    <w:p w:rsidR="0007303D" w:rsidRPr="002F2965" w:rsidRDefault="002F2965" w:rsidP="002F2965">
      <w:pPr>
        <w:spacing w:line="360" w:lineRule="auto"/>
        <w:ind w:left="720" w:hanging="720"/>
        <w:jc w:val="both"/>
        <w:rPr>
          <w:rFonts w:ascii="Times New Roman" w:hAnsi="Times New Roman" w:cs="Times New Roman"/>
          <w:b/>
          <w:sz w:val="24"/>
          <w:szCs w:val="24"/>
        </w:rPr>
      </w:pPr>
      <w:r w:rsidRPr="002F2965">
        <w:rPr>
          <w:rFonts w:ascii="Times New Roman" w:hAnsi="Times New Roman" w:cs="Times New Roman"/>
          <w:b/>
          <w:sz w:val="24"/>
          <w:szCs w:val="24"/>
        </w:rPr>
        <w:t>e</w:t>
      </w:r>
      <w:r w:rsidRPr="002F2965">
        <w:rPr>
          <w:rFonts w:ascii="Times New Roman" w:hAnsi="Times New Roman" w:cs="Times New Roman"/>
          <w:b/>
          <w:sz w:val="24"/>
          <w:szCs w:val="24"/>
        </w:rPr>
        <w:tab/>
        <w:t>Legal analysis</w:t>
      </w:r>
    </w:p>
    <w:p w:rsidR="006B1DBC" w:rsidRDefault="006B1DBC" w:rsidP="006B1DB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28</w:t>
      </w:r>
      <w:r>
        <w:rPr>
          <w:rFonts w:ascii="Times New Roman" w:hAnsi="Times New Roman" w:cs="Times New Roman"/>
          <w:sz w:val="24"/>
          <w:szCs w:val="24"/>
        </w:rPr>
        <w:t>]</w:t>
      </w:r>
      <w:r>
        <w:rPr>
          <w:rFonts w:ascii="Times New Roman" w:hAnsi="Times New Roman" w:cs="Times New Roman"/>
          <w:sz w:val="24"/>
          <w:szCs w:val="24"/>
        </w:rPr>
        <w:tab/>
        <w:t xml:space="preserve">According to s 6 of the Act, as read with s 2, and in paraphrase, </w:t>
      </w:r>
      <w:r w:rsidR="00DA49AA">
        <w:rPr>
          <w:rFonts w:ascii="Times New Roman" w:hAnsi="Times New Roman" w:cs="Times New Roman"/>
          <w:sz w:val="24"/>
          <w:szCs w:val="24"/>
        </w:rPr>
        <w:t xml:space="preserve">there is a </w:t>
      </w:r>
      <w:r>
        <w:rPr>
          <w:rFonts w:ascii="Times New Roman" w:hAnsi="Times New Roman" w:cs="Times New Roman"/>
          <w:sz w:val="24"/>
          <w:szCs w:val="24"/>
        </w:rPr>
        <w:t xml:space="preserve">tax that is chargeable on the value of, among other things, the supply by registered operators of goods or services in the course or furtherance of their trade. </w:t>
      </w:r>
      <w:r w:rsidR="00DA49AA">
        <w:rPr>
          <w:rFonts w:ascii="Times New Roman" w:hAnsi="Times New Roman" w:cs="Times New Roman"/>
          <w:sz w:val="24"/>
          <w:szCs w:val="24"/>
        </w:rPr>
        <w:t>T</w:t>
      </w:r>
      <w:r>
        <w:rPr>
          <w:rFonts w:ascii="Times New Roman" w:hAnsi="Times New Roman" w:cs="Times New Roman"/>
          <w:sz w:val="24"/>
          <w:szCs w:val="24"/>
        </w:rPr>
        <w:t>his tax is called ‘output tax’. On the other hand, ‘input tax’, in relation to a registered operator, is a tax charged by a supplier of goods or services to the registered operator, or the tax charged by the registered operator on the importation of goods or services.</w:t>
      </w:r>
    </w:p>
    <w:p w:rsidR="004B3ACC" w:rsidRDefault="00DA49AA" w:rsidP="004B3A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29</w:t>
      </w:r>
      <w:r>
        <w:rPr>
          <w:rFonts w:ascii="Times New Roman" w:hAnsi="Times New Roman" w:cs="Times New Roman"/>
          <w:sz w:val="24"/>
          <w:szCs w:val="24"/>
        </w:rPr>
        <w:t>]</w:t>
      </w:r>
      <w:r>
        <w:rPr>
          <w:rFonts w:ascii="Times New Roman" w:hAnsi="Times New Roman" w:cs="Times New Roman"/>
          <w:sz w:val="24"/>
          <w:szCs w:val="24"/>
        </w:rPr>
        <w:tab/>
        <w:t xml:space="preserve">Thus, input tax is charged and passed on by the supplier to the registered operator. Output </w:t>
      </w:r>
      <w:r w:rsidR="002E748A">
        <w:rPr>
          <w:rFonts w:ascii="Times New Roman" w:hAnsi="Times New Roman" w:cs="Times New Roman"/>
          <w:sz w:val="24"/>
          <w:szCs w:val="24"/>
        </w:rPr>
        <w:t xml:space="preserve">tax </w:t>
      </w:r>
      <w:r>
        <w:rPr>
          <w:rFonts w:ascii="Times New Roman" w:hAnsi="Times New Roman" w:cs="Times New Roman"/>
          <w:sz w:val="24"/>
          <w:szCs w:val="24"/>
        </w:rPr>
        <w:t xml:space="preserve">is charged and passed on by the registered operator to the ultimate </w:t>
      </w:r>
      <w:r>
        <w:rPr>
          <w:rFonts w:ascii="Times New Roman" w:hAnsi="Times New Roman" w:cs="Times New Roman"/>
          <w:sz w:val="24"/>
          <w:szCs w:val="24"/>
        </w:rPr>
        <w:lastRenderedPageBreak/>
        <w:t>consumer of the goods or services. In terms of s 15 of the Act, VAT is the balance of the input tax deducted by the registered operator from the output tax which the registered operator then ultimately remits to the respondent as tax.</w:t>
      </w:r>
    </w:p>
    <w:p w:rsidR="0007303D" w:rsidRDefault="004E67A8" w:rsidP="004B3A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ab/>
        <w:t>T</w:t>
      </w:r>
      <w:r w:rsidR="0007303D" w:rsidRPr="00795242">
        <w:rPr>
          <w:rFonts w:ascii="Times New Roman" w:hAnsi="Times New Roman" w:cs="Times New Roman"/>
          <w:sz w:val="24"/>
          <w:szCs w:val="24"/>
        </w:rPr>
        <w:t xml:space="preserve">he right to deduct input tax </w:t>
      </w:r>
      <w:r>
        <w:rPr>
          <w:rFonts w:ascii="Times New Roman" w:hAnsi="Times New Roman" w:cs="Times New Roman"/>
          <w:sz w:val="24"/>
          <w:szCs w:val="24"/>
        </w:rPr>
        <w:t xml:space="preserve">from output tax </w:t>
      </w:r>
      <w:r w:rsidR="0007303D" w:rsidRPr="00795242">
        <w:rPr>
          <w:rFonts w:ascii="Times New Roman" w:hAnsi="Times New Roman" w:cs="Times New Roman"/>
          <w:sz w:val="24"/>
          <w:szCs w:val="24"/>
        </w:rPr>
        <w:t>is a statutory entitlement</w:t>
      </w:r>
      <w:r>
        <w:rPr>
          <w:rFonts w:ascii="Times New Roman" w:hAnsi="Times New Roman" w:cs="Times New Roman"/>
          <w:sz w:val="24"/>
          <w:szCs w:val="24"/>
        </w:rPr>
        <w:t xml:space="preserve">. It is </w:t>
      </w:r>
      <w:r w:rsidR="0007303D" w:rsidRPr="00795242">
        <w:rPr>
          <w:rFonts w:ascii="Times New Roman" w:hAnsi="Times New Roman" w:cs="Times New Roman"/>
          <w:sz w:val="24"/>
          <w:szCs w:val="24"/>
        </w:rPr>
        <w:t xml:space="preserve">not an automatic </w:t>
      </w:r>
      <w:r>
        <w:rPr>
          <w:rFonts w:ascii="Times New Roman" w:hAnsi="Times New Roman" w:cs="Times New Roman"/>
          <w:sz w:val="24"/>
          <w:szCs w:val="24"/>
        </w:rPr>
        <w:t xml:space="preserve">right merely </w:t>
      </w:r>
      <w:r w:rsidR="0007303D" w:rsidRPr="00795242">
        <w:rPr>
          <w:rFonts w:ascii="Times New Roman" w:hAnsi="Times New Roman" w:cs="Times New Roman"/>
          <w:sz w:val="24"/>
          <w:szCs w:val="24"/>
        </w:rPr>
        <w:t>by virtue of registration</w:t>
      </w:r>
      <w:r>
        <w:rPr>
          <w:rFonts w:ascii="Times New Roman" w:hAnsi="Times New Roman" w:cs="Times New Roman"/>
          <w:sz w:val="24"/>
          <w:szCs w:val="24"/>
        </w:rPr>
        <w:t xml:space="preserve">. The entitlement </w:t>
      </w:r>
      <w:r w:rsidR="0007303D" w:rsidRPr="00795242">
        <w:rPr>
          <w:rFonts w:ascii="Times New Roman" w:hAnsi="Times New Roman" w:cs="Times New Roman"/>
          <w:sz w:val="24"/>
          <w:szCs w:val="24"/>
        </w:rPr>
        <w:t xml:space="preserve">arises only where the conditions prescribed by the </w:t>
      </w:r>
      <w:r>
        <w:rPr>
          <w:rFonts w:ascii="Times New Roman" w:hAnsi="Times New Roman" w:cs="Times New Roman"/>
          <w:sz w:val="24"/>
          <w:szCs w:val="24"/>
        </w:rPr>
        <w:t xml:space="preserve">Act, particularly s 15[2] thereof, </w:t>
      </w:r>
      <w:r w:rsidR="0007303D" w:rsidRPr="00795242">
        <w:rPr>
          <w:rFonts w:ascii="Times New Roman" w:hAnsi="Times New Roman" w:cs="Times New Roman"/>
          <w:sz w:val="24"/>
          <w:szCs w:val="24"/>
        </w:rPr>
        <w:t xml:space="preserve">are </w:t>
      </w:r>
      <w:r>
        <w:rPr>
          <w:rFonts w:ascii="Times New Roman" w:hAnsi="Times New Roman" w:cs="Times New Roman"/>
          <w:sz w:val="24"/>
          <w:szCs w:val="24"/>
        </w:rPr>
        <w:t>complied with</w:t>
      </w:r>
      <w:r w:rsidR="0007303D" w:rsidRPr="00795242">
        <w:rPr>
          <w:rFonts w:ascii="Times New Roman" w:hAnsi="Times New Roman" w:cs="Times New Roman"/>
          <w:sz w:val="24"/>
          <w:szCs w:val="24"/>
        </w:rPr>
        <w:t>.</w:t>
      </w:r>
    </w:p>
    <w:p w:rsidR="004E67A8" w:rsidRPr="00795242" w:rsidRDefault="004E67A8" w:rsidP="004E67A8">
      <w:pPr>
        <w:spacing w:line="36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w:t>
      </w:r>
      <w:r w:rsidR="00C43D6A">
        <w:rPr>
          <w:rFonts w:ascii="Times New Roman" w:hAnsi="Times New Roman" w:cs="Times New Roman"/>
          <w:sz w:val="24"/>
          <w:szCs w:val="24"/>
        </w:rPr>
        <w:t>31</w:t>
      </w:r>
      <w:r>
        <w:rPr>
          <w:rFonts w:ascii="Times New Roman" w:hAnsi="Times New Roman" w:cs="Times New Roman"/>
          <w:sz w:val="24"/>
          <w:szCs w:val="24"/>
        </w:rPr>
        <w:t>]</w:t>
      </w:r>
      <w:r>
        <w:rPr>
          <w:rFonts w:ascii="Times New Roman" w:hAnsi="Times New Roman" w:cs="Times New Roman"/>
          <w:sz w:val="24"/>
          <w:szCs w:val="24"/>
        </w:rPr>
        <w:tab/>
      </w:r>
      <w:r w:rsidR="00F06855">
        <w:rPr>
          <w:rFonts w:ascii="Times New Roman" w:hAnsi="Times New Roman" w:cs="Times New Roman"/>
          <w:sz w:val="24"/>
          <w:szCs w:val="24"/>
        </w:rPr>
        <w:t>Relevant portions of s</w:t>
      </w:r>
      <w:r w:rsidRPr="00795242">
        <w:rPr>
          <w:rFonts w:ascii="Times New Roman" w:hAnsi="Times New Roman" w:cs="Times New Roman"/>
          <w:sz w:val="24"/>
          <w:szCs w:val="24"/>
        </w:rPr>
        <w:t xml:space="preserve"> 15</w:t>
      </w:r>
      <w:r>
        <w:rPr>
          <w:rFonts w:ascii="Times New Roman" w:hAnsi="Times New Roman" w:cs="Times New Roman"/>
          <w:sz w:val="24"/>
          <w:szCs w:val="24"/>
        </w:rPr>
        <w:t xml:space="preserve"> of the Act </w:t>
      </w:r>
      <w:r w:rsidR="00F06855">
        <w:rPr>
          <w:rFonts w:ascii="Times New Roman" w:hAnsi="Times New Roman" w:cs="Times New Roman"/>
          <w:sz w:val="24"/>
          <w:szCs w:val="24"/>
        </w:rPr>
        <w:t>read:</w:t>
      </w:r>
    </w:p>
    <w:p w:rsidR="004E67A8" w:rsidRPr="00DA49AA" w:rsidRDefault="00F06855" w:rsidP="002E748A">
      <w:pPr>
        <w:pStyle w:val="ListParagraph"/>
        <w:spacing w:line="240" w:lineRule="auto"/>
        <w:ind w:left="2160" w:hanging="720"/>
        <w:jc w:val="both"/>
        <w:rPr>
          <w:rFonts w:ascii="Times New Roman" w:hAnsi="Times New Roman" w:cs="Times New Roman"/>
          <w:iCs/>
        </w:rPr>
      </w:pPr>
      <w:r w:rsidRPr="00F06855">
        <w:rPr>
          <w:rFonts w:ascii="Times New Roman" w:hAnsi="Times New Roman" w:cs="Times New Roman"/>
          <w:iCs/>
          <w:sz w:val="24"/>
          <w:szCs w:val="24"/>
        </w:rPr>
        <w:t>“</w:t>
      </w:r>
      <w:r w:rsidR="002E748A">
        <w:rPr>
          <w:rFonts w:ascii="Times New Roman" w:hAnsi="Times New Roman" w:cs="Times New Roman"/>
          <w:iCs/>
        </w:rPr>
        <w:t>2</w:t>
      </w:r>
      <w:r w:rsidR="002E748A">
        <w:rPr>
          <w:rFonts w:ascii="Times New Roman" w:hAnsi="Times New Roman" w:cs="Times New Roman"/>
          <w:iCs/>
        </w:rPr>
        <w:tab/>
      </w:r>
      <w:r w:rsidR="004E67A8" w:rsidRPr="00DA49AA">
        <w:rPr>
          <w:rFonts w:ascii="Times New Roman" w:hAnsi="Times New Roman" w:cs="Times New Roman"/>
          <w:iCs/>
        </w:rPr>
        <w:t>No deduction of input tax shall be made in terms of this Act in respect of a supply or the importation of any goods or services into Zimbabwe, unless—</w:t>
      </w:r>
    </w:p>
    <w:p w:rsidR="00F06855" w:rsidRPr="00DA49AA" w:rsidRDefault="00F06855" w:rsidP="00DA49AA">
      <w:pPr>
        <w:pStyle w:val="ListParagraph"/>
        <w:spacing w:line="240" w:lineRule="auto"/>
        <w:ind w:left="1440"/>
        <w:jc w:val="both"/>
        <w:rPr>
          <w:rFonts w:ascii="Times New Roman" w:hAnsi="Times New Roman" w:cs="Times New Roman"/>
          <w:iCs/>
        </w:rPr>
      </w:pPr>
    </w:p>
    <w:p w:rsidR="004E67A8" w:rsidRPr="00F06855" w:rsidRDefault="004E67A8" w:rsidP="002E748A">
      <w:pPr>
        <w:pStyle w:val="ListParagraph"/>
        <w:spacing w:line="240" w:lineRule="auto"/>
        <w:ind w:left="2160" w:hanging="720"/>
        <w:jc w:val="both"/>
        <w:rPr>
          <w:rFonts w:ascii="Times New Roman" w:hAnsi="Times New Roman" w:cs="Times New Roman"/>
          <w:iCs/>
          <w:sz w:val="24"/>
          <w:szCs w:val="24"/>
        </w:rPr>
      </w:pPr>
      <w:r w:rsidRPr="00DA49AA">
        <w:rPr>
          <w:rFonts w:ascii="Times New Roman" w:hAnsi="Times New Roman" w:cs="Times New Roman"/>
          <w:iCs/>
        </w:rPr>
        <w:t>(</w:t>
      </w:r>
      <w:r w:rsidRPr="00DA49AA">
        <w:rPr>
          <w:rFonts w:ascii="Times New Roman" w:hAnsi="Times New Roman" w:cs="Times New Roman"/>
          <w:i/>
          <w:iCs/>
        </w:rPr>
        <w:t>a</w:t>
      </w:r>
      <w:r w:rsidRPr="00DA49AA">
        <w:rPr>
          <w:rFonts w:ascii="Times New Roman" w:hAnsi="Times New Roman" w:cs="Times New Roman"/>
          <w:iCs/>
        </w:rPr>
        <w:t>)</w:t>
      </w:r>
      <w:r w:rsidR="002E748A">
        <w:rPr>
          <w:rFonts w:ascii="Times New Roman" w:hAnsi="Times New Roman" w:cs="Times New Roman"/>
          <w:iCs/>
        </w:rPr>
        <w:tab/>
      </w:r>
      <w:r w:rsidRPr="00DA49AA">
        <w:rPr>
          <w:rFonts w:ascii="Times New Roman" w:hAnsi="Times New Roman" w:cs="Times New Roman"/>
          <w:iCs/>
        </w:rPr>
        <w:t xml:space="preserve"> a tax invoice or debit note or credit note in relation to that supply has been provided in accordance with </w:t>
      </w:r>
      <w:r w:rsidRPr="00DA49AA">
        <w:rPr>
          <w:rFonts w:ascii="Times New Roman" w:hAnsi="Times New Roman" w:cs="Times New Roman"/>
          <w:bCs/>
          <w:iCs/>
        </w:rPr>
        <w:t xml:space="preserve">sections </w:t>
      </w:r>
      <w:r w:rsidRPr="00DA49AA">
        <w:rPr>
          <w:rFonts w:ascii="Times New Roman" w:hAnsi="Times New Roman" w:cs="Times New Roman"/>
          <w:bCs/>
          <w:i/>
          <w:iCs/>
        </w:rPr>
        <w:t>twenty</w:t>
      </w:r>
      <w:r w:rsidRPr="00DA49AA">
        <w:rPr>
          <w:rFonts w:ascii="Times New Roman" w:hAnsi="Times New Roman" w:cs="Times New Roman"/>
          <w:i/>
          <w:iCs/>
        </w:rPr>
        <w:t xml:space="preserve"> </w:t>
      </w:r>
      <w:r w:rsidRPr="002E748A">
        <w:rPr>
          <w:rFonts w:ascii="Times New Roman" w:hAnsi="Times New Roman" w:cs="Times New Roman"/>
          <w:iCs/>
        </w:rPr>
        <w:t>or</w:t>
      </w:r>
      <w:r w:rsidRPr="00DA49AA">
        <w:rPr>
          <w:rFonts w:ascii="Times New Roman" w:hAnsi="Times New Roman" w:cs="Times New Roman"/>
          <w:i/>
          <w:iCs/>
        </w:rPr>
        <w:t xml:space="preserve"> </w:t>
      </w:r>
      <w:r w:rsidRPr="00DA49AA">
        <w:rPr>
          <w:rFonts w:ascii="Times New Roman" w:hAnsi="Times New Roman" w:cs="Times New Roman"/>
          <w:bCs/>
          <w:i/>
          <w:iCs/>
        </w:rPr>
        <w:t>twenty-one</w:t>
      </w:r>
      <w:r w:rsidRPr="00DA49AA">
        <w:rPr>
          <w:rFonts w:ascii="Times New Roman" w:hAnsi="Times New Roman" w:cs="Times New Roman"/>
          <w:iCs/>
        </w:rPr>
        <w:t xml:space="preserve"> within the period the registered operator is required to furnish a return in terms of sections </w:t>
      </w:r>
      <w:r w:rsidRPr="00DA49AA">
        <w:rPr>
          <w:rFonts w:ascii="Times New Roman" w:hAnsi="Times New Roman" w:cs="Times New Roman"/>
          <w:i/>
          <w:iCs/>
        </w:rPr>
        <w:t>twenty-seven</w:t>
      </w:r>
      <w:r w:rsidRPr="00DA49AA">
        <w:rPr>
          <w:rFonts w:ascii="Times New Roman" w:hAnsi="Times New Roman" w:cs="Times New Roman"/>
          <w:iCs/>
        </w:rPr>
        <w:t xml:space="preserve"> and </w:t>
      </w:r>
      <w:r w:rsidRPr="00DA49AA">
        <w:rPr>
          <w:rFonts w:ascii="Times New Roman" w:hAnsi="Times New Roman" w:cs="Times New Roman"/>
          <w:i/>
          <w:iCs/>
        </w:rPr>
        <w:t>twenty-eight</w:t>
      </w:r>
      <w:r w:rsidRPr="00DA49AA">
        <w:rPr>
          <w:rFonts w:ascii="Times New Roman" w:hAnsi="Times New Roman" w:cs="Times New Roman"/>
          <w:iCs/>
        </w:rPr>
        <w:t xml:space="preserve"> or twelve months, whichever is the longer period and is held by the registered operator making that deduction at the time that any return in respect of that supply is furnished:</w:t>
      </w:r>
      <w:r w:rsidR="00F06855">
        <w:rPr>
          <w:rFonts w:ascii="Times New Roman" w:hAnsi="Times New Roman" w:cs="Times New Roman"/>
          <w:iCs/>
          <w:sz w:val="24"/>
          <w:szCs w:val="24"/>
        </w:rPr>
        <w:t>”</w:t>
      </w:r>
    </w:p>
    <w:p w:rsidR="0007303D" w:rsidRPr="00F74F38" w:rsidRDefault="004E67A8" w:rsidP="002E748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32</w:t>
      </w:r>
      <w:r>
        <w:rPr>
          <w:rFonts w:ascii="Times New Roman" w:hAnsi="Times New Roman" w:cs="Times New Roman"/>
          <w:sz w:val="24"/>
          <w:szCs w:val="24"/>
        </w:rPr>
        <w:t>]</w:t>
      </w:r>
      <w:r>
        <w:rPr>
          <w:rFonts w:ascii="Times New Roman" w:hAnsi="Times New Roman" w:cs="Times New Roman"/>
          <w:sz w:val="24"/>
          <w:szCs w:val="24"/>
        </w:rPr>
        <w:tab/>
        <w:t>Th</w:t>
      </w:r>
      <w:r w:rsidR="00F06855">
        <w:rPr>
          <w:rFonts w:ascii="Times New Roman" w:hAnsi="Times New Roman" w:cs="Times New Roman"/>
          <w:sz w:val="24"/>
          <w:szCs w:val="24"/>
        </w:rPr>
        <w:t>e</w:t>
      </w:r>
      <w:r>
        <w:rPr>
          <w:rFonts w:ascii="Times New Roman" w:hAnsi="Times New Roman" w:cs="Times New Roman"/>
          <w:sz w:val="24"/>
          <w:szCs w:val="24"/>
        </w:rPr>
        <w:t xml:space="preserve"> right t</w:t>
      </w:r>
      <w:r w:rsidR="0007303D" w:rsidRPr="00795242">
        <w:rPr>
          <w:rFonts w:ascii="Times New Roman" w:hAnsi="Times New Roman" w:cs="Times New Roman"/>
          <w:sz w:val="24"/>
          <w:szCs w:val="24"/>
        </w:rPr>
        <w:t>o deduct input tax is</w:t>
      </w:r>
      <w:r w:rsidR="00F06855">
        <w:rPr>
          <w:rFonts w:ascii="Times New Roman" w:hAnsi="Times New Roman" w:cs="Times New Roman"/>
          <w:sz w:val="24"/>
          <w:szCs w:val="24"/>
        </w:rPr>
        <w:t>, among other things,</w:t>
      </w:r>
      <w:r w:rsidR="0007303D" w:rsidRPr="00795242">
        <w:rPr>
          <w:rFonts w:ascii="Times New Roman" w:hAnsi="Times New Roman" w:cs="Times New Roman"/>
          <w:sz w:val="24"/>
          <w:szCs w:val="24"/>
        </w:rPr>
        <w:t xml:space="preserve"> subject to proof that all legal requirements, most notably, the possession of a valid tax invoice, have been satisfied.</w:t>
      </w:r>
      <w:r w:rsidR="00F74F38">
        <w:rPr>
          <w:rFonts w:ascii="Times New Roman" w:hAnsi="Times New Roman" w:cs="Times New Roman"/>
          <w:sz w:val="24"/>
          <w:szCs w:val="24"/>
        </w:rPr>
        <w:t xml:space="preserve"> </w:t>
      </w:r>
    </w:p>
    <w:p w:rsidR="0007303D" w:rsidRDefault="00F06855" w:rsidP="00301B8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33</w:t>
      </w:r>
      <w:r>
        <w:rPr>
          <w:rFonts w:ascii="Times New Roman" w:hAnsi="Times New Roman" w:cs="Times New Roman"/>
          <w:sz w:val="24"/>
          <w:szCs w:val="24"/>
        </w:rPr>
        <w:t>]</w:t>
      </w:r>
      <w:r>
        <w:rPr>
          <w:rFonts w:ascii="Times New Roman" w:hAnsi="Times New Roman" w:cs="Times New Roman"/>
          <w:sz w:val="24"/>
          <w:szCs w:val="24"/>
        </w:rPr>
        <w:tab/>
      </w:r>
      <w:r w:rsidR="00F74F38">
        <w:rPr>
          <w:rFonts w:ascii="Times New Roman" w:hAnsi="Times New Roman" w:cs="Times New Roman"/>
          <w:sz w:val="24"/>
          <w:szCs w:val="24"/>
        </w:rPr>
        <w:t>T</w:t>
      </w:r>
      <w:r w:rsidR="0007303D" w:rsidRPr="00795242">
        <w:rPr>
          <w:rFonts w:ascii="Times New Roman" w:hAnsi="Times New Roman" w:cs="Times New Roman"/>
          <w:sz w:val="24"/>
          <w:szCs w:val="24"/>
        </w:rPr>
        <w:t xml:space="preserve">he procedural gateway to the deductibility of input tax lies in </w:t>
      </w:r>
      <w:r w:rsidR="00301B84">
        <w:rPr>
          <w:rFonts w:ascii="Times New Roman" w:hAnsi="Times New Roman" w:cs="Times New Roman"/>
          <w:sz w:val="24"/>
          <w:szCs w:val="24"/>
        </w:rPr>
        <w:t xml:space="preserve">s </w:t>
      </w:r>
      <w:r w:rsidR="0007303D" w:rsidRPr="00795242">
        <w:rPr>
          <w:rFonts w:ascii="Times New Roman" w:hAnsi="Times New Roman" w:cs="Times New Roman"/>
          <w:sz w:val="24"/>
          <w:szCs w:val="24"/>
        </w:rPr>
        <w:t>20 of the Act</w:t>
      </w:r>
      <w:r w:rsidR="00301B84">
        <w:rPr>
          <w:rFonts w:ascii="Times New Roman" w:hAnsi="Times New Roman" w:cs="Times New Roman"/>
          <w:sz w:val="24"/>
          <w:szCs w:val="24"/>
        </w:rPr>
        <w:t>. It</w:t>
      </w:r>
      <w:r w:rsidR="0007303D" w:rsidRPr="00795242">
        <w:rPr>
          <w:rFonts w:ascii="Times New Roman" w:hAnsi="Times New Roman" w:cs="Times New Roman"/>
          <w:sz w:val="24"/>
          <w:szCs w:val="24"/>
        </w:rPr>
        <w:t xml:space="preserve"> prescribes the form and content </w:t>
      </w:r>
      <w:r w:rsidR="00301B84">
        <w:rPr>
          <w:rFonts w:ascii="Times New Roman" w:hAnsi="Times New Roman" w:cs="Times New Roman"/>
          <w:sz w:val="24"/>
          <w:szCs w:val="24"/>
        </w:rPr>
        <w:t xml:space="preserve">of </w:t>
      </w:r>
      <w:r w:rsidR="0007303D" w:rsidRPr="00795242">
        <w:rPr>
          <w:rFonts w:ascii="Times New Roman" w:hAnsi="Times New Roman" w:cs="Times New Roman"/>
          <w:sz w:val="24"/>
          <w:szCs w:val="24"/>
        </w:rPr>
        <w:t>a tax invoice. Without satisfying th</w:t>
      </w:r>
      <w:r w:rsidR="002774B2">
        <w:rPr>
          <w:rFonts w:ascii="Times New Roman" w:hAnsi="Times New Roman" w:cs="Times New Roman"/>
          <w:sz w:val="24"/>
          <w:szCs w:val="24"/>
        </w:rPr>
        <w:t>e</w:t>
      </w:r>
      <w:r w:rsidR="0007303D" w:rsidRPr="00795242">
        <w:rPr>
          <w:rFonts w:ascii="Times New Roman" w:hAnsi="Times New Roman" w:cs="Times New Roman"/>
          <w:sz w:val="24"/>
          <w:szCs w:val="24"/>
        </w:rPr>
        <w:t>se requirements</w:t>
      </w:r>
      <w:r w:rsidR="00087537">
        <w:rPr>
          <w:rFonts w:ascii="Times New Roman" w:hAnsi="Times New Roman" w:cs="Times New Roman"/>
          <w:sz w:val="24"/>
          <w:szCs w:val="24"/>
        </w:rPr>
        <w:t xml:space="preserve"> – or </w:t>
      </w:r>
      <w:r w:rsidR="0007303D" w:rsidRPr="00795242">
        <w:rPr>
          <w:rFonts w:ascii="Times New Roman" w:hAnsi="Times New Roman" w:cs="Times New Roman"/>
          <w:sz w:val="24"/>
          <w:szCs w:val="24"/>
        </w:rPr>
        <w:t>invoking a lawful exception thereto</w:t>
      </w:r>
      <w:r w:rsidR="00087537">
        <w:rPr>
          <w:rFonts w:ascii="Times New Roman" w:hAnsi="Times New Roman" w:cs="Times New Roman"/>
          <w:sz w:val="24"/>
          <w:szCs w:val="24"/>
        </w:rPr>
        <w:t xml:space="preserve"> – the righ</w:t>
      </w:r>
      <w:r w:rsidR="0007303D" w:rsidRPr="00795242">
        <w:rPr>
          <w:rFonts w:ascii="Times New Roman" w:hAnsi="Times New Roman" w:cs="Times New Roman"/>
          <w:sz w:val="24"/>
          <w:szCs w:val="24"/>
        </w:rPr>
        <w:t>t to deduct cannot be exercised.</w:t>
      </w:r>
    </w:p>
    <w:p w:rsidR="00301B84" w:rsidRDefault="00301B84" w:rsidP="0008753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34</w:t>
      </w:r>
      <w:r>
        <w:rPr>
          <w:rFonts w:ascii="Times New Roman" w:hAnsi="Times New Roman" w:cs="Times New Roman"/>
          <w:sz w:val="24"/>
          <w:szCs w:val="24"/>
        </w:rPr>
        <w:t>]</w:t>
      </w:r>
      <w:r>
        <w:rPr>
          <w:rFonts w:ascii="Times New Roman" w:hAnsi="Times New Roman" w:cs="Times New Roman"/>
          <w:sz w:val="24"/>
          <w:szCs w:val="24"/>
        </w:rPr>
        <w:tab/>
      </w:r>
      <w:r w:rsidR="00EF2F0C">
        <w:rPr>
          <w:rFonts w:ascii="Times New Roman" w:hAnsi="Times New Roman" w:cs="Times New Roman"/>
          <w:sz w:val="24"/>
          <w:szCs w:val="24"/>
        </w:rPr>
        <w:t xml:space="preserve">Relevant portions of s </w:t>
      </w:r>
      <w:r>
        <w:rPr>
          <w:rFonts w:ascii="Times New Roman" w:hAnsi="Times New Roman" w:cs="Times New Roman"/>
          <w:sz w:val="24"/>
          <w:szCs w:val="24"/>
        </w:rPr>
        <w:t xml:space="preserve">20 of the Act provide: </w:t>
      </w:r>
    </w:p>
    <w:p w:rsidR="0007303D" w:rsidRPr="00087537" w:rsidRDefault="00087537" w:rsidP="00087537">
      <w:pPr>
        <w:spacing w:line="240" w:lineRule="auto"/>
        <w:ind w:left="2160" w:hanging="720"/>
        <w:jc w:val="both"/>
        <w:rPr>
          <w:rFonts w:ascii="Times New Roman" w:hAnsi="Times New Roman" w:cs="Times New Roman"/>
          <w:iCs/>
        </w:rPr>
      </w:pPr>
      <w:r>
        <w:rPr>
          <w:rFonts w:ascii="Times New Roman" w:hAnsi="Times New Roman" w:cs="Times New Roman"/>
          <w:sz w:val="24"/>
          <w:szCs w:val="24"/>
        </w:rPr>
        <w:t>“</w:t>
      </w:r>
      <w:r w:rsidR="00301B84" w:rsidRPr="00087537">
        <w:rPr>
          <w:rFonts w:ascii="Times New Roman" w:hAnsi="Times New Roman" w:cs="Times New Roman"/>
        </w:rPr>
        <w:t>[1]</w:t>
      </w:r>
      <w:r>
        <w:rPr>
          <w:rFonts w:ascii="Times New Roman" w:hAnsi="Times New Roman" w:cs="Times New Roman"/>
        </w:rPr>
        <w:tab/>
      </w:r>
      <w:r w:rsidR="0007303D" w:rsidRPr="00087537">
        <w:rPr>
          <w:rFonts w:ascii="Times New Roman" w:hAnsi="Times New Roman" w:cs="Times New Roman"/>
          <w:iCs/>
        </w:rPr>
        <w:t xml:space="preserve">Except as otherwise provided in this section, a supplier, being a registered operator, making a taxable supply, other than a supply contemplated in subsection </w:t>
      </w:r>
      <w:r>
        <w:rPr>
          <w:rFonts w:ascii="Times New Roman" w:hAnsi="Times New Roman" w:cs="Times New Roman"/>
          <w:iCs/>
        </w:rPr>
        <w:t>[</w:t>
      </w:r>
      <w:r w:rsidR="0007303D" w:rsidRPr="00087537">
        <w:rPr>
          <w:rFonts w:ascii="Times New Roman" w:hAnsi="Times New Roman" w:cs="Times New Roman"/>
          <w:iCs/>
        </w:rPr>
        <w:t>9</w:t>
      </w:r>
      <w:r>
        <w:rPr>
          <w:rFonts w:ascii="Times New Roman" w:hAnsi="Times New Roman" w:cs="Times New Roman"/>
          <w:iCs/>
        </w:rPr>
        <w:t>]</w:t>
      </w:r>
      <w:r w:rsidR="0007303D" w:rsidRPr="00087537">
        <w:rPr>
          <w:rFonts w:ascii="Times New Roman" w:hAnsi="Times New Roman" w:cs="Times New Roman"/>
          <w:iCs/>
        </w:rPr>
        <w:t xml:space="preserve"> of section </w:t>
      </w:r>
      <w:r w:rsidR="0007303D" w:rsidRPr="00087537">
        <w:rPr>
          <w:rFonts w:ascii="Times New Roman" w:hAnsi="Times New Roman" w:cs="Times New Roman"/>
          <w:i/>
          <w:iCs/>
        </w:rPr>
        <w:t>seven</w:t>
      </w:r>
      <w:r w:rsidR="0007303D" w:rsidRPr="00087537">
        <w:rPr>
          <w:rFonts w:ascii="Times New Roman" w:hAnsi="Times New Roman" w:cs="Times New Roman"/>
          <w:iCs/>
        </w:rPr>
        <w:t>, to a recipient shall provide that recipient within thirty days from the date of supply with a tax invoice containing such particulars as are specified in this section:</w:t>
      </w:r>
    </w:p>
    <w:p w:rsidR="0007303D" w:rsidRPr="00087537" w:rsidRDefault="0007303D" w:rsidP="00087537">
      <w:pPr>
        <w:pStyle w:val="ListParagraph"/>
        <w:spacing w:line="240" w:lineRule="auto"/>
        <w:ind w:left="1800"/>
        <w:rPr>
          <w:rFonts w:ascii="Times New Roman" w:hAnsi="Times New Roman" w:cs="Times New Roman"/>
          <w:iCs/>
        </w:rPr>
      </w:pPr>
      <w:r w:rsidRPr="00087537">
        <w:rPr>
          <w:rFonts w:ascii="Times New Roman" w:hAnsi="Times New Roman" w:cs="Times New Roman"/>
          <w:iCs/>
        </w:rPr>
        <w:t>Provided that—</w:t>
      </w:r>
    </w:p>
    <w:p w:rsidR="00EF2F0C" w:rsidRPr="00087537" w:rsidRDefault="00EF2F0C" w:rsidP="00087537">
      <w:pPr>
        <w:spacing w:line="240" w:lineRule="auto"/>
        <w:ind w:left="2160" w:hanging="360"/>
        <w:rPr>
          <w:rFonts w:ascii="Times New Roman" w:hAnsi="Times New Roman" w:cs="Times New Roman"/>
          <w:iCs/>
        </w:rPr>
      </w:pPr>
      <w:r w:rsidRPr="00087537">
        <w:rPr>
          <w:rFonts w:ascii="Times New Roman" w:hAnsi="Times New Roman" w:cs="Times New Roman"/>
          <w:iCs/>
        </w:rPr>
        <w:t>[</w:t>
      </w:r>
      <w:r w:rsidRPr="00087537">
        <w:rPr>
          <w:rFonts w:ascii="Times New Roman" w:hAnsi="Times New Roman" w:cs="Times New Roman"/>
          <w:i/>
          <w:iCs/>
        </w:rPr>
        <w:t>a</w:t>
      </w:r>
      <w:r w:rsidRPr="00087537">
        <w:rPr>
          <w:rFonts w:ascii="Times New Roman" w:hAnsi="Times New Roman" w:cs="Times New Roman"/>
          <w:iCs/>
        </w:rPr>
        <w:t>]</w:t>
      </w:r>
      <w:r w:rsidR="00087537">
        <w:rPr>
          <w:rFonts w:ascii="Times New Roman" w:hAnsi="Times New Roman" w:cs="Times New Roman"/>
          <w:iCs/>
        </w:rPr>
        <w:tab/>
      </w:r>
      <w:r w:rsidR="0007303D" w:rsidRPr="00087537">
        <w:rPr>
          <w:rFonts w:ascii="Times New Roman" w:hAnsi="Times New Roman" w:cs="Times New Roman"/>
          <w:iCs/>
        </w:rPr>
        <w:t>it shall not be lawful to issue more than one tax invoice for each taxable supply</w:t>
      </w:r>
      <w:r w:rsidRPr="00087537">
        <w:rPr>
          <w:rFonts w:ascii="Times New Roman" w:hAnsi="Times New Roman" w:cs="Times New Roman"/>
          <w:iCs/>
        </w:rPr>
        <w:t>;</w:t>
      </w:r>
    </w:p>
    <w:p w:rsidR="00EF2F0C" w:rsidRPr="00087537" w:rsidRDefault="00EF2F0C" w:rsidP="00087537">
      <w:pPr>
        <w:spacing w:line="240" w:lineRule="auto"/>
        <w:ind w:left="1440" w:firstLine="360"/>
        <w:rPr>
          <w:rFonts w:ascii="Times New Roman" w:hAnsi="Times New Roman" w:cs="Times New Roman"/>
          <w:iCs/>
        </w:rPr>
      </w:pPr>
      <w:r w:rsidRPr="00087537">
        <w:rPr>
          <w:rFonts w:ascii="Times New Roman" w:hAnsi="Times New Roman" w:cs="Times New Roman"/>
          <w:iCs/>
        </w:rPr>
        <w:t>[b]</w:t>
      </w:r>
      <w:r w:rsidR="00087537">
        <w:rPr>
          <w:rFonts w:ascii="Times New Roman" w:hAnsi="Times New Roman" w:cs="Times New Roman"/>
          <w:iCs/>
        </w:rPr>
        <w:tab/>
      </w:r>
      <w:r w:rsidRPr="00087537">
        <w:rPr>
          <w:rFonts w:ascii="Times New Roman" w:hAnsi="Times New Roman" w:cs="Times New Roman"/>
          <w:iCs/>
        </w:rPr>
        <w:t>… …</w:t>
      </w:r>
    </w:p>
    <w:p w:rsidR="00EF2F0C" w:rsidRPr="00087537" w:rsidRDefault="00EF2F0C" w:rsidP="00087537">
      <w:pPr>
        <w:spacing w:line="240" w:lineRule="auto"/>
        <w:rPr>
          <w:rFonts w:ascii="Times New Roman" w:hAnsi="Times New Roman" w:cs="Times New Roman"/>
          <w:iCs/>
        </w:rPr>
      </w:pPr>
      <w:r w:rsidRPr="00087537">
        <w:rPr>
          <w:rFonts w:ascii="Times New Roman" w:hAnsi="Times New Roman" w:cs="Times New Roman"/>
          <w:iCs/>
        </w:rPr>
        <w:tab/>
      </w:r>
      <w:r w:rsidRPr="00087537">
        <w:rPr>
          <w:rFonts w:ascii="Times New Roman" w:hAnsi="Times New Roman" w:cs="Times New Roman"/>
          <w:iCs/>
        </w:rPr>
        <w:tab/>
        <w:t>[2]</w:t>
      </w:r>
      <w:r w:rsidR="00087537">
        <w:rPr>
          <w:rFonts w:ascii="Times New Roman" w:hAnsi="Times New Roman" w:cs="Times New Roman"/>
          <w:iCs/>
        </w:rPr>
        <w:tab/>
      </w:r>
      <w:r w:rsidRPr="00087537">
        <w:rPr>
          <w:rFonts w:ascii="Times New Roman" w:hAnsi="Times New Roman" w:cs="Times New Roman"/>
          <w:iCs/>
        </w:rPr>
        <w:t xml:space="preserve"> … …</w:t>
      </w:r>
    </w:p>
    <w:p w:rsidR="00EF2F0C" w:rsidRPr="00087537" w:rsidRDefault="00EF2F0C" w:rsidP="00087537">
      <w:pPr>
        <w:spacing w:line="240" w:lineRule="auto"/>
        <w:rPr>
          <w:rFonts w:ascii="Times New Roman" w:hAnsi="Times New Roman" w:cs="Times New Roman"/>
          <w:iCs/>
        </w:rPr>
      </w:pPr>
      <w:r w:rsidRPr="00087537">
        <w:rPr>
          <w:rFonts w:ascii="Times New Roman" w:hAnsi="Times New Roman" w:cs="Times New Roman"/>
          <w:iCs/>
        </w:rPr>
        <w:tab/>
      </w:r>
      <w:r w:rsidRPr="00087537">
        <w:rPr>
          <w:rFonts w:ascii="Times New Roman" w:hAnsi="Times New Roman" w:cs="Times New Roman"/>
          <w:iCs/>
        </w:rPr>
        <w:tab/>
        <w:t xml:space="preserve">[3] </w:t>
      </w:r>
      <w:r w:rsidR="00087537">
        <w:rPr>
          <w:rFonts w:ascii="Times New Roman" w:hAnsi="Times New Roman" w:cs="Times New Roman"/>
          <w:iCs/>
        </w:rPr>
        <w:tab/>
      </w:r>
      <w:r w:rsidRPr="00087537">
        <w:rPr>
          <w:rFonts w:ascii="Times New Roman" w:hAnsi="Times New Roman" w:cs="Times New Roman"/>
          <w:iCs/>
        </w:rPr>
        <w:t>… …</w:t>
      </w:r>
    </w:p>
    <w:p w:rsidR="0007303D" w:rsidRPr="00087537" w:rsidRDefault="00EF2F0C" w:rsidP="00087537">
      <w:pPr>
        <w:spacing w:line="240" w:lineRule="auto"/>
        <w:ind w:left="2160" w:hanging="720"/>
        <w:rPr>
          <w:rFonts w:ascii="Times New Roman" w:hAnsi="Times New Roman" w:cs="Times New Roman"/>
          <w:iCs/>
        </w:rPr>
      </w:pPr>
      <w:r w:rsidRPr="00087537">
        <w:rPr>
          <w:rFonts w:ascii="Times New Roman" w:hAnsi="Times New Roman" w:cs="Times New Roman"/>
          <w:iCs/>
        </w:rPr>
        <w:t>[4]</w:t>
      </w:r>
      <w:r w:rsidR="00087537">
        <w:rPr>
          <w:rFonts w:ascii="Times New Roman" w:hAnsi="Times New Roman" w:cs="Times New Roman"/>
          <w:iCs/>
        </w:rPr>
        <w:tab/>
      </w:r>
      <w:r w:rsidRPr="00087537">
        <w:rPr>
          <w:rFonts w:ascii="Times New Roman" w:hAnsi="Times New Roman" w:cs="Times New Roman"/>
          <w:iCs/>
        </w:rPr>
        <w:t>E</w:t>
      </w:r>
      <w:r w:rsidR="0007303D" w:rsidRPr="00087537">
        <w:rPr>
          <w:rFonts w:ascii="Times New Roman" w:hAnsi="Times New Roman" w:cs="Times New Roman"/>
          <w:iCs/>
        </w:rPr>
        <w:t>xcept as the Commissioner may otherwise allow, and subject to this section, a tax invoice shall contain the following particulars</w:t>
      </w:r>
      <w:r w:rsidR="0007303D" w:rsidRPr="00087537">
        <w:rPr>
          <w:rFonts w:ascii="Cambria Math" w:hAnsi="Cambria Math" w:cs="Cambria Math"/>
          <w:iCs/>
        </w:rPr>
        <w:t>⎯</w:t>
      </w:r>
    </w:p>
    <w:p w:rsidR="0007303D" w:rsidRDefault="00EF2F0C" w:rsidP="00087537">
      <w:pPr>
        <w:pStyle w:val="ListParagraph"/>
        <w:spacing w:line="240" w:lineRule="auto"/>
        <w:ind w:left="2160" w:hanging="360"/>
        <w:rPr>
          <w:rFonts w:ascii="Times New Roman" w:hAnsi="Times New Roman" w:cs="Times New Roman"/>
          <w:iCs/>
        </w:rPr>
      </w:pPr>
      <w:r w:rsidRPr="00087537">
        <w:rPr>
          <w:rFonts w:ascii="Times New Roman" w:hAnsi="Times New Roman" w:cs="Times New Roman"/>
          <w:iCs/>
        </w:rPr>
        <w:lastRenderedPageBreak/>
        <w:t>[a]</w:t>
      </w:r>
      <w:r w:rsidR="00087537">
        <w:rPr>
          <w:rFonts w:ascii="Times New Roman" w:hAnsi="Times New Roman" w:cs="Times New Roman"/>
          <w:iCs/>
        </w:rPr>
        <w:tab/>
      </w:r>
      <w:r w:rsidRPr="00087537">
        <w:rPr>
          <w:rFonts w:ascii="Times New Roman" w:hAnsi="Times New Roman" w:cs="Times New Roman"/>
          <w:iCs/>
        </w:rPr>
        <w:t>t</w:t>
      </w:r>
      <w:r w:rsidR="0007303D" w:rsidRPr="00087537">
        <w:rPr>
          <w:rFonts w:ascii="Times New Roman" w:hAnsi="Times New Roman" w:cs="Times New Roman"/>
          <w:iCs/>
        </w:rPr>
        <w:t xml:space="preserve">he words </w:t>
      </w:r>
      <w:r w:rsidRPr="00087537">
        <w:rPr>
          <w:rFonts w:ascii="Times New Roman" w:hAnsi="Times New Roman" w:cs="Times New Roman"/>
          <w:iCs/>
        </w:rPr>
        <w:t>‘</w:t>
      </w:r>
      <w:r w:rsidR="0007303D" w:rsidRPr="00087537">
        <w:rPr>
          <w:rFonts w:ascii="Times New Roman" w:hAnsi="Times New Roman" w:cs="Times New Roman"/>
          <w:iCs/>
        </w:rPr>
        <w:t>fiscal tax invoice</w:t>
      </w:r>
      <w:r w:rsidRPr="00087537">
        <w:rPr>
          <w:rFonts w:ascii="Times New Roman" w:hAnsi="Times New Roman" w:cs="Times New Roman"/>
          <w:iCs/>
        </w:rPr>
        <w:t>’ in a prominent place [</w:t>
      </w:r>
      <w:r w:rsidR="0007303D" w:rsidRPr="00087537">
        <w:rPr>
          <w:rFonts w:ascii="Times New Roman" w:hAnsi="Times New Roman" w:cs="Times New Roman"/>
          <w:iCs/>
        </w:rPr>
        <w:t>or other word or phrase employed by the fiscalised recording regulations for the purpose of denoting an invoice of tax for the making of taxable supplies</w:t>
      </w:r>
      <w:r w:rsidRPr="00087537">
        <w:rPr>
          <w:rFonts w:ascii="Times New Roman" w:hAnsi="Times New Roman" w:cs="Times New Roman"/>
          <w:iCs/>
        </w:rPr>
        <w:t>]</w:t>
      </w:r>
      <w:r w:rsidR="0007303D" w:rsidRPr="00087537">
        <w:rPr>
          <w:rFonts w:ascii="Times New Roman" w:hAnsi="Times New Roman" w:cs="Times New Roman"/>
          <w:iCs/>
        </w:rPr>
        <w:t xml:space="preserve"> in a prominent place;</w:t>
      </w:r>
    </w:p>
    <w:p w:rsidR="00087537" w:rsidRPr="00087537" w:rsidRDefault="00087537" w:rsidP="00087537">
      <w:pPr>
        <w:pStyle w:val="ListParagraph"/>
        <w:spacing w:line="240" w:lineRule="auto"/>
        <w:ind w:left="2160" w:hanging="360"/>
        <w:rPr>
          <w:rFonts w:ascii="Times New Roman" w:hAnsi="Times New Roman" w:cs="Times New Roman"/>
          <w:iCs/>
        </w:rPr>
      </w:pPr>
    </w:p>
    <w:p w:rsidR="0007303D" w:rsidRDefault="00C779F8" w:rsidP="00087537">
      <w:pPr>
        <w:pStyle w:val="ListParagraph"/>
        <w:spacing w:line="240" w:lineRule="auto"/>
        <w:ind w:left="1440" w:firstLine="360"/>
        <w:rPr>
          <w:rFonts w:ascii="Times New Roman" w:hAnsi="Times New Roman" w:cs="Times New Roman"/>
          <w:iCs/>
        </w:rPr>
      </w:pPr>
      <w:r w:rsidRPr="00087537">
        <w:rPr>
          <w:rFonts w:ascii="Times New Roman" w:hAnsi="Times New Roman" w:cs="Times New Roman"/>
          <w:iCs/>
        </w:rPr>
        <w:t>[</w:t>
      </w:r>
      <w:r w:rsidR="0007303D" w:rsidRPr="00087537">
        <w:rPr>
          <w:rFonts w:ascii="Times New Roman" w:hAnsi="Times New Roman" w:cs="Times New Roman"/>
          <w:iCs/>
        </w:rPr>
        <w:t>b</w:t>
      </w:r>
      <w:r w:rsidRPr="00087537">
        <w:rPr>
          <w:rFonts w:ascii="Times New Roman" w:hAnsi="Times New Roman" w:cs="Times New Roman"/>
          <w:iCs/>
        </w:rPr>
        <w:t>]</w:t>
      </w:r>
      <w:r w:rsidR="00087537">
        <w:rPr>
          <w:rFonts w:ascii="Times New Roman" w:hAnsi="Times New Roman" w:cs="Times New Roman"/>
          <w:iCs/>
        </w:rPr>
        <w:tab/>
      </w:r>
      <w:r w:rsidR="0007303D" w:rsidRPr="00087537">
        <w:rPr>
          <w:rFonts w:ascii="Times New Roman" w:hAnsi="Times New Roman" w:cs="Times New Roman"/>
          <w:iCs/>
        </w:rPr>
        <w:t>the name, address and registration number of the supplier;</w:t>
      </w:r>
    </w:p>
    <w:p w:rsidR="00087537" w:rsidRPr="00087537" w:rsidRDefault="00087537" w:rsidP="00087537">
      <w:pPr>
        <w:pStyle w:val="ListParagraph"/>
        <w:spacing w:line="240" w:lineRule="auto"/>
        <w:ind w:left="1440" w:firstLine="360"/>
        <w:rPr>
          <w:rFonts w:ascii="Times New Roman" w:hAnsi="Times New Roman" w:cs="Times New Roman"/>
          <w:iCs/>
        </w:rPr>
      </w:pPr>
    </w:p>
    <w:p w:rsidR="0007303D" w:rsidRDefault="00C779F8" w:rsidP="00087537">
      <w:pPr>
        <w:pStyle w:val="ListParagraph"/>
        <w:spacing w:line="240" w:lineRule="auto"/>
        <w:ind w:left="2160" w:hanging="360"/>
        <w:rPr>
          <w:rFonts w:ascii="Times New Roman" w:hAnsi="Times New Roman" w:cs="Times New Roman"/>
          <w:iCs/>
        </w:rPr>
      </w:pPr>
      <w:r w:rsidRPr="00087537">
        <w:rPr>
          <w:rFonts w:ascii="Times New Roman" w:hAnsi="Times New Roman" w:cs="Times New Roman"/>
          <w:iCs/>
        </w:rPr>
        <w:t>[</w:t>
      </w:r>
      <w:r w:rsidR="0007303D" w:rsidRPr="00087537">
        <w:rPr>
          <w:rFonts w:ascii="Times New Roman" w:hAnsi="Times New Roman" w:cs="Times New Roman"/>
          <w:iCs/>
        </w:rPr>
        <w:t>c</w:t>
      </w:r>
      <w:r w:rsidRPr="00087537">
        <w:rPr>
          <w:rFonts w:ascii="Times New Roman" w:hAnsi="Times New Roman" w:cs="Times New Roman"/>
          <w:iCs/>
        </w:rPr>
        <w:t>]</w:t>
      </w:r>
      <w:r w:rsidR="00087537">
        <w:rPr>
          <w:rFonts w:ascii="Times New Roman" w:hAnsi="Times New Roman" w:cs="Times New Roman"/>
          <w:iCs/>
        </w:rPr>
        <w:tab/>
      </w:r>
      <w:r w:rsidR="0007303D" w:rsidRPr="00087537">
        <w:rPr>
          <w:rFonts w:ascii="Times New Roman" w:hAnsi="Times New Roman" w:cs="Times New Roman"/>
          <w:iCs/>
        </w:rPr>
        <w:t>name and address of the recipient and, if the recipient is a registered operator, the registration number of the recipient;</w:t>
      </w:r>
    </w:p>
    <w:p w:rsidR="00480308" w:rsidRPr="00087537" w:rsidRDefault="00480308" w:rsidP="00087537">
      <w:pPr>
        <w:pStyle w:val="ListParagraph"/>
        <w:spacing w:line="240" w:lineRule="auto"/>
        <w:ind w:left="2160" w:hanging="360"/>
        <w:rPr>
          <w:rFonts w:ascii="Times New Roman" w:hAnsi="Times New Roman" w:cs="Times New Roman"/>
          <w:iCs/>
        </w:rPr>
      </w:pPr>
    </w:p>
    <w:p w:rsidR="0007303D" w:rsidRDefault="00C779F8" w:rsidP="00087537">
      <w:pPr>
        <w:pStyle w:val="ListParagraph"/>
        <w:spacing w:line="240" w:lineRule="auto"/>
        <w:ind w:left="2160" w:hanging="360"/>
        <w:rPr>
          <w:rFonts w:ascii="Times New Roman" w:hAnsi="Times New Roman" w:cs="Times New Roman"/>
          <w:iCs/>
        </w:rPr>
      </w:pPr>
      <w:r w:rsidRPr="00087537">
        <w:rPr>
          <w:rFonts w:ascii="Times New Roman" w:hAnsi="Times New Roman" w:cs="Times New Roman"/>
          <w:iCs/>
        </w:rPr>
        <w:t>[</w:t>
      </w:r>
      <w:r w:rsidR="0007303D" w:rsidRPr="00087537">
        <w:rPr>
          <w:rFonts w:ascii="Times New Roman" w:hAnsi="Times New Roman" w:cs="Times New Roman"/>
          <w:iCs/>
        </w:rPr>
        <w:t>d</w:t>
      </w:r>
      <w:r w:rsidRPr="00087537">
        <w:rPr>
          <w:rFonts w:ascii="Times New Roman" w:hAnsi="Times New Roman" w:cs="Times New Roman"/>
          <w:iCs/>
        </w:rPr>
        <w:t>]</w:t>
      </w:r>
      <w:r w:rsidR="00480308">
        <w:rPr>
          <w:rFonts w:ascii="Times New Roman" w:hAnsi="Times New Roman" w:cs="Times New Roman"/>
          <w:iCs/>
        </w:rPr>
        <w:tab/>
      </w:r>
      <w:r w:rsidR="0007303D" w:rsidRPr="00087537">
        <w:rPr>
          <w:rFonts w:ascii="Times New Roman" w:hAnsi="Times New Roman" w:cs="Times New Roman"/>
          <w:iCs/>
        </w:rPr>
        <w:t>an individual serialised number and the date upon which the tax invoice is issued;</w:t>
      </w:r>
    </w:p>
    <w:p w:rsidR="00480308" w:rsidRPr="00087537" w:rsidRDefault="00480308" w:rsidP="00087537">
      <w:pPr>
        <w:pStyle w:val="ListParagraph"/>
        <w:spacing w:line="240" w:lineRule="auto"/>
        <w:ind w:left="2160" w:hanging="360"/>
        <w:rPr>
          <w:rFonts w:ascii="Times New Roman" w:hAnsi="Times New Roman" w:cs="Times New Roman"/>
          <w:iCs/>
        </w:rPr>
      </w:pPr>
    </w:p>
    <w:p w:rsidR="00EF2F0C" w:rsidRDefault="00C779F8" w:rsidP="00087537">
      <w:pPr>
        <w:pStyle w:val="ListParagraph"/>
        <w:spacing w:line="240" w:lineRule="auto"/>
        <w:ind w:left="2160" w:hanging="360"/>
        <w:rPr>
          <w:rFonts w:ascii="Times New Roman" w:hAnsi="Times New Roman" w:cs="Times New Roman"/>
          <w:iCs/>
        </w:rPr>
      </w:pPr>
      <w:r w:rsidRPr="00087537">
        <w:rPr>
          <w:rFonts w:ascii="Times New Roman" w:hAnsi="Times New Roman" w:cs="Times New Roman"/>
          <w:iCs/>
        </w:rPr>
        <w:t>[</w:t>
      </w:r>
      <w:r w:rsidR="0007303D" w:rsidRPr="00087537">
        <w:rPr>
          <w:rFonts w:ascii="Times New Roman" w:hAnsi="Times New Roman" w:cs="Times New Roman"/>
          <w:iCs/>
        </w:rPr>
        <w:t>e</w:t>
      </w:r>
      <w:r w:rsidRPr="00087537">
        <w:rPr>
          <w:rFonts w:ascii="Times New Roman" w:hAnsi="Times New Roman" w:cs="Times New Roman"/>
          <w:iCs/>
        </w:rPr>
        <w:t>]</w:t>
      </w:r>
      <w:r w:rsidR="00480308">
        <w:rPr>
          <w:rFonts w:ascii="Times New Roman" w:hAnsi="Times New Roman" w:cs="Times New Roman"/>
          <w:iCs/>
        </w:rPr>
        <w:tab/>
      </w:r>
      <w:r w:rsidR="0007303D" w:rsidRPr="00087537">
        <w:rPr>
          <w:rFonts w:ascii="Times New Roman" w:hAnsi="Times New Roman" w:cs="Times New Roman"/>
          <w:iCs/>
        </w:rPr>
        <w:t xml:space="preserve">a description of the goods or services supplied; </w:t>
      </w:r>
    </w:p>
    <w:p w:rsidR="00480308" w:rsidRPr="00087537" w:rsidRDefault="00480308" w:rsidP="00087537">
      <w:pPr>
        <w:pStyle w:val="ListParagraph"/>
        <w:spacing w:line="240" w:lineRule="auto"/>
        <w:ind w:left="2160" w:hanging="360"/>
        <w:rPr>
          <w:rFonts w:ascii="Times New Roman" w:hAnsi="Times New Roman" w:cs="Times New Roman"/>
          <w:iCs/>
        </w:rPr>
      </w:pPr>
    </w:p>
    <w:p w:rsidR="0007303D" w:rsidRPr="00087537" w:rsidRDefault="00C779F8" w:rsidP="00087537">
      <w:pPr>
        <w:pStyle w:val="ListParagraph"/>
        <w:spacing w:line="240" w:lineRule="auto"/>
        <w:ind w:left="2160" w:hanging="360"/>
        <w:rPr>
          <w:rFonts w:ascii="Times New Roman" w:hAnsi="Times New Roman" w:cs="Times New Roman"/>
          <w:iCs/>
        </w:rPr>
      </w:pPr>
      <w:r w:rsidRPr="00087537">
        <w:rPr>
          <w:rFonts w:ascii="Times New Roman" w:hAnsi="Times New Roman" w:cs="Times New Roman"/>
          <w:iCs/>
        </w:rPr>
        <w:t>[</w:t>
      </w:r>
      <w:r w:rsidR="0007303D" w:rsidRPr="00087537">
        <w:rPr>
          <w:rFonts w:ascii="Times New Roman" w:hAnsi="Times New Roman" w:cs="Times New Roman"/>
          <w:iCs/>
        </w:rPr>
        <w:t>f</w:t>
      </w:r>
      <w:r w:rsidRPr="00087537">
        <w:rPr>
          <w:rFonts w:ascii="Times New Roman" w:hAnsi="Times New Roman" w:cs="Times New Roman"/>
          <w:iCs/>
        </w:rPr>
        <w:t>]</w:t>
      </w:r>
      <w:r w:rsidR="00480308">
        <w:rPr>
          <w:rFonts w:ascii="Times New Roman" w:hAnsi="Times New Roman" w:cs="Times New Roman"/>
          <w:iCs/>
        </w:rPr>
        <w:tab/>
      </w:r>
      <w:r w:rsidR="0007303D" w:rsidRPr="00087537">
        <w:rPr>
          <w:rFonts w:ascii="Times New Roman" w:hAnsi="Times New Roman" w:cs="Times New Roman"/>
          <w:iCs/>
        </w:rPr>
        <w:t>the quantity or volume of the goods or services supplied;</w:t>
      </w:r>
    </w:p>
    <w:p w:rsidR="00EF2F0C" w:rsidRDefault="00EF2F0C" w:rsidP="00087537">
      <w:pPr>
        <w:pStyle w:val="ListParagraph"/>
        <w:spacing w:line="240" w:lineRule="auto"/>
        <w:ind w:left="2160" w:hanging="360"/>
        <w:rPr>
          <w:rFonts w:ascii="Times New Roman" w:hAnsi="Times New Roman" w:cs="Times New Roman"/>
          <w:iCs/>
          <w:sz w:val="24"/>
          <w:szCs w:val="24"/>
        </w:rPr>
      </w:pPr>
      <w:r w:rsidRPr="00087537">
        <w:rPr>
          <w:rFonts w:ascii="Times New Roman" w:hAnsi="Times New Roman" w:cs="Times New Roman"/>
          <w:iCs/>
        </w:rPr>
        <w:t xml:space="preserve">[g] </w:t>
      </w:r>
      <w:r w:rsidR="00C779F8" w:rsidRPr="00087537">
        <w:rPr>
          <w:rFonts w:ascii="Times New Roman" w:hAnsi="Times New Roman" w:cs="Times New Roman"/>
          <w:iCs/>
        </w:rPr>
        <w:t>… …</w:t>
      </w:r>
      <w:r w:rsidR="00C779F8">
        <w:rPr>
          <w:rFonts w:ascii="Times New Roman" w:hAnsi="Times New Roman" w:cs="Times New Roman"/>
          <w:iCs/>
          <w:sz w:val="24"/>
          <w:szCs w:val="24"/>
        </w:rPr>
        <w:t>”</w:t>
      </w:r>
    </w:p>
    <w:p w:rsidR="0007303D" w:rsidRDefault="006817CB" w:rsidP="0008753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35</w:t>
      </w:r>
      <w:r>
        <w:rPr>
          <w:rFonts w:ascii="Times New Roman" w:hAnsi="Times New Roman" w:cs="Times New Roman"/>
          <w:sz w:val="24"/>
          <w:szCs w:val="24"/>
        </w:rPr>
        <w:t>]</w:t>
      </w:r>
      <w:r>
        <w:rPr>
          <w:rFonts w:ascii="Times New Roman" w:hAnsi="Times New Roman" w:cs="Times New Roman"/>
          <w:sz w:val="24"/>
          <w:szCs w:val="24"/>
        </w:rPr>
        <w:tab/>
      </w:r>
      <w:r w:rsidR="0007303D" w:rsidRPr="00795242">
        <w:rPr>
          <w:rFonts w:ascii="Times New Roman" w:hAnsi="Times New Roman" w:cs="Times New Roman"/>
          <w:sz w:val="24"/>
          <w:szCs w:val="24"/>
        </w:rPr>
        <w:t xml:space="preserve">Of particular relevance in this case, among other pertinent provisions of </w:t>
      </w:r>
      <w:r>
        <w:rPr>
          <w:rFonts w:ascii="Times New Roman" w:hAnsi="Times New Roman" w:cs="Times New Roman"/>
          <w:sz w:val="24"/>
          <w:szCs w:val="24"/>
        </w:rPr>
        <w:t xml:space="preserve">s </w:t>
      </w:r>
      <w:r w:rsidR="0007303D" w:rsidRPr="00795242">
        <w:rPr>
          <w:rFonts w:ascii="Times New Roman" w:hAnsi="Times New Roman" w:cs="Times New Roman"/>
          <w:sz w:val="24"/>
          <w:szCs w:val="24"/>
        </w:rPr>
        <w:t xml:space="preserve">20, is the discretion afforded to the </w:t>
      </w:r>
      <w:r>
        <w:rPr>
          <w:rFonts w:ascii="Times New Roman" w:hAnsi="Times New Roman" w:cs="Times New Roman"/>
          <w:sz w:val="24"/>
          <w:szCs w:val="24"/>
        </w:rPr>
        <w:t>respondent’s Commissioner</w:t>
      </w:r>
      <w:r w:rsidR="002774B2">
        <w:rPr>
          <w:rFonts w:ascii="Times New Roman" w:hAnsi="Times New Roman" w:cs="Times New Roman"/>
          <w:sz w:val="24"/>
          <w:szCs w:val="24"/>
        </w:rPr>
        <w:t xml:space="preserve"> in s 20[4] of the Act</w:t>
      </w:r>
      <w:r>
        <w:rPr>
          <w:rFonts w:ascii="Times New Roman" w:hAnsi="Times New Roman" w:cs="Times New Roman"/>
          <w:sz w:val="24"/>
          <w:szCs w:val="24"/>
        </w:rPr>
        <w:t xml:space="preserve">. </w:t>
      </w:r>
    </w:p>
    <w:p w:rsidR="0007303D" w:rsidRPr="00795242" w:rsidRDefault="006817CB" w:rsidP="006817C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36</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Cs/>
          <w:sz w:val="24"/>
          <w:szCs w:val="24"/>
        </w:rPr>
        <w:t>T</w:t>
      </w:r>
      <w:r w:rsidR="0007303D" w:rsidRPr="00795242">
        <w:rPr>
          <w:rFonts w:ascii="Times New Roman" w:hAnsi="Times New Roman" w:cs="Times New Roman"/>
          <w:sz w:val="24"/>
          <w:szCs w:val="24"/>
        </w:rPr>
        <w:t>h</w:t>
      </w:r>
      <w:r>
        <w:rPr>
          <w:rFonts w:ascii="Times New Roman" w:hAnsi="Times New Roman" w:cs="Times New Roman"/>
          <w:sz w:val="24"/>
          <w:szCs w:val="24"/>
        </w:rPr>
        <w:t xml:space="preserve">e dispute in this matter </w:t>
      </w:r>
      <w:r w:rsidR="0007303D" w:rsidRPr="00795242">
        <w:rPr>
          <w:rFonts w:ascii="Times New Roman" w:hAnsi="Times New Roman" w:cs="Times New Roman"/>
          <w:sz w:val="24"/>
          <w:szCs w:val="24"/>
        </w:rPr>
        <w:t xml:space="preserve">turns on the legal significance of the deeming provision introduced under </w:t>
      </w:r>
      <w:r>
        <w:rPr>
          <w:rFonts w:ascii="Times New Roman" w:hAnsi="Times New Roman" w:cs="Times New Roman"/>
          <w:sz w:val="24"/>
          <w:szCs w:val="24"/>
        </w:rPr>
        <w:t xml:space="preserve">s </w:t>
      </w:r>
      <w:r w:rsidR="0007303D" w:rsidRPr="00795242">
        <w:rPr>
          <w:rFonts w:ascii="Times New Roman" w:hAnsi="Times New Roman" w:cs="Times New Roman"/>
          <w:sz w:val="24"/>
          <w:szCs w:val="24"/>
        </w:rPr>
        <w:t>23</w:t>
      </w:r>
      <w:r>
        <w:rPr>
          <w:rFonts w:ascii="Times New Roman" w:hAnsi="Times New Roman" w:cs="Times New Roman"/>
          <w:sz w:val="24"/>
          <w:szCs w:val="24"/>
        </w:rPr>
        <w:t>[</w:t>
      </w:r>
      <w:r w:rsidR="0007303D" w:rsidRPr="00795242">
        <w:rPr>
          <w:rFonts w:ascii="Times New Roman" w:hAnsi="Times New Roman" w:cs="Times New Roman"/>
          <w:sz w:val="24"/>
          <w:szCs w:val="24"/>
        </w:rPr>
        <w:t>3</w:t>
      </w:r>
      <w:r>
        <w:rPr>
          <w:rFonts w:ascii="Times New Roman" w:hAnsi="Times New Roman" w:cs="Times New Roman"/>
          <w:sz w:val="24"/>
          <w:szCs w:val="24"/>
        </w:rPr>
        <w:t>]</w:t>
      </w:r>
      <w:r w:rsidR="0007303D" w:rsidRPr="00795242">
        <w:rPr>
          <w:rFonts w:ascii="Times New Roman" w:hAnsi="Times New Roman" w:cs="Times New Roman"/>
          <w:sz w:val="24"/>
          <w:szCs w:val="24"/>
        </w:rPr>
        <w:t xml:space="preserve"> </w:t>
      </w:r>
      <w:r>
        <w:rPr>
          <w:rFonts w:ascii="Times New Roman" w:hAnsi="Times New Roman" w:cs="Times New Roman"/>
          <w:sz w:val="24"/>
          <w:szCs w:val="24"/>
        </w:rPr>
        <w:t xml:space="preserve">in </w:t>
      </w:r>
      <w:r w:rsidR="002774B2">
        <w:rPr>
          <w:rFonts w:ascii="Times New Roman" w:hAnsi="Times New Roman" w:cs="Times New Roman"/>
          <w:sz w:val="24"/>
          <w:szCs w:val="24"/>
        </w:rPr>
        <w:t>2021</w:t>
      </w:r>
      <w:r>
        <w:rPr>
          <w:rFonts w:ascii="Times New Roman" w:hAnsi="Times New Roman" w:cs="Times New Roman"/>
          <w:sz w:val="24"/>
          <w:szCs w:val="24"/>
        </w:rPr>
        <w:t xml:space="preserve"> but retroactively starting on 1</w:t>
      </w:r>
      <w:r w:rsidR="0007303D" w:rsidRPr="00795242">
        <w:rPr>
          <w:rFonts w:ascii="Times New Roman" w:hAnsi="Times New Roman" w:cs="Times New Roman"/>
          <w:sz w:val="24"/>
          <w:szCs w:val="24"/>
        </w:rPr>
        <w:t xml:space="preserve"> January 202</w:t>
      </w:r>
      <w:r w:rsidR="00A90A3D">
        <w:rPr>
          <w:rFonts w:ascii="Times New Roman" w:hAnsi="Times New Roman" w:cs="Times New Roman"/>
          <w:sz w:val="24"/>
          <w:szCs w:val="24"/>
        </w:rPr>
        <w:t>0</w:t>
      </w:r>
      <w:r w:rsidR="0007303D" w:rsidRPr="00795242">
        <w:rPr>
          <w:rFonts w:ascii="Times New Roman" w:hAnsi="Times New Roman" w:cs="Times New Roman"/>
          <w:sz w:val="24"/>
          <w:szCs w:val="24"/>
        </w:rPr>
        <w:t>. The provis</w:t>
      </w:r>
      <w:r>
        <w:rPr>
          <w:rFonts w:ascii="Times New Roman" w:hAnsi="Times New Roman" w:cs="Times New Roman"/>
          <w:sz w:val="24"/>
          <w:szCs w:val="24"/>
        </w:rPr>
        <w:t>o</w:t>
      </w:r>
      <w:r w:rsidR="0007303D" w:rsidRPr="00795242">
        <w:rPr>
          <w:rFonts w:ascii="Times New Roman" w:hAnsi="Times New Roman" w:cs="Times New Roman"/>
          <w:sz w:val="24"/>
          <w:szCs w:val="24"/>
        </w:rPr>
        <w:t xml:space="preserve"> reads</w:t>
      </w:r>
      <w:r>
        <w:rPr>
          <w:rFonts w:ascii="Times New Roman" w:hAnsi="Times New Roman" w:cs="Times New Roman"/>
          <w:sz w:val="24"/>
          <w:szCs w:val="24"/>
        </w:rPr>
        <w:t>:</w:t>
      </w:r>
    </w:p>
    <w:p w:rsidR="00823131" w:rsidRDefault="0007303D" w:rsidP="00480308">
      <w:pPr>
        <w:pStyle w:val="ListParagraph"/>
        <w:spacing w:line="240" w:lineRule="auto"/>
        <w:ind w:left="1440"/>
        <w:jc w:val="both"/>
        <w:rPr>
          <w:rFonts w:ascii="Times New Roman" w:hAnsi="Times New Roman" w:cs="Times New Roman"/>
          <w:iCs/>
          <w:sz w:val="24"/>
          <w:szCs w:val="24"/>
        </w:rPr>
      </w:pPr>
      <w:r w:rsidRPr="006817CB">
        <w:rPr>
          <w:rFonts w:ascii="Times New Roman" w:hAnsi="Times New Roman" w:cs="Times New Roman"/>
          <w:iCs/>
          <w:sz w:val="24"/>
          <w:szCs w:val="24"/>
        </w:rPr>
        <w:t>“</w:t>
      </w:r>
      <w:r w:rsidRPr="00480308">
        <w:rPr>
          <w:rFonts w:ascii="Times New Roman" w:hAnsi="Times New Roman" w:cs="Times New Roman"/>
          <w:iCs/>
        </w:rPr>
        <w:t xml:space="preserve">Provided that any person holding a special mining lease in terms of the Mines </w:t>
      </w:r>
      <w:r w:rsidR="006817CB" w:rsidRPr="00480308">
        <w:rPr>
          <w:rFonts w:ascii="Times New Roman" w:hAnsi="Times New Roman" w:cs="Times New Roman"/>
          <w:iCs/>
        </w:rPr>
        <w:t>and Minerals Act</w:t>
      </w:r>
      <w:r w:rsidRPr="00480308">
        <w:rPr>
          <w:rFonts w:ascii="Times New Roman" w:hAnsi="Times New Roman" w:cs="Times New Roman"/>
          <w:iCs/>
        </w:rPr>
        <w:t xml:space="preserve"> who commences development for mining purposes in the year of assessment for income tax purposes beginning on the 1st January, 2020, shall be deemed for the purpose of this subsection to qualify for registration under this Act with effect from the 1st January, 2020.</w:t>
      </w:r>
      <w:r w:rsidRPr="006817CB">
        <w:rPr>
          <w:rFonts w:ascii="Times New Roman" w:hAnsi="Times New Roman" w:cs="Times New Roman"/>
          <w:iCs/>
          <w:sz w:val="24"/>
          <w:szCs w:val="24"/>
        </w:rPr>
        <w:t xml:space="preserve">” </w:t>
      </w:r>
    </w:p>
    <w:p w:rsidR="00823131" w:rsidRDefault="00823131" w:rsidP="00823131">
      <w:pPr>
        <w:spacing w:line="360" w:lineRule="auto"/>
        <w:ind w:left="720" w:hanging="720"/>
        <w:jc w:val="both"/>
        <w:rPr>
          <w:rFonts w:ascii="Times New Roman" w:hAnsi="Times New Roman" w:cs="Times New Roman"/>
          <w:sz w:val="24"/>
          <w:szCs w:val="24"/>
        </w:rPr>
      </w:pPr>
      <w:r>
        <w:rPr>
          <w:rFonts w:ascii="Times New Roman" w:hAnsi="Times New Roman" w:cs="Times New Roman"/>
          <w:iCs/>
          <w:sz w:val="24"/>
          <w:szCs w:val="24"/>
        </w:rPr>
        <w:t>[</w:t>
      </w:r>
      <w:r w:rsidR="00C43D6A">
        <w:rPr>
          <w:rFonts w:ascii="Times New Roman" w:hAnsi="Times New Roman" w:cs="Times New Roman"/>
          <w:iCs/>
          <w:sz w:val="24"/>
          <w:szCs w:val="24"/>
        </w:rPr>
        <w:t>37</w:t>
      </w:r>
      <w:r>
        <w:rPr>
          <w:rFonts w:ascii="Times New Roman" w:hAnsi="Times New Roman" w:cs="Times New Roman"/>
          <w:iCs/>
          <w:sz w:val="24"/>
          <w:szCs w:val="24"/>
        </w:rPr>
        <w:t>]</w:t>
      </w:r>
      <w:r>
        <w:rPr>
          <w:rFonts w:ascii="Times New Roman" w:hAnsi="Times New Roman" w:cs="Times New Roman"/>
          <w:iCs/>
          <w:sz w:val="24"/>
          <w:szCs w:val="24"/>
        </w:rPr>
        <w:tab/>
      </w:r>
      <w:r>
        <w:rPr>
          <w:rFonts w:ascii="Times New Roman" w:hAnsi="Times New Roman" w:cs="Times New Roman"/>
          <w:sz w:val="24"/>
          <w:szCs w:val="24"/>
        </w:rPr>
        <w:t>I</w:t>
      </w:r>
      <w:r w:rsidR="0007303D" w:rsidRPr="006817CB">
        <w:rPr>
          <w:rFonts w:ascii="Times New Roman" w:hAnsi="Times New Roman" w:cs="Times New Roman"/>
          <w:sz w:val="24"/>
          <w:szCs w:val="24"/>
        </w:rPr>
        <w:t>t is not in dispute that the appellant qualifie</w:t>
      </w:r>
      <w:r w:rsidR="002774B2">
        <w:rPr>
          <w:rFonts w:ascii="Times New Roman" w:hAnsi="Times New Roman" w:cs="Times New Roman"/>
          <w:sz w:val="24"/>
          <w:szCs w:val="24"/>
        </w:rPr>
        <w:t>d</w:t>
      </w:r>
      <w:r w:rsidR="0007303D" w:rsidRPr="006817CB">
        <w:rPr>
          <w:rFonts w:ascii="Times New Roman" w:hAnsi="Times New Roman" w:cs="Times New Roman"/>
          <w:sz w:val="24"/>
          <w:szCs w:val="24"/>
        </w:rPr>
        <w:t xml:space="preserve"> as a registered operator for the relevant period by virtue of the deeming provision</w:t>
      </w:r>
      <w:r w:rsidR="006817CB">
        <w:rPr>
          <w:rFonts w:ascii="Times New Roman" w:hAnsi="Times New Roman" w:cs="Times New Roman"/>
          <w:sz w:val="24"/>
          <w:szCs w:val="24"/>
        </w:rPr>
        <w:t xml:space="preserve"> aforesaid</w:t>
      </w:r>
      <w:r w:rsidR="0007303D" w:rsidRPr="006817CB">
        <w:rPr>
          <w:rFonts w:ascii="Times New Roman" w:hAnsi="Times New Roman" w:cs="Times New Roman"/>
          <w:sz w:val="24"/>
          <w:szCs w:val="24"/>
        </w:rPr>
        <w:t>.</w:t>
      </w:r>
      <w:r>
        <w:rPr>
          <w:rFonts w:ascii="Times New Roman" w:hAnsi="Times New Roman" w:cs="Times New Roman"/>
          <w:sz w:val="24"/>
          <w:szCs w:val="24"/>
        </w:rPr>
        <w:t xml:space="preserve"> </w:t>
      </w:r>
    </w:p>
    <w:p w:rsidR="00823131" w:rsidRDefault="00823131" w:rsidP="008231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38</w:t>
      </w:r>
      <w:r>
        <w:rPr>
          <w:rFonts w:ascii="Times New Roman" w:hAnsi="Times New Roman" w:cs="Times New Roman"/>
          <w:sz w:val="24"/>
          <w:szCs w:val="24"/>
        </w:rPr>
        <w:t>]</w:t>
      </w:r>
      <w:r>
        <w:rPr>
          <w:rFonts w:ascii="Times New Roman" w:hAnsi="Times New Roman" w:cs="Times New Roman"/>
          <w:sz w:val="24"/>
          <w:szCs w:val="24"/>
        </w:rPr>
        <w:tab/>
        <w:t>I</w:t>
      </w:r>
      <w:r w:rsidR="0007303D" w:rsidRPr="00823131">
        <w:rPr>
          <w:rFonts w:ascii="Times New Roman" w:hAnsi="Times New Roman" w:cs="Times New Roman"/>
          <w:sz w:val="24"/>
          <w:szCs w:val="24"/>
        </w:rPr>
        <w:t xml:space="preserve">t is </w:t>
      </w:r>
      <w:r>
        <w:rPr>
          <w:rFonts w:ascii="Times New Roman" w:hAnsi="Times New Roman" w:cs="Times New Roman"/>
          <w:sz w:val="24"/>
          <w:szCs w:val="24"/>
        </w:rPr>
        <w:t xml:space="preserve">also not in dispute that the </w:t>
      </w:r>
      <w:r w:rsidR="0007303D" w:rsidRPr="00823131">
        <w:rPr>
          <w:rFonts w:ascii="Times New Roman" w:hAnsi="Times New Roman" w:cs="Times New Roman"/>
          <w:sz w:val="24"/>
          <w:szCs w:val="24"/>
        </w:rPr>
        <w:t>tax invoices submitted by the appellant in support of its refund claim</w:t>
      </w:r>
      <w:r>
        <w:rPr>
          <w:rFonts w:ascii="Times New Roman" w:hAnsi="Times New Roman" w:cs="Times New Roman"/>
          <w:sz w:val="24"/>
          <w:szCs w:val="24"/>
        </w:rPr>
        <w:t xml:space="preserve">s, including </w:t>
      </w:r>
      <w:r w:rsidR="0007303D" w:rsidRPr="00823131">
        <w:rPr>
          <w:rFonts w:ascii="Times New Roman" w:hAnsi="Times New Roman" w:cs="Times New Roman"/>
          <w:b/>
          <w:sz w:val="24"/>
          <w:szCs w:val="24"/>
        </w:rPr>
        <w:t>20B5</w:t>
      </w:r>
      <w:r>
        <w:rPr>
          <w:rFonts w:ascii="Times New Roman" w:hAnsi="Times New Roman" w:cs="Times New Roman"/>
          <w:sz w:val="24"/>
          <w:szCs w:val="24"/>
        </w:rPr>
        <w:t xml:space="preserve">, </w:t>
      </w:r>
      <w:r w:rsidR="0007303D" w:rsidRPr="00823131">
        <w:rPr>
          <w:rFonts w:ascii="Times New Roman" w:hAnsi="Times New Roman" w:cs="Times New Roman"/>
          <w:sz w:val="24"/>
          <w:szCs w:val="24"/>
        </w:rPr>
        <w:t>did not comply in</w:t>
      </w:r>
      <w:r>
        <w:rPr>
          <w:rFonts w:ascii="Times New Roman" w:hAnsi="Times New Roman" w:cs="Times New Roman"/>
          <w:sz w:val="24"/>
          <w:szCs w:val="24"/>
        </w:rPr>
        <w:t xml:space="preserve"> full with the requirements of s </w:t>
      </w:r>
      <w:r w:rsidR="0007303D" w:rsidRPr="00823131">
        <w:rPr>
          <w:rFonts w:ascii="Times New Roman" w:hAnsi="Times New Roman" w:cs="Times New Roman"/>
          <w:sz w:val="24"/>
          <w:szCs w:val="24"/>
        </w:rPr>
        <w:t>20</w:t>
      </w:r>
      <w:r>
        <w:rPr>
          <w:rFonts w:ascii="Times New Roman" w:hAnsi="Times New Roman" w:cs="Times New Roman"/>
          <w:sz w:val="24"/>
          <w:szCs w:val="24"/>
        </w:rPr>
        <w:t>[</w:t>
      </w:r>
      <w:r w:rsidR="0007303D" w:rsidRPr="00823131">
        <w:rPr>
          <w:rFonts w:ascii="Times New Roman" w:hAnsi="Times New Roman" w:cs="Times New Roman"/>
          <w:sz w:val="24"/>
          <w:szCs w:val="24"/>
        </w:rPr>
        <w:t>4</w:t>
      </w:r>
      <w:r>
        <w:rPr>
          <w:rFonts w:ascii="Times New Roman" w:hAnsi="Times New Roman" w:cs="Times New Roman"/>
          <w:sz w:val="24"/>
          <w:szCs w:val="24"/>
        </w:rPr>
        <w:t>]</w:t>
      </w:r>
      <w:r w:rsidR="002774B2">
        <w:rPr>
          <w:rFonts w:ascii="Times New Roman" w:hAnsi="Times New Roman" w:cs="Times New Roman"/>
          <w:sz w:val="24"/>
          <w:szCs w:val="24"/>
        </w:rPr>
        <w:t>. I</w:t>
      </w:r>
      <w:r w:rsidR="0007303D" w:rsidRPr="00823131">
        <w:rPr>
          <w:rFonts w:ascii="Times New Roman" w:hAnsi="Times New Roman" w:cs="Times New Roman"/>
          <w:sz w:val="24"/>
          <w:szCs w:val="24"/>
        </w:rPr>
        <w:t xml:space="preserve">n particular, they did not bear the appellant’s </w:t>
      </w:r>
      <w:r w:rsidR="00480308">
        <w:rPr>
          <w:rFonts w:ascii="Times New Roman" w:hAnsi="Times New Roman" w:cs="Times New Roman"/>
          <w:sz w:val="24"/>
          <w:szCs w:val="24"/>
        </w:rPr>
        <w:t>VAT</w:t>
      </w:r>
      <w:r w:rsidR="0007303D" w:rsidRPr="00823131">
        <w:rPr>
          <w:rFonts w:ascii="Times New Roman" w:hAnsi="Times New Roman" w:cs="Times New Roman"/>
          <w:sz w:val="24"/>
          <w:szCs w:val="24"/>
        </w:rPr>
        <w:t xml:space="preserve"> registration number</w:t>
      </w:r>
      <w:r>
        <w:rPr>
          <w:rFonts w:ascii="Times New Roman" w:hAnsi="Times New Roman" w:cs="Times New Roman"/>
          <w:sz w:val="24"/>
          <w:szCs w:val="24"/>
        </w:rPr>
        <w:t xml:space="preserve"> [because the appellant had been de-registered at that time]</w:t>
      </w:r>
      <w:r w:rsidR="0007303D" w:rsidRPr="00823131">
        <w:rPr>
          <w:rFonts w:ascii="Times New Roman" w:hAnsi="Times New Roman" w:cs="Times New Roman"/>
          <w:sz w:val="24"/>
          <w:szCs w:val="24"/>
        </w:rPr>
        <w:t>.</w:t>
      </w:r>
      <w:r w:rsidRPr="00823131">
        <w:rPr>
          <w:rFonts w:ascii="Times New Roman" w:hAnsi="Times New Roman" w:cs="Times New Roman"/>
          <w:sz w:val="24"/>
          <w:szCs w:val="24"/>
        </w:rPr>
        <w:t xml:space="preserve"> </w:t>
      </w:r>
    </w:p>
    <w:p w:rsidR="00823131" w:rsidRDefault="00823131" w:rsidP="0082313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39</w:t>
      </w:r>
      <w:r>
        <w:rPr>
          <w:rFonts w:ascii="Times New Roman" w:hAnsi="Times New Roman" w:cs="Times New Roman"/>
          <w:sz w:val="24"/>
          <w:szCs w:val="24"/>
        </w:rPr>
        <w:t>]</w:t>
      </w:r>
      <w:r>
        <w:rPr>
          <w:rFonts w:ascii="Times New Roman" w:hAnsi="Times New Roman" w:cs="Times New Roman"/>
          <w:sz w:val="24"/>
          <w:szCs w:val="24"/>
        </w:rPr>
        <w:tab/>
      </w:r>
      <w:r w:rsidR="002774B2">
        <w:rPr>
          <w:rFonts w:ascii="Times New Roman" w:hAnsi="Times New Roman" w:cs="Times New Roman"/>
          <w:sz w:val="24"/>
          <w:szCs w:val="24"/>
        </w:rPr>
        <w:t>It is common cause that t</w:t>
      </w:r>
      <w:r>
        <w:rPr>
          <w:rFonts w:ascii="Times New Roman" w:hAnsi="Times New Roman" w:cs="Times New Roman"/>
          <w:sz w:val="24"/>
          <w:szCs w:val="24"/>
        </w:rPr>
        <w:t>he responde</w:t>
      </w:r>
      <w:r w:rsidR="00A90A3D">
        <w:rPr>
          <w:rFonts w:ascii="Times New Roman" w:hAnsi="Times New Roman" w:cs="Times New Roman"/>
          <w:sz w:val="24"/>
          <w:szCs w:val="24"/>
        </w:rPr>
        <w:t>nt</w:t>
      </w:r>
      <w:r>
        <w:rPr>
          <w:rFonts w:ascii="Times New Roman" w:hAnsi="Times New Roman" w:cs="Times New Roman"/>
          <w:sz w:val="24"/>
          <w:szCs w:val="24"/>
        </w:rPr>
        <w:t xml:space="preserve"> did refund claims </w:t>
      </w:r>
      <w:r w:rsidRPr="00823131">
        <w:rPr>
          <w:rFonts w:ascii="Times New Roman" w:hAnsi="Times New Roman" w:cs="Times New Roman"/>
          <w:b/>
          <w:sz w:val="24"/>
          <w:szCs w:val="24"/>
        </w:rPr>
        <w:t>20B1</w:t>
      </w:r>
      <w:r>
        <w:rPr>
          <w:rFonts w:ascii="Times New Roman" w:hAnsi="Times New Roman" w:cs="Times New Roman"/>
          <w:sz w:val="24"/>
          <w:szCs w:val="24"/>
        </w:rPr>
        <w:t xml:space="preserve"> to </w:t>
      </w:r>
      <w:r w:rsidRPr="00823131">
        <w:rPr>
          <w:rFonts w:ascii="Times New Roman" w:hAnsi="Times New Roman" w:cs="Times New Roman"/>
          <w:b/>
          <w:sz w:val="24"/>
          <w:szCs w:val="24"/>
        </w:rPr>
        <w:t>20B4</w:t>
      </w:r>
      <w:r>
        <w:rPr>
          <w:rFonts w:ascii="Times New Roman" w:hAnsi="Times New Roman" w:cs="Times New Roman"/>
          <w:sz w:val="24"/>
          <w:szCs w:val="24"/>
        </w:rPr>
        <w:t xml:space="preserve"> then </w:t>
      </w:r>
      <w:r w:rsidR="002774B2">
        <w:rPr>
          <w:rFonts w:ascii="Times New Roman" w:hAnsi="Times New Roman" w:cs="Times New Roman"/>
          <w:sz w:val="24"/>
          <w:szCs w:val="24"/>
        </w:rPr>
        <w:t xml:space="preserve">subsequently </w:t>
      </w:r>
      <w:r>
        <w:rPr>
          <w:rFonts w:ascii="Times New Roman" w:hAnsi="Times New Roman" w:cs="Times New Roman"/>
          <w:sz w:val="24"/>
          <w:szCs w:val="24"/>
        </w:rPr>
        <w:t xml:space="preserve">raised a query seeing the enormity of the claims. </w:t>
      </w:r>
    </w:p>
    <w:p w:rsidR="00480308" w:rsidRDefault="000E5AF2" w:rsidP="000E5AF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40</w:t>
      </w:r>
      <w:r>
        <w:rPr>
          <w:rFonts w:ascii="Times New Roman" w:hAnsi="Times New Roman" w:cs="Times New Roman"/>
          <w:sz w:val="24"/>
          <w:szCs w:val="24"/>
        </w:rPr>
        <w:t>]</w:t>
      </w:r>
      <w:r>
        <w:rPr>
          <w:rFonts w:ascii="Times New Roman" w:hAnsi="Times New Roman" w:cs="Times New Roman"/>
          <w:sz w:val="24"/>
          <w:szCs w:val="24"/>
        </w:rPr>
        <w:tab/>
      </w:r>
      <w:r w:rsidR="00823131" w:rsidRPr="006817CB">
        <w:rPr>
          <w:rFonts w:ascii="Times New Roman" w:hAnsi="Times New Roman" w:cs="Times New Roman"/>
          <w:sz w:val="24"/>
          <w:szCs w:val="24"/>
        </w:rPr>
        <w:t xml:space="preserve">The </w:t>
      </w:r>
      <w:r w:rsidR="002774B2">
        <w:rPr>
          <w:rFonts w:ascii="Times New Roman" w:hAnsi="Times New Roman" w:cs="Times New Roman"/>
          <w:sz w:val="24"/>
          <w:szCs w:val="24"/>
        </w:rPr>
        <w:t xml:space="preserve">crisp </w:t>
      </w:r>
      <w:r w:rsidR="00823131" w:rsidRPr="006817CB">
        <w:rPr>
          <w:rFonts w:ascii="Times New Roman" w:hAnsi="Times New Roman" w:cs="Times New Roman"/>
          <w:sz w:val="24"/>
          <w:szCs w:val="24"/>
        </w:rPr>
        <w:t xml:space="preserve">dispute </w:t>
      </w:r>
      <w:r w:rsidR="002774B2">
        <w:rPr>
          <w:rFonts w:ascii="Times New Roman" w:hAnsi="Times New Roman" w:cs="Times New Roman"/>
          <w:sz w:val="24"/>
          <w:szCs w:val="24"/>
        </w:rPr>
        <w:t xml:space="preserve">before the court </w:t>
      </w:r>
      <w:r w:rsidR="00823131">
        <w:rPr>
          <w:rFonts w:ascii="Times New Roman" w:hAnsi="Times New Roman" w:cs="Times New Roman"/>
          <w:sz w:val="24"/>
          <w:szCs w:val="24"/>
        </w:rPr>
        <w:t>is</w:t>
      </w:r>
      <w:r w:rsidR="00823131" w:rsidRPr="006817CB">
        <w:rPr>
          <w:rFonts w:ascii="Times New Roman" w:hAnsi="Times New Roman" w:cs="Times New Roman"/>
          <w:sz w:val="24"/>
          <w:szCs w:val="24"/>
        </w:rPr>
        <w:t xml:space="preserve"> whether the invoices submitted, though technically non-compliant, may nevertheless be accepted as sufficient for purposes of the input tax refund claimed.</w:t>
      </w:r>
      <w:r>
        <w:rPr>
          <w:rFonts w:ascii="Times New Roman" w:hAnsi="Times New Roman" w:cs="Times New Roman"/>
          <w:sz w:val="24"/>
          <w:szCs w:val="24"/>
        </w:rPr>
        <w:t xml:space="preserve"> </w:t>
      </w:r>
    </w:p>
    <w:p w:rsidR="0007303D" w:rsidRDefault="00480308" w:rsidP="000E5AF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C43D6A">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r>
      <w:r w:rsidR="000E5AF2">
        <w:rPr>
          <w:rFonts w:ascii="Times New Roman" w:hAnsi="Times New Roman" w:cs="Times New Roman"/>
          <w:sz w:val="24"/>
          <w:szCs w:val="24"/>
        </w:rPr>
        <w:t>The resolution of the dispute lies i</w:t>
      </w:r>
      <w:r w:rsidR="0007303D" w:rsidRPr="00795242">
        <w:rPr>
          <w:rFonts w:ascii="Times New Roman" w:hAnsi="Times New Roman" w:cs="Times New Roman"/>
          <w:sz w:val="24"/>
          <w:szCs w:val="24"/>
        </w:rPr>
        <w:t>n reconciling statutory compliance requirements with the retrospective deeming effect introduced by the 2021 amendment</w:t>
      </w:r>
      <w:r w:rsidR="000E5AF2">
        <w:rPr>
          <w:rFonts w:ascii="Times New Roman" w:hAnsi="Times New Roman" w:cs="Times New Roman"/>
          <w:sz w:val="24"/>
          <w:szCs w:val="24"/>
        </w:rPr>
        <w:t xml:space="preserve"> to the Act</w:t>
      </w:r>
      <w:r w:rsidR="0007303D" w:rsidRPr="00795242">
        <w:rPr>
          <w:rFonts w:ascii="Times New Roman" w:hAnsi="Times New Roman" w:cs="Times New Roman"/>
          <w:sz w:val="24"/>
          <w:szCs w:val="24"/>
        </w:rPr>
        <w:t>.</w:t>
      </w:r>
    </w:p>
    <w:p w:rsidR="00026A79" w:rsidRDefault="00674176" w:rsidP="00026A79">
      <w:pPr>
        <w:spacing w:line="360" w:lineRule="auto"/>
        <w:ind w:left="720" w:hanging="720"/>
        <w:jc w:val="both"/>
        <w:rPr>
          <w:rFonts w:ascii="Times New Roman" w:hAnsi="Times New Roman" w:cs="Times New Roman"/>
          <w:sz w:val="24"/>
          <w:szCs w:val="24"/>
        </w:rPr>
      </w:pPr>
      <w:r w:rsidRPr="00026A79">
        <w:rPr>
          <w:rFonts w:ascii="Times New Roman" w:hAnsi="Times New Roman" w:cs="Times New Roman"/>
          <w:sz w:val="24"/>
          <w:szCs w:val="24"/>
        </w:rPr>
        <w:t>[</w:t>
      </w:r>
      <w:r w:rsidR="00C43D6A">
        <w:rPr>
          <w:rFonts w:ascii="Times New Roman" w:hAnsi="Times New Roman" w:cs="Times New Roman"/>
          <w:sz w:val="24"/>
          <w:szCs w:val="24"/>
        </w:rPr>
        <w:t>42</w:t>
      </w:r>
      <w:r w:rsidRPr="00026A79">
        <w:rPr>
          <w:rFonts w:ascii="Times New Roman" w:hAnsi="Times New Roman" w:cs="Times New Roman"/>
          <w:sz w:val="24"/>
          <w:szCs w:val="24"/>
        </w:rPr>
        <w:t>]</w:t>
      </w:r>
      <w:r w:rsidRPr="00026A79">
        <w:rPr>
          <w:rFonts w:ascii="Times New Roman" w:hAnsi="Times New Roman" w:cs="Times New Roman"/>
          <w:sz w:val="24"/>
          <w:szCs w:val="24"/>
        </w:rPr>
        <w:tab/>
        <w:t xml:space="preserve">The peripheral issue whether or not there were certain invoices that were duplicated fizzled away during oral submissions. There were no such duplications. </w:t>
      </w:r>
      <w:r w:rsidR="00026A79">
        <w:rPr>
          <w:rFonts w:ascii="Times New Roman" w:hAnsi="Times New Roman" w:cs="Times New Roman"/>
          <w:sz w:val="24"/>
          <w:szCs w:val="24"/>
        </w:rPr>
        <w:t>T</w:t>
      </w:r>
      <w:r w:rsidR="00026A79" w:rsidRPr="00026A79">
        <w:rPr>
          <w:rFonts w:ascii="Times New Roman" w:hAnsi="Times New Roman" w:cs="Times New Roman"/>
          <w:sz w:val="24"/>
          <w:szCs w:val="24"/>
        </w:rPr>
        <w:t>he invoices in question reflect</w:t>
      </w:r>
      <w:r w:rsidR="00026A79">
        <w:rPr>
          <w:rFonts w:ascii="Times New Roman" w:hAnsi="Times New Roman" w:cs="Times New Roman"/>
          <w:sz w:val="24"/>
          <w:szCs w:val="24"/>
        </w:rPr>
        <w:t>ed</w:t>
      </w:r>
      <w:r w:rsidR="00026A79" w:rsidRPr="00026A79">
        <w:rPr>
          <w:rFonts w:ascii="Times New Roman" w:hAnsi="Times New Roman" w:cs="Times New Roman"/>
          <w:sz w:val="24"/>
          <w:szCs w:val="24"/>
        </w:rPr>
        <w:t xml:space="preserve"> a single taxable event split than a repeated claim for the same supply.</w:t>
      </w:r>
      <w:r w:rsidR="00026A79">
        <w:rPr>
          <w:rFonts w:ascii="Times New Roman" w:hAnsi="Times New Roman" w:cs="Times New Roman"/>
          <w:sz w:val="24"/>
          <w:szCs w:val="24"/>
        </w:rPr>
        <w:t xml:space="preserve"> There is no </w:t>
      </w:r>
      <w:r w:rsidR="00351009">
        <w:rPr>
          <w:rFonts w:ascii="Times New Roman" w:hAnsi="Times New Roman" w:cs="Times New Roman"/>
          <w:sz w:val="24"/>
          <w:szCs w:val="24"/>
        </w:rPr>
        <w:t xml:space="preserve">question of double dipping. </w:t>
      </w:r>
    </w:p>
    <w:p w:rsidR="000E5AF2" w:rsidRDefault="000E5AF2" w:rsidP="000E5AF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43</w:t>
      </w:r>
      <w:r>
        <w:rPr>
          <w:rFonts w:ascii="Times New Roman" w:hAnsi="Times New Roman" w:cs="Times New Roman"/>
          <w:sz w:val="24"/>
          <w:szCs w:val="24"/>
        </w:rPr>
        <w:t>]</w:t>
      </w:r>
      <w:r>
        <w:rPr>
          <w:rFonts w:ascii="Times New Roman" w:hAnsi="Times New Roman" w:cs="Times New Roman"/>
          <w:sz w:val="24"/>
          <w:szCs w:val="24"/>
        </w:rPr>
        <w:tab/>
        <w:t>To recap: t</w:t>
      </w:r>
      <w:r w:rsidR="0007303D" w:rsidRPr="00795242">
        <w:rPr>
          <w:rFonts w:ascii="Times New Roman" w:hAnsi="Times New Roman" w:cs="Times New Roman"/>
          <w:sz w:val="24"/>
          <w:szCs w:val="24"/>
        </w:rPr>
        <w:t xml:space="preserve">he appellant contends that the tax invoices submitted in support of its input tax claim </w:t>
      </w:r>
      <w:r w:rsidR="0007303D" w:rsidRPr="000E5AF2">
        <w:rPr>
          <w:rFonts w:ascii="Times New Roman" w:hAnsi="Times New Roman" w:cs="Times New Roman"/>
          <w:b/>
          <w:sz w:val="24"/>
          <w:szCs w:val="24"/>
        </w:rPr>
        <w:t>20B5</w:t>
      </w:r>
      <w:r w:rsidR="0007303D" w:rsidRPr="00795242">
        <w:rPr>
          <w:rFonts w:ascii="Times New Roman" w:hAnsi="Times New Roman" w:cs="Times New Roman"/>
          <w:sz w:val="24"/>
          <w:szCs w:val="24"/>
        </w:rPr>
        <w:t xml:space="preserve">, though lacking its </w:t>
      </w:r>
      <w:r w:rsidR="00480308">
        <w:rPr>
          <w:rFonts w:ascii="Times New Roman" w:hAnsi="Times New Roman" w:cs="Times New Roman"/>
          <w:sz w:val="24"/>
          <w:szCs w:val="24"/>
        </w:rPr>
        <w:t>VAT</w:t>
      </w:r>
      <w:r w:rsidR="0007303D" w:rsidRPr="00795242">
        <w:rPr>
          <w:rFonts w:ascii="Times New Roman" w:hAnsi="Times New Roman" w:cs="Times New Roman"/>
          <w:sz w:val="24"/>
          <w:szCs w:val="24"/>
        </w:rPr>
        <w:t xml:space="preserve"> registration number, and therefore, on the face of it, no</w:t>
      </w:r>
      <w:r w:rsidR="00480308">
        <w:rPr>
          <w:rFonts w:ascii="Times New Roman" w:hAnsi="Times New Roman" w:cs="Times New Roman"/>
          <w:sz w:val="24"/>
          <w:szCs w:val="24"/>
        </w:rPr>
        <w:t xml:space="preserve">t being </w:t>
      </w:r>
      <w:r w:rsidR="0007303D" w:rsidRPr="00795242">
        <w:rPr>
          <w:rFonts w:ascii="Times New Roman" w:hAnsi="Times New Roman" w:cs="Times New Roman"/>
          <w:sz w:val="24"/>
          <w:szCs w:val="24"/>
        </w:rPr>
        <w:t xml:space="preserve">compliant with </w:t>
      </w:r>
      <w:r>
        <w:rPr>
          <w:rFonts w:ascii="Times New Roman" w:hAnsi="Times New Roman" w:cs="Times New Roman"/>
          <w:sz w:val="24"/>
          <w:szCs w:val="24"/>
        </w:rPr>
        <w:t xml:space="preserve">s </w:t>
      </w:r>
      <w:r w:rsidR="0007303D" w:rsidRPr="00795242">
        <w:rPr>
          <w:rFonts w:ascii="Times New Roman" w:hAnsi="Times New Roman" w:cs="Times New Roman"/>
          <w:sz w:val="24"/>
          <w:szCs w:val="24"/>
        </w:rPr>
        <w:t>20</w:t>
      </w:r>
      <w:r>
        <w:rPr>
          <w:rFonts w:ascii="Times New Roman" w:hAnsi="Times New Roman" w:cs="Times New Roman"/>
          <w:sz w:val="24"/>
          <w:szCs w:val="24"/>
        </w:rPr>
        <w:t>[</w:t>
      </w:r>
      <w:r w:rsidR="0007303D" w:rsidRPr="00795242">
        <w:rPr>
          <w:rFonts w:ascii="Times New Roman" w:hAnsi="Times New Roman" w:cs="Times New Roman"/>
          <w:sz w:val="24"/>
          <w:szCs w:val="24"/>
        </w:rPr>
        <w:t>4</w:t>
      </w:r>
      <w:r>
        <w:rPr>
          <w:rFonts w:ascii="Times New Roman" w:hAnsi="Times New Roman" w:cs="Times New Roman"/>
          <w:sz w:val="24"/>
          <w:szCs w:val="24"/>
        </w:rPr>
        <w:t>]</w:t>
      </w:r>
      <w:r w:rsidR="0007303D" w:rsidRPr="00795242">
        <w:rPr>
          <w:rFonts w:ascii="Times New Roman" w:hAnsi="Times New Roman" w:cs="Times New Roman"/>
          <w:sz w:val="24"/>
          <w:szCs w:val="24"/>
        </w:rPr>
        <w:t xml:space="preserve"> of the Act, should nonetheless</w:t>
      </w:r>
      <w:r>
        <w:rPr>
          <w:rFonts w:ascii="Times New Roman" w:hAnsi="Times New Roman" w:cs="Times New Roman"/>
          <w:sz w:val="24"/>
          <w:szCs w:val="24"/>
        </w:rPr>
        <w:t>,</w:t>
      </w:r>
      <w:r w:rsidR="0007303D" w:rsidRPr="00795242">
        <w:rPr>
          <w:rFonts w:ascii="Times New Roman" w:hAnsi="Times New Roman" w:cs="Times New Roman"/>
          <w:sz w:val="24"/>
          <w:szCs w:val="24"/>
        </w:rPr>
        <w:t xml:space="preserve"> be accepted</w:t>
      </w:r>
      <w:r w:rsidR="00480308">
        <w:rPr>
          <w:rFonts w:ascii="Times New Roman" w:hAnsi="Times New Roman" w:cs="Times New Roman"/>
          <w:sz w:val="24"/>
          <w:szCs w:val="24"/>
        </w:rPr>
        <w:t>.</w:t>
      </w:r>
      <w:r w:rsidR="0007303D" w:rsidRPr="00795242">
        <w:rPr>
          <w:rFonts w:ascii="Times New Roman" w:hAnsi="Times New Roman" w:cs="Times New Roman"/>
          <w:sz w:val="24"/>
          <w:szCs w:val="24"/>
        </w:rPr>
        <w:t xml:space="preserve"> </w:t>
      </w:r>
      <w:r w:rsidR="00480308">
        <w:rPr>
          <w:rFonts w:ascii="Times New Roman" w:hAnsi="Times New Roman" w:cs="Times New Roman"/>
          <w:sz w:val="24"/>
          <w:szCs w:val="24"/>
        </w:rPr>
        <w:t>T</w:t>
      </w:r>
      <w:r>
        <w:rPr>
          <w:rFonts w:ascii="Times New Roman" w:hAnsi="Times New Roman" w:cs="Times New Roman"/>
          <w:sz w:val="24"/>
          <w:szCs w:val="24"/>
        </w:rPr>
        <w:t>o reject the claim on this basis would defeat the legislative intent</w:t>
      </w:r>
      <w:r w:rsidR="00480308">
        <w:rPr>
          <w:rFonts w:ascii="Times New Roman" w:hAnsi="Times New Roman" w:cs="Times New Roman"/>
          <w:sz w:val="24"/>
          <w:szCs w:val="24"/>
        </w:rPr>
        <w:t xml:space="preserve">. It is deemed </w:t>
      </w:r>
      <w:r>
        <w:rPr>
          <w:rFonts w:ascii="Times New Roman" w:hAnsi="Times New Roman" w:cs="Times New Roman"/>
          <w:sz w:val="24"/>
          <w:szCs w:val="24"/>
        </w:rPr>
        <w:t>to have been registered on 1 January 2020</w:t>
      </w:r>
      <w:r w:rsidR="00480308">
        <w:rPr>
          <w:rFonts w:ascii="Times New Roman" w:hAnsi="Times New Roman" w:cs="Times New Roman"/>
          <w:sz w:val="24"/>
          <w:szCs w:val="24"/>
        </w:rPr>
        <w:t>. T</w:t>
      </w:r>
      <w:r>
        <w:rPr>
          <w:rFonts w:ascii="Times New Roman" w:hAnsi="Times New Roman" w:cs="Times New Roman"/>
          <w:sz w:val="24"/>
          <w:szCs w:val="24"/>
        </w:rPr>
        <w:t xml:space="preserve">he absence of </w:t>
      </w:r>
      <w:r w:rsidR="00480308">
        <w:rPr>
          <w:rFonts w:ascii="Times New Roman" w:hAnsi="Times New Roman" w:cs="Times New Roman"/>
          <w:sz w:val="24"/>
          <w:szCs w:val="24"/>
        </w:rPr>
        <w:t>a</w:t>
      </w:r>
      <w:r>
        <w:rPr>
          <w:rFonts w:ascii="Times New Roman" w:hAnsi="Times New Roman" w:cs="Times New Roman"/>
          <w:sz w:val="24"/>
          <w:szCs w:val="24"/>
        </w:rPr>
        <w:t xml:space="preserve"> </w:t>
      </w:r>
      <w:r w:rsidR="00480308">
        <w:rPr>
          <w:rFonts w:ascii="Times New Roman" w:hAnsi="Times New Roman" w:cs="Times New Roman"/>
          <w:sz w:val="24"/>
          <w:szCs w:val="24"/>
        </w:rPr>
        <w:t>VAT</w:t>
      </w:r>
      <w:r>
        <w:rPr>
          <w:rFonts w:ascii="Times New Roman" w:hAnsi="Times New Roman" w:cs="Times New Roman"/>
          <w:sz w:val="24"/>
          <w:szCs w:val="24"/>
        </w:rPr>
        <w:t xml:space="preserve"> number was a natural and an unavoidable consequence of the retrospective registration.</w:t>
      </w:r>
    </w:p>
    <w:p w:rsidR="00052970" w:rsidRDefault="00052970" w:rsidP="0005297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44</w:t>
      </w:r>
      <w:r>
        <w:rPr>
          <w:rFonts w:ascii="Times New Roman" w:hAnsi="Times New Roman" w:cs="Times New Roman"/>
          <w:sz w:val="24"/>
          <w:szCs w:val="24"/>
        </w:rPr>
        <w:t>]</w:t>
      </w:r>
      <w:r>
        <w:rPr>
          <w:rFonts w:ascii="Times New Roman" w:hAnsi="Times New Roman" w:cs="Times New Roman"/>
          <w:sz w:val="24"/>
          <w:szCs w:val="24"/>
        </w:rPr>
        <w:tab/>
        <w:t>The a</w:t>
      </w:r>
      <w:r w:rsidRPr="00795242">
        <w:rPr>
          <w:rFonts w:ascii="Times New Roman" w:hAnsi="Times New Roman" w:cs="Times New Roman"/>
          <w:sz w:val="24"/>
          <w:szCs w:val="24"/>
        </w:rPr>
        <w:t xml:space="preserve">ppellant </w:t>
      </w:r>
      <w:r w:rsidR="00B64474">
        <w:rPr>
          <w:rFonts w:ascii="Times New Roman" w:hAnsi="Times New Roman" w:cs="Times New Roman"/>
          <w:sz w:val="24"/>
          <w:szCs w:val="24"/>
        </w:rPr>
        <w:t xml:space="preserve">goes further to argue that </w:t>
      </w:r>
      <w:r w:rsidRPr="00795242">
        <w:rPr>
          <w:rFonts w:ascii="Times New Roman" w:hAnsi="Times New Roman" w:cs="Times New Roman"/>
          <w:sz w:val="24"/>
          <w:szCs w:val="24"/>
        </w:rPr>
        <w:t>deeming provisions</w:t>
      </w:r>
      <w:r>
        <w:rPr>
          <w:rFonts w:ascii="Times New Roman" w:hAnsi="Times New Roman" w:cs="Times New Roman"/>
          <w:sz w:val="24"/>
          <w:szCs w:val="24"/>
        </w:rPr>
        <w:t xml:space="preserve"> in statutory</w:t>
      </w:r>
      <w:r w:rsidRPr="00795242">
        <w:rPr>
          <w:rFonts w:ascii="Times New Roman" w:hAnsi="Times New Roman" w:cs="Times New Roman"/>
          <w:sz w:val="24"/>
          <w:szCs w:val="24"/>
        </w:rPr>
        <w:t xml:space="preserve"> </w:t>
      </w:r>
      <w:r>
        <w:rPr>
          <w:rFonts w:ascii="Times New Roman" w:hAnsi="Times New Roman" w:cs="Times New Roman"/>
          <w:sz w:val="24"/>
          <w:szCs w:val="24"/>
        </w:rPr>
        <w:t xml:space="preserve">interpretation </w:t>
      </w:r>
      <w:r w:rsidRPr="00795242">
        <w:rPr>
          <w:rFonts w:ascii="Times New Roman" w:hAnsi="Times New Roman" w:cs="Times New Roman"/>
          <w:sz w:val="24"/>
          <w:szCs w:val="24"/>
        </w:rPr>
        <w:t>establish a statutory truth that overrides the actual facts.</w:t>
      </w:r>
      <w:r>
        <w:rPr>
          <w:rFonts w:ascii="Times New Roman" w:hAnsi="Times New Roman" w:cs="Times New Roman"/>
          <w:sz w:val="24"/>
          <w:szCs w:val="24"/>
        </w:rPr>
        <w:t xml:space="preserve"> W</w:t>
      </w:r>
      <w:r w:rsidRPr="00795242">
        <w:rPr>
          <w:rFonts w:ascii="Times New Roman" w:hAnsi="Times New Roman" w:cs="Times New Roman"/>
          <w:sz w:val="24"/>
          <w:szCs w:val="24"/>
        </w:rPr>
        <w:t xml:space="preserve">here something is </w:t>
      </w:r>
      <w:r>
        <w:rPr>
          <w:rFonts w:ascii="Times New Roman" w:hAnsi="Times New Roman" w:cs="Times New Roman"/>
          <w:sz w:val="24"/>
          <w:szCs w:val="24"/>
        </w:rPr>
        <w:t>‘</w:t>
      </w:r>
      <w:r w:rsidRPr="00D6663A">
        <w:rPr>
          <w:rFonts w:ascii="Times New Roman" w:hAnsi="Times New Roman" w:cs="Times New Roman"/>
          <w:bCs/>
          <w:iCs/>
          <w:sz w:val="24"/>
          <w:szCs w:val="24"/>
        </w:rPr>
        <w:t>deemed</w:t>
      </w:r>
      <w:r>
        <w:rPr>
          <w:rFonts w:ascii="Times New Roman" w:hAnsi="Times New Roman" w:cs="Times New Roman"/>
          <w:bCs/>
          <w:iCs/>
          <w:sz w:val="24"/>
          <w:szCs w:val="24"/>
        </w:rPr>
        <w:t>’</w:t>
      </w:r>
      <w:r w:rsidRPr="00D6663A">
        <w:rPr>
          <w:rFonts w:ascii="Times New Roman" w:hAnsi="Times New Roman" w:cs="Times New Roman"/>
          <w:bCs/>
          <w:iCs/>
          <w:sz w:val="24"/>
          <w:szCs w:val="24"/>
        </w:rPr>
        <w:t>,</w:t>
      </w:r>
      <w:r w:rsidRPr="00795242">
        <w:rPr>
          <w:rFonts w:ascii="Times New Roman" w:hAnsi="Times New Roman" w:cs="Times New Roman"/>
          <w:sz w:val="24"/>
          <w:szCs w:val="24"/>
        </w:rPr>
        <w:t xml:space="preserve"> it must be treated as valid and effective, even if factually untrue.</w:t>
      </w:r>
    </w:p>
    <w:p w:rsidR="0007303D" w:rsidRDefault="000E5AF2" w:rsidP="000E5AF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45</w:t>
      </w:r>
      <w:r>
        <w:rPr>
          <w:rFonts w:ascii="Times New Roman" w:hAnsi="Times New Roman" w:cs="Times New Roman"/>
          <w:sz w:val="24"/>
          <w:szCs w:val="24"/>
        </w:rPr>
        <w:t>]</w:t>
      </w:r>
      <w:r>
        <w:rPr>
          <w:rFonts w:ascii="Times New Roman" w:hAnsi="Times New Roman" w:cs="Times New Roman"/>
          <w:sz w:val="24"/>
          <w:szCs w:val="24"/>
        </w:rPr>
        <w:tab/>
      </w:r>
      <w:r w:rsidR="0007303D" w:rsidRPr="00795242">
        <w:rPr>
          <w:rFonts w:ascii="Times New Roman" w:hAnsi="Times New Roman" w:cs="Times New Roman"/>
          <w:sz w:val="24"/>
          <w:szCs w:val="24"/>
        </w:rPr>
        <w:t xml:space="preserve">The respondent, on the other hand, maintains that non-compliance with </w:t>
      </w:r>
      <w:r>
        <w:rPr>
          <w:rFonts w:ascii="Times New Roman" w:hAnsi="Times New Roman" w:cs="Times New Roman"/>
          <w:sz w:val="24"/>
          <w:szCs w:val="24"/>
        </w:rPr>
        <w:t xml:space="preserve">s </w:t>
      </w:r>
      <w:r w:rsidR="0007303D" w:rsidRPr="00795242">
        <w:rPr>
          <w:rFonts w:ascii="Times New Roman" w:hAnsi="Times New Roman" w:cs="Times New Roman"/>
          <w:sz w:val="24"/>
          <w:szCs w:val="24"/>
        </w:rPr>
        <w:t>20</w:t>
      </w:r>
      <w:r>
        <w:rPr>
          <w:rFonts w:ascii="Times New Roman" w:hAnsi="Times New Roman" w:cs="Times New Roman"/>
          <w:sz w:val="24"/>
          <w:szCs w:val="24"/>
        </w:rPr>
        <w:t>[4] o</w:t>
      </w:r>
      <w:r w:rsidR="0007303D" w:rsidRPr="00795242">
        <w:rPr>
          <w:rFonts w:ascii="Times New Roman" w:hAnsi="Times New Roman" w:cs="Times New Roman"/>
          <w:sz w:val="24"/>
          <w:szCs w:val="24"/>
        </w:rPr>
        <w:t>f the Act cannot be cured by the retrospective deeming of registration</w:t>
      </w:r>
      <w:r w:rsidR="00480308">
        <w:rPr>
          <w:rFonts w:ascii="Times New Roman" w:hAnsi="Times New Roman" w:cs="Times New Roman"/>
          <w:sz w:val="24"/>
          <w:szCs w:val="24"/>
        </w:rPr>
        <w:t>. T</w:t>
      </w:r>
      <w:r w:rsidR="0007303D" w:rsidRPr="00795242">
        <w:rPr>
          <w:rFonts w:ascii="Times New Roman" w:hAnsi="Times New Roman" w:cs="Times New Roman"/>
          <w:sz w:val="24"/>
          <w:szCs w:val="24"/>
        </w:rPr>
        <w:t>he statutory requirements are clear and peremptory</w:t>
      </w:r>
      <w:r w:rsidR="00480308">
        <w:rPr>
          <w:rFonts w:ascii="Times New Roman" w:hAnsi="Times New Roman" w:cs="Times New Roman"/>
          <w:sz w:val="24"/>
          <w:szCs w:val="24"/>
        </w:rPr>
        <w:t>. T</w:t>
      </w:r>
      <w:r w:rsidR="0007303D" w:rsidRPr="00795242">
        <w:rPr>
          <w:rFonts w:ascii="Times New Roman" w:hAnsi="Times New Roman" w:cs="Times New Roman"/>
          <w:sz w:val="24"/>
          <w:szCs w:val="24"/>
        </w:rPr>
        <w:t xml:space="preserve">he absence of the appellant’s VAT number </w:t>
      </w:r>
      <w:r w:rsidR="00674176">
        <w:rPr>
          <w:rFonts w:ascii="Times New Roman" w:hAnsi="Times New Roman" w:cs="Times New Roman"/>
          <w:sz w:val="24"/>
          <w:szCs w:val="24"/>
        </w:rPr>
        <w:t xml:space="preserve">on the invoices </w:t>
      </w:r>
      <w:r w:rsidR="0007303D" w:rsidRPr="00795242">
        <w:rPr>
          <w:rFonts w:ascii="Times New Roman" w:hAnsi="Times New Roman" w:cs="Times New Roman"/>
          <w:sz w:val="24"/>
          <w:szCs w:val="24"/>
        </w:rPr>
        <w:t>render</w:t>
      </w:r>
      <w:r w:rsidR="00480308">
        <w:rPr>
          <w:rFonts w:ascii="Times New Roman" w:hAnsi="Times New Roman" w:cs="Times New Roman"/>
          <w:sz w:val="24"/>
          <w:szCs w:val="24"/>
        </w:rPr>
        <w:t xml:space="preserve">ed </w:t>
      </w:r>
      <w:r w:rsidR="0007303D" w:rsidRPr="00795242">
        <w:rPr>
          <w:rFonts w:ascii="Times New Roman" w:hAnsi="Times New Roman" w:cs="Times New Roman"/>
          <w:sz w:val="24"/>
          <w:szCs w:val="24"/>
        </w:rPr>
        <w:t>the</w:t>
      </w:r>
      <w:r w:rsidR="00674176">
        <w:rPr>
          <w:rFonts w:ascii="Times New Roman" w:hAnsi="Times New Roman" w:cs="Times New Roman"/>
          <w:sz w:val="24"/>
          <w:szCs w:val="24"/>
        </w:rPr>
        <w:t xml:space="preserve">m </w:t>
      </w:r>
      <w:r w:rsidR="0007303D" w:rsidRPr="00795242">
        <w:rPr>
          <w:rFonts w:ascii="Times New Roman" w:hAnsi="Times New Roman" w:cs="Times New Roman"/>
          <w:sz w:val="24"/>
          <w:szCs w:val="24"/>
        </w:rPr>
        <w:t xml:space="preserve">invalid </w:t>
      </w:r>
      <w:r w:rsidR="0007303D" w:rsidRPr="000E5AF2">
        <w:rPr>
          <w:rFonts w:ascii="Times New Roman" w:hAnsi="Times New Roman" w:cs="Times New Roman"/>
          <w:i/>
          <w:sz w:val="24"/>
          <w:szCs w:val="24"/>
        </w:rPr>
        <w:t>ab initio</w:t>
      </w:r>
      <w:r w:rsidR="0007303D" w:rsidRPr="00795242">
        <w:rPr>
          <w:rFonts w:ascii="Times New Roman" w:hAnsi="Times New Roman" w:cs="Times New Roman"/>
          <w:sz w:val="24"/>
          <w:szCs w:val="24"/>
        </w:rPr>
        <w:t>, regardless of any retrospective status</w:t>
      </w:r>
      <w:r>
        <w:rPr>
          <w:rFonts w:ascii="Times New Roman" w:hAnsi="Times New Roman" w:cs="Times New Roman"/>
          <w:sz w:val="24"/>
          <w:szCs w:val="24"/>
        </w:rPr>
        <w:t xml:space="preserve"> as may be</w:t>
      </w:r>
      <w:r w:rsidR="0007303D" w:rsidRPr="00795242">
        <w:rPr>
          <w:rFonts w:ascii="Times New Roman" w:hAnsi="Times New Roman" w:cs="Times New Roman"/>
          <w:sz w:val="24"/>
          <w:szCs w:val="24"/>
        </w:rPr>
        <w:t xml:space="preserve"> conferred by </w:t>
      </w:r>
      <w:r>
        <w:rPr>
          <w:rFonts w:ascii="Times New Roman" w:hAnsi="Times New Roman" w:cs="Times New Roman"/>
          <w:sz w:val="24"/>
          <w:szCs w:val="24"/>
        </w:rPr>
        <w:t>s 23[</w:t>
      </w:r>
      <w:r w:rsidR="0007303D" w:rsidRPr="00795242">
        <w:rPr>
          <w:rFonts w:ascii="Times New Roman" w:hAnsi="Times New Roman" w:cs="Times New Roman"/>
          <w:sz w:val="24"/>
          <w:szCs w:val="24"/>
        </w:rPr>
        <w:t>3</w:t>
      </w:r>
      <w:r>
        <w:rPr>
          <w:rFonts w:ascii="Times New Roman" w:hAnsi="Times New Roman" w:cs="Times New Roman"/>
          <w:sz w:val="24"/>
          <w:szCs w:val="24"/>
        </w:rPr>
        <w:t>]</w:t>
      </w:r>
      <w:r w:rsidR="0007303D" w:rsidRPr="00795242">
        <w:rPr>
          <w:rFonts w:ascii="Times New Roman" w:hAnsi="Times New Roman" w:cs="Times New Roman"/>
          <w:sz w:val="24"/>
          <w:szCs w:val="24"/>
        </w:rPr>
        <w:t>.</w:t>
      </w:r>
      <w:r w:rsidR="004B3ACC" w:rsidRPr="004B3ACC">
        <w:rPr>
          <w:rFonts w:ascii="Times New Roman" w:hAnsi="Times New Roman" w:cs="Times New Roman"/>
          <w:sz w:val="24"/>
          <w:szCs w:val="24"/>
        </w:rPr>
        <w:t xml:space="preserve"> </w:t>
      </w:r>
      <w:r w:rsidR="004B3ACC">
        <w:rPr>
          <w:rFonts w:ascii="Times New Roman" w:hAnsi="Times New Roman" w:cs="Times New Roman"/>
          <w:sz w:val="24"/>
          <w:szCs w:val="24"/>
        </w:rPr>
        <w:t>Previous a</w:t>
      </w:r>
      <w:r w:rsidR="004B3ACC" w:rsidRPr="00795242">
        <w:rPr>
          <w:rFonts w:ascii="Times New Roman" w:hAnsi="Times New Roman" w:cs="Times New Roman"/>
          <w:sz w:val="24"/>
          <w:szCs w:val="24"/>
        </w:rPr>
        <w:t xml:space="preserve">cceptance of such </w:t>
      </w:r>
      <w:r w:rsidR="004B3ACC">
        <w:rPr>
          <w:rFonts w:ascii="Times New Roman" w:hAnsi="Times New Roman" w:cs="Times New Roman"/>
          <w:sz w:val="24"/>
          <w:szCs w:val="24"/>
        </w:rPr>
        <w:t xml:space="preserve">types of </w:t>
      </w:r>
      <w:r w:rsidR="004B3ACC" w:rsidRPr="00795242">
        <w:rPr>
          <w:rFonts w:ascii="Times New Roman" w:hAnsi="Times New Roman" w:cs="Times New Roman"/>
          <w:sz w:val="24"/>
          <w:szCs w:val="24"/>
        </w:rPr>
        <w:t xml:space="preserve">invoices </w:t>
      </w:r>
      <w:r w:rsidR="004B3ACC">
        <w:rPr>
          <w:rFonts w:ascii="Times New Roman" w:hAnsi="Times New Roman" w:cs="Times New Roman"/>
          <w:sz w:val="24"/>
          <w:szCs w:val="24"/>
        </w:rPr>
        <w:t>did</w:t>
      </w:r>
      <w:r w:rsidR="004B3ACC" w:rsidRPr="00795242">
        <w:rPr>
          <w:rFonts w:ascii="Times New Roman" w:hAnsi="Times New Roman" w:cs="Times New Roman"/>
          <w:sz w:val="24"/>
          <w:szCs w:val="24"/>
        </w:rPr>
        <w:t xml:space="preserve"> not </w:t>
      </w:r>
      <w:r w:rsidR="004B3ACC">
        <w:rPr>
          <w:rFonts w:ascii="Times New Roman" w:hAnsi="Times New Roman" w:cs="Times New Roman"/>
          <w:sz w:val="24"/>
          <w:szCs w:val="24"/>
        </w:rPr>
        <w:t>make them valid.</w:t>
      </w:r>
    </w:p>
    <w:p w:rsidR="003D4DD9" w:rsidRDefault="003D4DD9" w:rsidP="003D4DD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46</w:t>
      </w:r>
      <w:r>
        <w:rPr>
          <w:rFonts w:ascii="Times New Roman" w:hAnsi="Times New Roman" w:cs="Times New Roman"/>
          <w:sz w:val="24"/>
          <w:szCs w:val="24"/>
        </w:rPr>
        <w:t>]</w:t>
      </w:r>
      <w:r>
        <w:rPr>
          <w:rFonts w:ascii="Times New Roman" w:hAnsi="Times New Roman" w:cs="Times New Roman"/>
          <w:sz w:val="24"/>
          <w:szCs w:val="24"/>
        </w:rPr>
        <w:tab/>
        <w:t>T</w:t>
      </w:r>
      <w:r w:rsidRPr="00795242">
        <w:rPr>
          <w:rFonts w:ascii="Times New Roman" w:hAnsi="Times New Roman" w:cs="Times New Roman"/>
          <w:sz w:val="24"/>
          <w:szCs w:val="24"/>
        </w:rPr>
        <w:t xml:space="preserve">he </w:t>
      </w:r>
      <w:r>
        <w:rPr>
          <w:rFonts w:ascii="Times New Roman" w:hAnsi="Times New Roman" w:cs="Times New Roman"/>
          <w:sz w:val="24"/>
          <w:szCs w:val="24"/>
        </w:rPr>
        <w:t>r</w:t>
      </w:r>
      <w:r w:rsidRPr="00795242">
        <w:rPr>
          <w:rFonts w:ascii="Times New Roman" w:hAnsi="Times New Roman" w:cs="Times New Roman"/>
          <w:sz w:val="24"/>
          <w:szCs w:val="24"/>
        </w:rPr>
        <w:t xml:space="preserve">espondent rejects the </w:t>
      </w:r>
      <w:r>
        <w:rPr>
          <w:rFonts w:ascii="Times New Roman" w:hAnsi="Times New Roman" w:cs="Times New Roman"/>
          <w:sz w:val="24"/>
          <w:szCs w:val="24"/>
        </w:rPr>
        <w:t>a</w:t>
      </w:r>
      <w:r w:rsidRPr="00795242">
        <w:rPr>
          <w:rFonts w:ascii="Times New Roman" w:hAnsi="Times New Roman" w:cs="Times New Roman"/>
          <w:sz w:val="24"/>
          <w:szCs w:val="24"/>
        </w:rPr>
        <w:t xml:space="preserve">ppellant’s </w:t>
      </w:r>
      <w:r>
        <w:rPr>
          <w:rFonts w:ascii="Times New Roman" w:hAnsi="Times New Roman" w:cs="Times New Roman"/>
          <w:sz w:val="24"/>
          <w:szCs w:val="24"/>
        </w:rPr>
        <w:t xml:space="preserve">argument that the respondent could not turn down further claims after having approved previous ones. It argues </w:t>
      </w:r>
      <w:r w:rsidRPr="00795242">
        <w:rPr>
          <w:rFonts w:ascii="Times New Roman" w:hAnsi="Times New Roman" w:cs="Times New Roman"/>
          <w:sz w:val="24"/>
          <w:szCs w:val="24"/>
        </w:rPr>
        <w:t xml:space="preserve">that past administrative errors do not create legal entitlements. </w:t>
      </w:r>
      <w:r>
        <w:rPr>
          <w:rFonts w:ascii="Times New Roman" w:hAnsi="Times New Roman" w:cs="Times New Roman"/>
          <w:sz w:val="24"/>
          <w:szCs w:val="24"/>
        </w:rPr>
        <w:t>In this regard the respondent relies on</w:t>
      </w:r>
      <w:r w:rsidRPr="00795242">
        <w:rPr>
          <w:rFonts w:ascii="Times New Roman" w:hAnsi="Times New Roman" w:cs="Times New Roman"/>
          <w:sz w:val="24"/>
          <w:szCs w:val="24"/>
        </w:rPr>
        <w:t xml:space="preserve"> </w:t>
      </w:r>
      <w:r w:rsidRPr="00F14DFD">
        <w:rPr>
          <w:rFonts w:ascii="Times New Roman" w:hAnsi="Times New Roman" w:cs="Times New Roman"/>
          <w:bCs/>
          <w:i/>
          <w:sz w:val="24"/>
          <w:szCs w:val="24"/>
        </w:rPr>
        <w:t>Commissioner of Taxes</w:t>
      </w:r>
      <w:r w:rsidR="009E0518" w:rsidRPr="009E0518">
        <w:rPr>
          <w:rFonts w:ascii="Times New Roman" w:hAnsi="Times New Roman" w:cs="Times New Roman"/>
          <w:bCs/>
          <w:i/>
          <w:sz w:val="24"/>
          <w:szCs w:val="24"/>
        </w:rPr>
        <w:t xml:space="preserve"> </w:t>
      </w:r>
      <w:r w:rsidR="009E0518">
        <w:rPr>
          <w:rFonts w:ascii="Times New Roman" w:hAnsi="Times New Roman" w:cs="Times New Roman"/>
          <w:bCs/>
          <w:i/>
          <w:sz w:val="24"/>
          <w:szCs w:val="24"/>
        </w:rPr>
        <w:t>v Astra Holdings [Pvt] Ltd</w:t>
      </w:r>
      <w:r w:rsidRPr="00F14DFD">
        <w:rPr>
          <w:rFonts w:ascii="Times New Roman" w:hAnsi="Times New Roman" w:cs="Times New Roman"/>
          <w:bCs/>
          <w:sz w:val="24"/>
          <w:szCs w:val="24"/>
        </w:rPr>
        <w:t xml:space="preserve"> 2003 (1) ZLR 417 (S)</w:t>
      </w:r>
      <w:r>
        <w:rPr>
          <w:rFonts w:ascii="Times New Roman" w:hAnsi="Times New Roman" w:cs="Times New Roman"/>
          <w:bCs/>
          <w:sz w:val="24"/>
          <w:szCs w:val="24"/>
        </w:rPr>
        <w:t xml:space="preserve"> that affirmed the principle in </w:t>
      </w:r>
      <w:r w:rsidRPr="002D4567">
        <w:rPr>
          <w:rFonts w:ascii="Times New Roman" w:hAnsi="Times New Roman" w:cs="Times New Roman"/>
          <w:bCs/>
          <w:i/>
          <w:sz w:val="24"/>
          <w:szCs w:val="24"/>
        </w:rPr>
        <w:t>R v Board of Inland Revenue</w:t>
      </w:r>
      <w:r w:rsidR="009E0518">
        <w:rPr>
          <w:rFonts w:ascii="Times New Roman" w:hAnsi="Times New Roman" w:cs="Times New Roman"/>
          <w:bCs/>
          <w:i/>
          <w:sz w:val="24"/>
          <w:szCs w:val="24"/>
        </w:rPr>
        <w:t>, e</w:t>
      </w:r>
      <w:r w:rsidRPr="002D4567">
        <w:rPr>
          <w:rFonts w:ascii="Times New Roman" w:hAnsi="Times New Roman" w:cs="Times New Roman"/>
          <w:bCs/>
          <w:i/>
          <w:sz w:val="24"/>
          <w:szCs w:val="24"/>
        </w:rPr>
        <w:t>p MFK Underwriting Agencies Ltd</w:t>
      </w:r>
      <w:r>
        <w:rPr>
          <w:rFonts w:ascii="Times New Roman" w:hAnsi="Times New Roman" w:cs="Times New Roman"/>
          <w:bCs/>
          <w:sz w:val="24"/>
          <w:szCs w:val="24"/>
        </w:rPr>
        <w:t xml:space="preserve"> [199</w:t>
      </w:r>
      <w:r w:rsidR="009E0518">
        <w:rPr>
          <w:rFonts w:ascii="Times New Roman" w:hAnsi="Times New Roman" w:cs="Times New Roman"/>
          <w:bCs/>
          <w:sz w:val="24"/>
          <w:szCs w:val="24"/>
        </w:rPr>
        <w:t>0] 1 All ER 9</w:t>
      </w:r>
      <w:r>
        <w:rPr>
          <w:rFonts w:ascii="Times New Roman" w:hAnsi="Times New Roman" w:cs="Times New Roman"/>
          <w:bCs/>
          <w:sz w:val="24"/>
          <w:szCs w:val="24"/>
        </w:rPr>
        <w:t xml:space="preserve"> that</w:t>
      </w:r>
      <w:r w:rsidRPr="00795242">
        <w:rPr>
          <w:rFonts w:ascii="Times New Roman" w:hAnsi="Times New Roman" w:cs="Times New Roman"/>
          <w:sz w:val="24"/>
          <w:szCs w:val="24"/>
        </w:rPr>
        <w:t xml:space="preserve"> taxpayers must be taxed by law, not by administrative lapses.</w:t>
      </w:r>
    </w:p>
    <w:p w:rsidR="003D4DD9" w:rsidRDefault="003D4DD9" w:rsidP="004B3A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47</w:t>
      </w:r>
      <w:r>
        <w:rPr>
          <w:rFonts w:ascii="Times New Roman" w:hAnsi="Times New Roman" w:cs="Times New Roman"/>
          <w:sz w:val="24"/>
          <w:szCs w:val="24"/>
        </w:rPr>
        <w:t>]</w:t>
      </w:r>
      <w:r>
        <w:rPr>
          <w:rFonts w:ascii="Times New Roman" w:hAnsi="Times New Roman" w:cs="Times New Roman"/>
          <w:sz w:val="24"/>
          <w:szCs w:val="24"/>
        </w:rPr>
        <w:tab/>
      </w:r>
      <w:r w:rsidR="004B3ACC">
        <w:rPr>
          <w:rFonts w:ascii="Times New Roman" w:hAnsi="Times New Roman" w:cs="Times New Roman"/>
          <w:sz w:val="24"/>
          <w:szCs w:val="24"/>
        </w:rPr>
        <w:t>I</w:t>
      </w:r>
      <w:r w:rsidRPr="00795242">
        <w:rPr>
          <w:rFonts w:ascii="Times New Roman" w:hAnsi="Times New Roman" w:cs="Times New Roman"/>
          <w:sz w:val="24"/>
          <w:szCs w:val="24"/>
        </w:rPr>
        <w:t xml:space="preserve">n relation to the discretionary powers under </w:t>
      </w:r>
      <w:r>
        <w:rPr>
          <w:rFonts w:ascii="Times New Roman" w:hAnsi="Times New Roman" w:cs="Times New Roman"/>
          <w:sz w:val="24"/>
          <w:szCs w:val="24"/>
        </w:rPr>
        <w:t xml:space="preserve">s </w:t>
      </w:r>
      <w:r w:rsidRPr="00795242">
        <w:rPr>
          <w:rFonts w:ascii="Times New Roman" w:hAnsi="Times New Roman" w:cs="Times New Roman"/>
          <w:sz w:val="24"/>
          <w:szCs w:val="24"/>
        </w:rPr>
        <w:t>20</w:t>
      </w:r>
      <w:r>
        <w:rPr>
          <w:rFonts w:ascii="Times New Roman" w:hAnsi="Times New Roman" w:cs="Times New Roman"/>
          <w:sz w:val="24"/>
          <w:szCs w:val="24"/>
        </w:rPr>
        <w:t>[</w:t>
      </w:r>
      <w:r w:rsidRPr="00795242">
        <w:rPr>
          <w:rFonts w:ascii="Times New Roman" w:hAnsi="Times New Roman" w:cs="Times New Roman"/>
          <w:sz w:val="24"/>
          <w:szCs w:val="24"/>
        </w:rPr>
        <w:t>4</w:t>
      </w:r>
      <w:r>
        <w:rPr>
          <w:rFonts w:ascii="Times New Roman" w:hAnsi="Times New Roman" w:cs="Times New Roman"/>
          <w:sz w:val="24"/>
          <w:szCs w:val="24"/>
        </w:rPr>
        <w:t>] of the Act</w:t>
      </w:r>
      <w:r w:rsidRPr="00795242">
        <w:rPr>
          <w:rFonts w:ascii="Times New Roman" w:hAnsi="Times New Roman" w:cs="Times New Roman"/>
          <w:sz w:val="24"/>
          <w:szCs w:val="24"/>
        </w:rPr>
        <w:t xml:space="preserve">, the </w:t>
      </w:r>
      <w:r>
        <w:rPr>
          <w:rFonts w:ascii="Times New Roman" w:hAnsi="Times New Roman" w:cs="Times New Roman"/>
          <w:sz w:val="24"/>
          <w:szCs w:val="24"/>
        </w:rPr>
        <w:t>r</w:t>
      </w:r>
      <w:r w:rsidRPr="00795242">
        <w:rPr>
          <w:rFonts w:ascii="Times New Roman" w:hAnsi="Times New Roman" w:cs="Times New Roman"/>
          <w:sz w:val="24"/>
          <w:szCs w:val="24"/>
        </w:rPr>
        <w:t xml:space="preserve">espondent submits that the </w:t>
      </w:r>
      <w:r>
        <w:rPr>
          <w:rFonts w:ascii="Times New Roman" w:hAnsi="Times New Roman" w:cs="Times New Roman"/>
          <w:sz w:val="24"/>
          <w:szCs w:val="24"/>
        </w:rPr>
        <w:t xml:space="preserve">respondent’s </w:t>
      </w:r>
      <w:r w:rsidRPr="00795242">
        <w:rPr>
          <w:rFonts w:ascii="Times New Roman" w:hAnsi="Times New Roman" w:cs="Times New Roman"/>
          <w:sz w:val="24"/>
          <w:szCs w:val="24"/>
        </w:rPr>
        <w:t xml:space="preserve">Commissioner </w:t>
      </w:r>
      <w:r>
        <w:rPr>
          <w:rFonts w:ascii="Times New Roman" w:hAnsi="Times New Roman" w:cs="Times New Roman"/>
          <w:sz w:val="24"/>
          <w:szCs w:val="24"/>
        </w:rPr>
        <w:t>wa</w:t>
      </w:r>
      <w:r w:rsidRPr="00795242">
        <w:rPr>
          <w:rFonts w:ascii="Times New Roman" w:hAnsi="Times New Roman" w:cs="Times New Roman"/>
          <w:sz w:val="24"/>
          <w:szCs w:val="24"/>
        </w:rPr>
        <w:t xml:space="preserve">s not obligated to exercise that </w:t>
      </w:r>
      <w:r w:rsidRPr="00795242">
        <w:rPr>
          <w:rFonts w:ascii="Times New Roman" w:hAnsi="Times New Roman" w:cs="Times New Roman"/>
          <w:sz w:val="24"/>
          <w:szCs w:val="24"/>
        </w:rPr>
        <w:lastRenderedPageBreak/>
        <w:t xml:space="preserve">discretion in favour of the </w:t>
      </w:r>
      <w:r>
        <w:rPr>
          <w:rFonts w:ascii="Times New Roman" w:hAnsi="Times New Roman" w:cs="Times New Roman"/>
          <w:sz w:val="24"/>
          <w:szCs w:val="24"/>
        </w:rPr>
        <w:t>a</w:t>
      </w:r>
      <w:r w:rsidRPr="00795242">
        <w:rPr>
          <w:rFonts w:ascii="Times New Roman" w:hAnsi="Times New Roman" w:cs="Times New Roman"/>
          <w:sz w:val="24"/>
          <w:szCs w:val="24"/>
        </w:rPr>
        <w:t>ppellant</w:t>
      </w:r>
      <w:r>
        <w:rPr>
          <w:rFonts w:ascii="Times New Roman" w:hAnsi="Times New Roman" w:cs="Times New Roman"/>
          <w:sz w:val="24"/>
          <w:szCs w:val="24"/>
        </w:rPr>
        <w:t xml:space="preserve"> and that courts cannot compel the exercise of discretion unless that is mandatory</w:t>
      </w:r>
      <w:r w:rsidR="004B3ACC">
        <w:rPr>
          <w:rFonts w:ascii="Times New Roman" w:hAnsi="Times New Roman" w:cs="Times New Roman"/>
          <w:sz w:val="24"/>
          <w:szCs w:val="24"/>
        </w:rPr>
        <w:t>. In this regard the respondent relies o</w:t>
      </w:r>
      <w:r w:rsidRPr="00795242">
        <w:rPr>
          <w:rFonts w:ascii="Times New Roman" w:hAnsi="Times New Roman" w:cs="Times New Roman"/>
          <w:sz w:val="24"/>
          <w:szCs w:val="24"/>
        </w:rPr>
        <w:t xml:space="preserve">n </w:t>
      </w:r>
      <w:r w:rsidRPr="002F2965">
        <w:rPr>
          <w:rFonts w:ascii="Times New Roman" w:hAnsi="Times New Roman" w:cs="Times New Roman"/>
          <w:bCs/>
          <w:i/>
          <w:sz w:val="24"/>
          <w:szCs w:val="24"/>
        </w:rPr>
        <w:t>Dhege v Medical Centre</w:t>
      </w:r>
      <w:r w:rsidR="005A6929">
        <w:rPr>
          <w:rFonts w:ascii="Times New Roman" w:hAnsi="Times New Roman" w:cs="Times New Roman"/>
          <w:bCs/>
          <w:sz w:val="24"/>
          <w:szCs w:val="24"/>
        </w:rPr>
        <w:t xml:space="preserve"> 2004 [</w:t>
      </w:r>
      <w:r>
        <w:rPr>
          <w:rFonts w:ascii="Times New Roman" w:hAnsi="Times New Roman" w:cs="Times New Roman"/>
          <w:bCs/>
          <w:sz w:val="24"/>
          <w:szCs w:val="24"/>
        </w:rPr>
        <w:t>1</w:t>
      </w:r>
      <w:r w:rsidR="005A6929">
        <w:rPr>
          <w:rFonts w:ascii="Times New Roman" w:hAnsi="Times New Roman" w:cs="Times New Roman"/>
          <w:bCs/>
          <w:sz w:val="24"/>
          <w:szCs w:val="24"/>
        </w:rPr>
        <w:t>]</w:t>
      </w:r>
      <w:r>
        <w:rPr>
          <w:rFonts w:ascii="Times New Roman" w:hAnsi="Times New Roman" w:cs="Times New Roman"/>
          <w:bCs/>
          <w:sz w:val="24"/>
          <w:szCs w:val="24"/>
        </w:rPr>
        <w:t xml:space="preserve"> ZLR 352 [</w:t>
      </w:r>
      <w:r w:rsidRPr="002F2965">
        <w:rPr>
          <w:rFonts w:ascii="Times New Roman" w:hAnsi="Times New Roman" w:cs="Times New Roman"/>
          <w:bCs/>
          <w:sz w:val="24"/>
          <w:szCs w:val="24"/>
        </w:rPr>
        <w:t>H</w:t>
      </w:r>
      <w:r>
        <w:rPr>
          <w:rFonts w:ascii="Times New Roman" w:hAnsi="Times New Roman" w:cs="Times New Roman"/>
          <w:bCs/>
          <w:sz w:val="24"/>
          <w:szCs w:val="24"/>
        </w:rPr>
        <w:t>]</w:t>
      </w:r>
      <w:r>
        <w:rPr>
          <w:rFonts w:ascii="Times New Roman" w:hAnsi="Times New Roman" w:cs="Times New Roman"/>
          <w:sz w:val="24"/>
          <w:szCs w:val="24"/>
        </w:rPr>
        <w:t xml:space="preserve"> </w:t>
      </w:r>
      <w:r w:rsidRPr="002F2965">
        <w:rPr>
          <w:rFonts w:ascii="Times New Roman" w:hAnsi="Times New Roman" w:cs="Times New Roman"/>
          <w:sz w:val="24"/>
          <w:szCs w:val="24"/>
        </w:rPr>
        <w:t>and</w:t>
      </w:r>
      <w:r w:rsidRPr="002F2965">
        <w:rPr>
          <w:rFonts w:ascii="Times New Roman" w:hAnsi="Times New Roman" w:cs="Times New Roman"/>
          <w:i/>
          <w:sz w:val="24"/>
          <w:szCs w:val="24"/>
        </w:rPr>
        <w:t xml:space="preserve"> </w:t>
      </w:r>
      <w:r w:rsidRPr="002F2965">
        <w:rPr>
          <w:rFonts w:ascii="Times New Roman" w:hAnsi="Times New Roman" w:cs="Times New Roman"/>
          <w:bCs/>
          <w:i/>
          <w:sz w:val="24"/>
          <w:szCs w:val="24"/>
        </w:rPr>
        <w:t>Savanhu v Hwange Colliery</w:t>
      </w:r>
      <w:r w:rsidRPr="002F2965">
        <w:rPr>
          <w:rFonts w:ascii="Times New Roman" w:hAnsi="Times New Roman" w:cs="Times New Roman"/>
          <w:bCs/>
          <w:sz w:val="24"/>
          <w:szCs w:val="24"/>
        </w:rPr>
        <w:t xml:space="preserve"> SC </w:t>
      </w:r>
      <w:r w:rsidR="005A6929">
        <w:rPr>
          <w:rFonts w:ascii="Times New Roman" w:hAnsi="Times New Roman" w:cs="Times New Roman"/>
          <w:bCs/>
          <w:sz w:val="24"/>
          <w:szCs w:val="24"/>
        </w:rPr>
        <w:t>8-</w:t>
      </w:r>
      <w:r w:rsidRPr="002F2965">
        <w:rPr>
          <w:rFonts w:ascii="Times New Roman" w:hAnsi="Times New Roman" w:cs="Times New Roman"/>
          <w:bCs/>
          <w:sz w:val="24"/>
          <w:szCs w:val="24"/>
        </w:rPr>
        <w:t>15</w:t>
      </w:r>
      <w:r w:rsidR="005A6929">
        <w:rPr>
          <w:rFonts w:ascii="Times New Roman" w:hAnsi="Times New Roman" w:cs="Times New Roman"/>
          <w:bCs/>
          <w:sz w:val="24"/>
          <w:szCs w:val="24"/>
        </w:rPr>
        <w:t>.</w:t>
      </w:r>
    </w:p>
    <w:p w:rsidR="0007303D" w:rsidRDefault="000E5AF2" w:rsidP="000E5AF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48</w:t>
      </w:r>
      <w:r>
        <w:rPr>
          <w:rFonts w:ascii="Times New Roman" w:hAnsi="Times New Roman" w:cs="Times New Roman"/>
          <w:sz w:val="24"/>
          <w:szCs w:val="24"/>
        </w:rPr>
        <w:t>]</w:t>
      </w:r>
      <w:r>
        <w:rPr>
          <w:rFonts w:ascii="Times New Roman" w:hAnsi="Times New Roman" w:cs="Times New Roman"/>
          <w:sz w:val="24"/>
          <w:szCs w:val="24"/>
        </w:rPr>
        <w:tab/>
      </w:r>
      <w:r w:rsidR="00674176">
        <w:rPr>
          <w:rFonts w:ascii="Times New Roman" w:hAnsi="Times New Roman" w:cs="Times New Roman"/>
          <w:sz w:val="24"/>
          <w:szCs w:val="24"/>
        </w:rPr>
        <w:t xml:space="preserve">During argument, </w:t>
      </w:r>
      <w:r>
        <w:rPr>
          <w:rFonts w:ascii="Times New Roman" w:hAnsi="Times New Roman" w:cs="Times New Roman"/>
          <w:sz w:val="24"/>
          <w:szCs w:val="24"/>
        </w:rPr>
        <w:t xml:space="preserve">Mr </w:t>
      </w:r>
      <w:r w:rsidRPr="00674176">
        <w:rPr>
          <w:rFonts w:ascii="Times New Roman" w:hAnsi="Times New Roman" w:cs="Times New Roman"/>
          <w:i/>
          <w:sz w:val="24"/>
          <w:szCs w:val="24"/>
        </w:rPr>
        <w:t>Bhebhe</w:t>
      </w:r>
      <w:r>
        <w:rPr>
          <w:rFonts w:ascii="Times New Roman" w:hAnsi="Times New Roman" w:cs="Times New Roman"/>
          <w:sz w:val="24"/>
          <w:szCs w:val="24"/>
        </w:rPr>
        <w:t xml:space="preserve">, for </w:t>
      </w:r>
      <w:r w:rsidR="0007303D" w:rsidRPr="00795242">
        <w:rPr>
          <w:rFonts w:ascii="Times New Roman" w:hAnsi="Times New Roman" w:cs="Times New Roman"/>
          <w:sz w:val="24"/>
          <w:szCs w:val="24"/>
        </w:rPr>
        <w:t>the respondent</w:t>
      </w:r>
      <w:r>
        <w:rPr>
          <w:rFonts w:ascii="Times New Roman" w:hAnsi="Times New Roman" w:cs="Times New Roman"/>
          <w:sz w:val="24"/>
          <w:szCs w:val="24"/>
        </w:rPr>
        <w:t xml:space="preserve">, stressed </w:t>
      </w:r>
      <w:r w:rsidR="0007303D" w:rsidRPr="00795242">
        <w:rPr>
          <w:rFonts w:ascii="Times New Roman" w:hAnsi="Times New Roman" w:cs="Times New Roman"/>
          <w:sz w:val="24"/>
          <w:szCs w:val="24"/>
        </w:rPr>
        <w:t xml:space="preserve">that registration and compliance with </w:t>
      </w:r>
      <w:r w:rsidR="00693A9C">
        <w:rPr>
          <w:rFonts w:ascii="Times New Roman" w:hAnsi="Times New Roman" w:cs="Times New Roman"/>
          <w:sz w:val="24"/>
          <w:szCs w:val="24"/>
        </w:rPr>
        <w:t xml:space="preserve">s 20 of the </w:t>
      </w:r>
      <w:r w:rsidR="0007303D" w:rsidRPr="00795242">
        <w:rPr>
          <w:rFonts w:ascii="Times New Roman" w:hAnsi="Times New Roman" w:cs="Times New Roman"/>
          <w:sz w:val="24"/>
          <w:szCs w:val="24"/>
        </w:rPr>
        <w:t xml:space="preserve">Act are distinct </w:t>
      </w:r>
      <w:r w:rsidR="00693A9C">
        <w:rPr>
          <w:rFonts w:ascii="Times New Roman" w:hAnsi="Times New Roman" w:cs="Times New Roman"/>
          <w:sz w:val="24"/>
          <w:szCs w:val="24"/>
        </w:rPr>
        <w:t xml:space="preserve">and separate </w:t>
      </w:r>
      <w:r w:rsidR="0007303D" w:rsidRPr="00795242">
        <w:rPr>
          <w:rFonts w:ascii="Times New Roman" w:hAnsi="Times New Roman" w:cs="Times New Roman"/>
          <w:sz w:val="24"/>
          <w:szCs w:val="24"/>
        </w:rPr>
        <w:t>legal requirements</w:t>
      </w:r>
      <w:r w:rsidR="00693A9C">
        <w:rPr>
          <w:rFonts w:ascii="Times New Roman" w:hAnsi="Times New Roman" w:cs="Times New Roman"/>
          <w:sz w:val="24"/>
          <w:szCs w:val="24"/>
        </w:rPr>
        <w:t xml:space="preserve"> which </w:t>
      </w:r>
      <w:r w:rsidR="0007303D" w:rsidRPr="00795242">
        <w:rPr>
          <w:rFonts w:ascii="Times New Roman" w:hAnsi="Times New Roman" w:cs="Times New Roman"/>
          <w:sz w:val="24"/>
          <w:szCs w:val="24"/>
        </w:rPr>
        <w:t>ought not to be conflated.</w:t>
      </w:r>
    </w:p>
    <w:p w:rsidR="004B3ACC" w:rsidRPr="004E67A8" w:rsidRDefault="004B3ACC" w:rsidP="004B3ACC">
      <w:pPr>
        <w:spacing w:line="360" w:lineRule="auto"/>
        <w:ind w:left="720" w:hanging="720"/>
        <w:jc w:val="both"/>
        <w:rPr>
          <w:rFonts w:ascii="Times New Roman" w:hAnsi="Times New Roman" w:cs="Times New Roman"/>
          <w:b/>
          <w:sz w:val="24"/>
          <w:szCs w:val="24"/>
        </w:rPr>
      </w:pPr>
      <w:r w:rsidRPr="004E67A8">
        <w:rPr>
          <w:rFonts w:ascii="Times New Roman" w:hAnsi="Times New Roman" w:cs="Times New Roman"/>
          <w:b/>
          <w:sz w:val="24"/>
          <w:szCs w:val="24"/>
        </w:rPr>
        <w:t>f</w:t>
      </w:r>
      <w:r w:rsidRPr="004E67A8">
        <w:rPr>
          <w:rFonts w:ascii="Times New Roman" w:hAnsi="Times New Roman" w:cs="Times New Roman"/>
          <w:b/>
          <w:sz w:val="24"/>
          <w:szCs w:val="24"/>
        </w:rPr>
        <w:tab/>
        <w:t xml:space="preserve">Synthesis </w:t>
      </w:r>
    </w:p>
    <w:p w:rsidR="0007303D" w:rsidRDefault="00674176" w:rsidP="0067417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49</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Cs/>
          <w:sz w:val="24"/>
          <w:szCs w:val="24"/>
        </w:rPr>
        <w:t>“</w:t>
      </w:r>
      <w:r w:rsidR="0007303D" w:rsidRPr="00795242">
        <w:rPr>
          <w:rFonts w:ascii="Times New Roman" w:hAnsi="Times New Roman" w:cs="Times New Roman"/>
          <w:i/>
          <w:iCs/>
          <w:sz w:val="24"/>
          <w:szCs w:val="24"/>
        </w:rPr>
        <w:t>To be</w:t>
      </w:r>
      <w:r w:rsidR="005A6929">
        <w:rPr>
          <w:rFonts w:ascii="Times New Roman" w:hAnsi="Times New Roman" w:cs="Times New Roman"/>
          <w:i/>
          <w:iCs/>
          <w:sz w:val="24"/>
          <w:szCs w:val="24"/>
        </w:rPr>
        <w:t>,</w:t>
      </w:r>
      <w:r w:rsidR="0007303D" w:rsidRPr="00795242">
        <w:rPr>
          <w:rFonts w:ascii="Times New Roman" w:hAnsi="Times New Roman" w:cs="Times New Roman"/>
          <w:i/>
          <w:iCs/>
          <w:sz w:val="24"/>
          <w:szCs w:val="24"/>
        </w:rPr>
        <w:t xml:space="preserve"> or not to be</w:t>
      </w:r>
      <w:r w:rsidR="005A6929">
        <w:rPr>
          <w:rFonts w:ascii="Times New Roman" w:hAnsi="Times New Roman" w:cs="Times New Roman"/>
          <w:i/>
          <w:iCs/>
          <w:sz w:val="24"/>
          <w:szCs w:val="24"/>
        </w:rPr>
        <w:t xml:space="preserve">: </w:t>
      </w:r>
      <w:r>
        <w:rPr>
          <w:rFonts w:ascii="Times New Roman" w:hAnsi="Times New Roman" w:cs="Times New Roman"/>
          <w:i/>
          <w:iCs/>
          <w:sz w:val="24"/>
          <w:szCs w:val="24"/>
        </w:rPr>
        <w:t xml:space="preserve">that </w:t>
      </w:r>
      <w:r w:rsidR="0007303D" w:rsidRPr="00795242">
        <w:rPr>
          <w:rFonts w:ascii="Times New Roman" w:hAnsi="Times New Roman" w:cs="Times New Roman"/>
          <w:i/>
          <w:iCs/>
          <w:sz w:val="24"/>
          <w:szCs w:val="24"/>
        </w:rPr>
        <w:t>is the question</w:t>
      </w:r>
      <w:r w:rsidR="005A6929">
        <w:rPr>
          <w:rFonts w:ascii="Times New Roman" w:hAnsi="Times New Roman" w:cs="Times New Roman"/>
          <w:i/>
          <w:iCs/>
          <w:sz w:val="24"/>
          <w:szCs w:val="24"/>
        </w:rPr>
        <w:t>.</w:t>
      </w:r>
      <w:r>
        <w:rPr>
          <w:rFonts w:ascii="Times New Roman" w:hAnsi="Times New Roman" w:cs="Times New Roman"/>
          <w:i/>
          <w:iCs/>
          <w:sz w:val="24"/>
          <w:szCs w:val="24"/>
        </w:rPr>
        <w:t>”</w:t>
      </w:r>
      <w:r>
        <w:rPr>
          <w:rFonts w:ascii="Times New Roman" w:hAnsi="Times New Roman" w:cs="Times New Roman"/>
          <w:sz w:val="24"/>
          <w:szCs w:val="24"/>
        </w:rPr>
        <w:t xml:space="preserve"> wrote </w:t>
      </w:r>
      <w:r w:rsidRPr="00674176">
        <w:rPr>
          <w:rFonts w:ascii="Times New Roman" w:hAnsi="Times New Roman" w:cs="Times New Roman"/>
          <w:sz w:val="20"/>
          <w:szCs w:val="20"/>
        </w:rPr>
        <w:t>WILLIAM SHAKESPEARE</w:t>
      </w:r>
      <w:r>
        <w:rPr>
          <w:rFonts w:ascii="Times New Roman" w:hAnsi="Times New Roman" w:cs="Times New Roman"/>
          <w:sz w:val="24"/>
          <w:szCs w:val="24"/>
        </w:rPr>
        <w:t xml:space="preserve"> in the play </w:t>
      </w:r>
      <w:r w:rsidRPr="00674176">
        <w:rPr>
          <w:rFonts w:ascii="Times New Roman" w:hAnsi="Times New Roman" w:cs="Times New Roman"/>
          <w:i/>
          <w:sz w:val="24"/>
          <w:szCs w:val="24"/>
        </w:rPr>
        <w:t>Hamlet</w:t>
      </w:r>
      <w:r>
        <w:rPr>
          <w:rFonts w:ascii="Times New Roman" w:hAnsi="Times New Roman" w:cs="Times New Roman"/>
          <w:sz w:val="24"/>
          <w:szCs w:val="24"/>
        </w:rPr>
        <w:t>.</w:t>
      </w:r>
      <w:r w:rsidR="0007303D" w:rsidRPr="00795242">
        <w:rPr>
          <w:rFonts w:ascii="Times New Roman" w:hAnsi="Times New Roman" w:cs="Times New Roman"/>
          <w:sz w:val="24"/>
          <w:szCs w:val="24"/>
        </w:rPr>
        <w:t xml:space="preserve"> Th</w:t>
      </w:r>
      <w:r w:rsidR="004B3ACC">
        <w:rPr>
          <w:rFonts w:ascii="Times New Roman" w:hAnsi="Times New Roman" w:cs="Times New Roman"/>
          <w:sz w:val="24"/>
          <w:szCs w:val="24"/>
        </w:rPr>
        <w:t>e</w:t>
      </w:r>
      <w:r>
        <w:rPr>
          <w:rFonts w:ascii="Times New Roman" w:hAnsi="Times New Roman" w:cs="Times New Roman"/>
          <w:sz w:val="24"/>
          <w:szCs w:val="24"/>
        </w:rPr>
        <w:t xml:space="preserve"> </w:t>
      </w:r>
      <w:r w:rsidR="0007303D" w:rsidRPr="00795242">
        <w:rPr>
          <w:rFonts w:ascii="Times New Roman" w:hAnsi="Times New Roman" w:cs="Times New Roman"/>
          <w:sz w:val="24"/>
          <w:szCs w:val="24"/>
        </w:rPr>
        <w:t xml:space="preserve">legal conundrum now before this </w:t>
      </w:r>
      <w:r>
        <w:rPr>
          <w:rFonts w:ascii="Times New Roman" w:hAnsi="Times New Roman" w:cs="Times New Roman"/>
          <w:sz w:val="24"/>
          <w:szCs w:val="24"/>
        </w:rPr>
        <w:t>c</w:t>
      </w:r>
      <w:r w:rsidR="0007303D" w:rsidRPr="00795242">
        <w:rPr>
          <w:rFonts w:ascii="Times New Roman" w:hAnsi="Times New Roman" w:cs="Times New Roman"/>
          <w:sz w:val="24"/>
          <w:szCs w:val="24"/>
        </w:rPr>
        <w:t>ourt</w:t>
      </w:r>
      <w:r w:rsidR="004B3ACC">
        <w:rPr>
          <w:rFonts w:ascii="Times New Roman" w:hAnsi="Times New Roman" w:cs="Times New Roman"/>
          <w:sz w:val="24"/>
          <w:szCs w:val="24"/>
        </w:rPr>
        <w:t xml:space="preserve"> is</w:t>
      </w:r>
      <w:r w:rsidR="0007303D" w:rsidRPr="00795242">
        <w:rPr>
          <w:rFonts w:ascii="Times New Roman" w:hAnsi="Times New Roman" w:cs="Times New Roman"/>
          <w:sz w:val="24"/>
          <w:szCs w:val="24"/>
        </w:rPr>
        <w:t xml:space="preserve"> whether or not invoices that are technically non-compliant with the Act may </w:t>
      </w:r>
      <w:r>
        <w:rPr>
          <w:rFonts w:ascii="Times New Roman" w:hAnsi="Times New Roman" w:cs="Times New Roman"/>
          <w:sz w:val="24"/>
          <w:szCs w:val="24"/>
        </w:rPr>
        <w:t xml:space="preserve">nevertheless </w:t>
      </w:r>
      <w:r w:rsidR="0007303D" w:rsidRPr="00795242">
        <w:rPr>
          <w:rFonts w:ascii="Times New Roman" w:hAnsi="Times New Roman" w:cs="Times New Roman"/>
          <w:sz w:val="24"/>
          <w:szCs w:val="24"/>
        </w:rPr>
        <w:t>be accepted in light of a retrospective deeming provision</w:t>
      </w:r>
      <w:r w:rsidR="004B3ACC">
        <w:rPr>
          <w:rFonts w:ascii="Times New Roman" w:hAnsi="Times New Roman" w:cs="Times New Roman"/>
          <w:sz w:val="24"/>
          <w:szCs w:val="24"/>
        </w:rPr>
        <w:t xml:space="preserve"> and the discretion reposed in the respondent’s Commissioner</w:t>
      </w:r>
      <w:r>
        <w:rPr>
          <w:rFonts w:ascii="Times New Roman" w:hAnsi="Times New Roman" w:cs="Times New Roman"/>
          <w:sz w:val="24"/>
          <w:szCs w:val="24"/>
        </w:rPr>
        <w:t xml:space="preserve">. </w:t>
      </w:r>
    </w:p>
    <w:p w:rsidR="0007303D" w:rsidRPr="00795242" w:rsidRDefault="004B3ACC" w:rsidP="008479C5">
      <w:pPr>
        <w:spacing w:line="36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w:t>
      </w:r>
      <w:r w:rsidR="00C43D6A">
        <w:rPr>
          <w:rFonts w:ascii="Times New Roman" w:hAnsi="Times New Roman" w:cs="Times New Roman"/>
          <w:sz w:val="24"/>
          <w:szCs w:val="24"/>
        </w:rPr>
        <w:t>50</w:t>
      </w:r>
      <w:r>
        <w:rPr>
          <w:rFonts w:ascii="Times New Roman" w:hAnsi="Times New Roman" w:cs="Times New Roman"/>
          <w:sz w:val="24"/>
          <w:szCs w:val="24"/>
        </w:rPr>
        <w:t>]</w:t>
      </w:r>
      <w:r>
        <w:rPr>
          <w:rFonts w:ascii="Times New Roman" w:hAnsi="Times New Roman" w:cs="Times New Roman"/>
          <w:sz w:val="24"/>
          <w:szCs w:val="24"/>
        </w:rPr>
        <w:tab/>
        <w:t xml:space="preserve"> The respondent places</w:t>
      </w:r>
      <w:r w:rsidR="0007303D" w:rsidRPr="004B3ACC">
        <w:rPr>
          <w:rFonts w:ascii="Times New Roman" w:hAnsi="Times New Roman" w:cs="Times New Roman"/>
          <w:sz w:val="24"/>
          <w:szCs w:val="24"/>
        </w:rPr>
        <w:t xml:space="preserve"> considerable emphasis on the principle that where statutory language is clear, it must be given effect </w:t>
      </w:r>
      <w:r>
        <w:rPr>
          <w:rFonts w:ascii="Times New Roman" w:hAnsi="Times New Roman" w:cs="Times New Roman"/>
          <w:sz w:val="24"/>
          <w:szCs w:val="24"/>
        </w:rPr>
        <w:t xml:space="preserve">to </w:t>
      </w:r>
      <w:r w:rsidR="0007303D" w:rsidRPr="004B3ACC">
        <w:rPr>
          <w:rFonts w:ascii="Times New Roman" w:hAnsi="Times New Roman" w:cs="Times New Roman"/>
          <w:sz w:val="24"/>
          <w:szCs w:val="24"/>
        </w:rPr>
        <w:t xml:space="preserve">without resort to </w:t>
      </w:r>
      <w:r>
        <w:rPr>
          <w:rFonts w:ascii="Times New Roman" w:hAnsi="Times New Roman" w:cs="Times New Roman"/>
          <w:sz w:val="24"/>
          <w:szCs w:val="24"/>
        </w:rPr>
        <w:t xml:space="preserve">canons </w:t>
      </w:r>
      <w:r w:rsidR="008479C5">
        <w:rPr>
          <w:rFonts w:ascii="Times New Roman" w:hAnsi="Times New Roman" w:cs="Times New Roman"/>
          <w:sz w:val="24"/>
          <w:szCs w:val="24"/>
        </w:rPr>
        <w:t>o</w:t>
      </w:r>
      <w:r>
        <w:rPr>
          <w:rFonts w:ascii="Times New Roman" w:hAnsi="Times New Roman" w:cs="Times New Roman"/>
          <w:sz w:val="24"/>
          <w:szCs w:val="24"/>
        </w:rPr>
        <w:t xml:space="preserve">f </w:t>
      </w:r>
      <w:r w:rsidR="0007303D" w:rsidRPr="004B3ACC">
        <w:rPr>
          <w:rFonts w:ascii="Times New Roman" w:hAnsi="Times New Roman" w:cs="Times New Roman"/>
          <w:sz w:val="24"/>
          <w:szCs w:val="24"/>
        </w:rPr>
        <w:t xml:space="preserve">interpretation. </w:t>
      </w:r>
      <w:r w:rsidR="008479C5">
        <w:rPr>
          <w:rFonts w:ascii="Times New Roman" w:hAnsi="Times New Roman" w:cs="Times New Roman"/>
          <w:sz w:val="24"/>
          <w:szCs w:val="24"/>
        </w:rPr>
        <w:t xml:space="preserve">Of course there is a glut of case law on this point. </w:t>
      </w:r>
    </w:p>
    <w:p w:rsidR="0007303D" w:rsidRPr="004B3ACC" w:rsidRDefault="004B3ACC" w:rsidP="004B3A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51</w:t>
      </w:r>
      <w:r>
        <w:rPr>
          <w:rFonts w:ascii="Times New Roman" w:hAnsi="Times New Roman" w:cs="Times New Roman"/>
          <w:sz w:val="24"/>
          <w:szCs w:val="24"/>
        </w:rPr>
        <w:t>]</w:t>
      </w:r>
      <w:r>
        <w:rPr>
          <w:rFonts w:ascii="Times New Roman" w:hAnsi="Times New Roman" w:cs="Times New Roman"/>
          <w:sz w:val="24"/>
          <w:szCs w:val="24"/>
        </w:rPr>
        <w:tab/>
      </w:r>
      <w:r w:rsidR="0007303D" w:rsidRPr="004B3ACC">
        <w:rPr>
          <w:rFonts w:ascii="Times New Roman" w:hAnsi="Times New Roman" w:cs="Times New Roman"/>
          <w:sz w:val="24"/>
          <w:szCs w:val="24"/>
        </w:rPr>
        <w:t xml:space="preserve">The respondent </w:t>
      </w:r>
      <w:r>
        <w:rPr>
          <w:rFonts w:ascii="Times New Roman" w:hAnsi="Times New Roman" w:cs="Times New Roman"/>
          <w:sz w:val="24"/>
          <w:szCs w:val="24"/>
        </w:rPr>
        <w:t xml:space="preserve">argues </w:t>
      </w:r>
      <w:r w:rsidR="0007303D" w:rsidRPr="004B3ACC">
        <w:rPr>
          <w:rFonts w:ascii="Times New Roman" w:hAnsi="Times New Roman" w:cs="Times New Roman"/>
          <w:sz w:val="24"/>
          <w:szCs w:val="24"/>
        </w:rPr>
        <w:t xml:space="preserve">that the requirements of </w:t>
      </w:r>
      <w:r>
        <w:rPr>
          <w:rFonts w:ascii="Times New Roman" w:hAnsi="Times New Roman" w:cs="Times New Roman"/>
          <w:sz w:val="24"/>
          <w:szCs w:val="24"/>
        </w:rPr>
        <w:t xml:space="preserve">s </w:t>
      </w:r>
      <w:r w:rsidR="0007303D" w:rsidRPr="004B3ACC">
        <w:rPr>
          <w:rFonts w:ascii="Times New Roman" w:hAnsi="Times New Roman" w:cs="Times New Roman"/>
          <w:sz w:val="24"/>
          <w:szCs w:val="24"/>
        </w:rPr>
        <w:t>20</w:t>
      </w:r>
      <w:r w:rsidR="008479C5">
        <w:rPr>
          <w:rFonts w:ascii="Times New Roman" w:hAnsi="Times New Roman" w:cs="Times New Roman"/>
          <w:sz w:val="24"/>
          <w:szCs w:val="24"/>
        </w:rPr>
        <w:t xml:space="preserve"> of the Act</w:t>
      </w:r>
      <w:r w:rsidR="0007303D" w:rsidRPr="004B3ACC">
        <w:rPr>
          <w:rFonts w:ascii="Times New Roman" w:hAnsi="Times New Roman" w:cs="Times New Roman"/>
          <w:sz w:val="24"/>
          <w:szCs w:val="24"/>
        </w:rPr>
        <w:t>, particularly those relating to the content of tax invoices, are couched in mandatory terms and must be strictly complied with, regardless of any retrospective deeming of registration</w:t>
      </w:r>
      <w:r>
        <w:rPr>
          <w:rFonts w:ascii="Times New Roman" w:hAnsi="Times New Roman" w:cs="Times New Roman"/>
          <w:sz w:val="24"/>
          <w:szCs w:val="24"/>
        </w:rPr>
        <w:t xml:space="preserve"> elsewhere in the Act</w:t>
      </w:r>
      <w:r w:rsidR="0007303D" w:rsidRPr="004B3ACC">
        <w:rPr>
          <w:rFonts w:ascii="Times New Roman" w:hAnsi="Times New Roman" w:cs="Times New Roman"/>
          <w:sz w:val="24"/>
          <w:szCs w:val="24"/>
        </w:rPr>
        <w:t>.</w:t>
      </w:r>
    </w:p>
    <w:p w:rsidR="0007303D" w:rsidRDefault="004B3ACC" w:rsidP="004B3A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52</w:t>
      </w:r>
      <w:r>
        <w:rPr>
          <w:rFonts w:ascii="Times New Roman" w:hAnsi="Times New Roman" w:cs="Times New Roman"/>
          <w:sz w:val="24"/>
          <w:szCs w:val="24"/>
        </w:rPr>
        <w:t>]</w:t>
      </w:r>
      <w:r>
        <w:rPr>
          <w:rFonts w:ascii="Times New Roman" w:hAnsi="Times New Roman" w:cs="Times New Roman"/>
          <w:sz w:val="24"/>
          <w:szCs w:val="24"/>
        </w:rPr>
        <w:tab/>
      </w:r>
      <w:r w:rsidR="0007303D" w:rsidRPr="00795242">
        <w:rPr>
          <w:rFonts w:ascii="Times New Roman" w:hAnsi="Times New Roman" w:cs="Times New Roman"/>
          <w:sz w:val="24"/>
          <w:szCs w:val="24"/>
        </w:rPr>
        <w:t xml:space="preserve">The </w:t>
      </w:r>
      <w:r w:rsidR="0052116B">
        <w:rPr>
          <w:rFonts w:ascii="Times New Roman" w:hAnsi="Times New Roman" w:cs="Times New Roman"/>
          <w:sz w:val="24"/>
          <w:szCs w:val="24"/>
        </w:rPr>
        <w:t>term ‘deemed’</w:t>
      </w:r>
      <w:r w:rsidR="0007303D" w:rsidRPr="00795242">
        <w:rPr>
          <w:rFonts w:ascii="Times New Roman" w:hAnsi="Times New Roman" w:cs="Times New Roman"/>
          <w:sz w:val="24"/>
          <w:szCs w:val="24"/>
        </w:rPr>
        <w:t xml:space="preserve">, though not expressly defined in the Act, has long been the subject of legal </w:t>
      </w:r>
      <w:r w:rsidR="0052116B">
        <w:rPr>
          <w:rFonts w:ascii="Times New Roman" w:hAnsi="Times New Roman" w:cs="Times New Roman"/>
          <w:sz w:val="24"/>
          <w:szCs w:val="24"/>
        </w:rPr>
        <w:t>debate</w:t>
      </w:r>
      <w:r w:rsidR="0007303D" w:rsidRPr="00795242">
        <w:rPr>
          <w:rFonts w:ascii="Times New Roman" w:hAnsi="Times New Roman" w:cs="Times New Roman"/>
          <w:sz w:val="24"/>
          <w:szCs w:val="24"/>
        </w:rPr>
        <w:t xml:space="preserve"> in both case law and academic commentar</w:t>
      </w:r>
      <w:r w:rsidR="00A90A3D">
        <w:rPr>
          <w:rFonts w:ascii="Times New Roman" w:hAnsi="Times New Roman" w:cs="Times New Roman"/>
          <w:sz w:val="24"/>
          <w:szCs w:val="24"/>
        </w:rPr>
        <w:t>ies</w:t>
      </w:r>
      <w:r w:rsidR="0007303D" w:rsidRPr="00795242">
        <w:rPr>
          <w:rFonts w:ascii="Times New Roman" w:hAnsi="Times New Roman" w:cs="Times New Roman"/>
          <w:sz w:val="24"/>
          <w:szCs w:val="24"/>
        </w:rPr>
        <w:t>. It is a term of art frequently used in legislation to create legal fictions for specific statutory purposes.</w:t>
      </w:r>
    </w:p>
    <w:p w:rsidR="0007303D" w:rsidRPr="00795242" w:rsidRDefault="0052116B" w:rsidP="0052116B">
      <w:pPr>
        <w:spacing w:line="36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w:t>
      </w:r>
      <w:r w:rsidR="00C43D6A">
        <w:rPr>
          <w:rFonts w:ascii="Times New Roman" w:hAnsi="Times New Roman" w:cs="Times New Roman"/>
          <w:sz w:val="24"/>
          <w:szCs w:val="24"/>
        </w:rPr>
        <w:t>53</w:t>
      </w:r>
      <w:r>
        <w:rPr>
          <w:rFonts w:ascii="Times New Roman" w:hAnsi="Times New Roman" w:cs="Times New Roman"/>
          <w:sz w:val="24"/>
          <w:szCs w:val="24"/>
        </w:rPr>
        <w:t>]</w:t>
      </w:r>
      <w:r>
        <w:rPr>
          <w:rFonts w:ascii="Times New Roman" w:hAnsi="Times New Roman" w:cs="Times New Roman"/>
          <w:sz w:val="24"/>
          <w:szCs w:val="24"/>
        </w:rPr>
        <w:tab/>
        <w:t>T</w:t>
      </w:r>
      <w:r w:rsidR="0007303D" w:rsidRPr="00795242">
        <w:rPr>
          <w:rFonts w:ascii="Times New Roman" w:hAnsi="Times New Roman" w:cs="Times New Roman"/>
          <w:sz w:val="24"/>
          <w:szCs w:val="24"/>
        </w:rPr>
        <w:t xml:space="preserve">he </w:t>
      </w:r>
      <w:r w:rsidR="0007303D" w:rsidRPr="0052116B">
        <w:rPr>
          <w:rFonts w:ascii="Times New Roman" w:hAnsi="Times New Roman" w:cs="Times New Roman"/>
          <w:bCs/>
          <w:sz w:val="24"/>
          <w:szCs w:val="24"/>
        </w:rPr>
        <w:t>Oxford Dictionary of Law</w:t>
      </w:r>
      <w:r w:rsidR="008479C5">
        <w:rPr>
          <w:rFonts w:ascii="Times New Roman" w:hAnsi="Times New Roman" w:cs="Times New Roman"/>
          <w:bCs/>
          <w:sz w:val="24"/>
          <w:szCs w:val="24"/>
        </w:rPr>
        <w:t xml:space="preserve"> </w:t>
      </w:r>
      <w:r w:rsidR="00A90A3D">
        <w:rPr>
          <w:rFonts w:ascii="Times New Roman" w:hAnsi="Times New Roman" w:cs="Times New Roman"/>
          <w:bCs/>
          <w:sz w:val="24"/>
          <w:szCs w:val="24"/>
        </w:rPr>
        <w:t>defines</w:t>
      </w:r>
      <w:r w:rsidR="008479C5">
        <w:rPr>
          <w:rFonts w:ascii="Times New Roman" w:hAnsi="Times New Roman" w:cs="Times New Roman"/>
          <w:bCs/>
          <w:sz w:val="24"/>
          <w:szCs w:val="24"/>
        </w:rPr>
        <w:t xml:space="preserve"> “</w:t>
      </w:r>
      <w:r w:rsidR="008479C5" w:rsidRPr="008479C5">
        <w:rPr>
          <w:rFonts w:ascii="Times New Roman" w:hAnsi="Times New Roman" w:cs="Times New Roman"/>
          <w:bCs/>
          <w:i/>
          <w:sz w:val="24"/>
          <w:szCs w:val="24"/>
        </w:rPr>
        <w:t>deemed</w:t>
      </w:r>
      <w:r w:rsidR="008479C5">
        <w:rPr>
          <w:rFonts w:ascii="Times New Roman" w:hAnsi="Times New Roman" w:cs="Times New Roman"/>
          <w:bCs/>
          <w:sz w:val="24"/>
          <w:szCs w:val="24"/>
        </w:rPr>
        <w:t>” as follows</w:t>
      </w:r>
      <w:r w:rsidR="0007303D" w:rsidRPr="0052116B">
        <w:rPr>
          <w:rFonts w:ascii="Times New Roman" w:hAnsi="Times New Roman" w:cs="Times New Roman"/>
          <w:bCs/>
          <w:sz w:val="24"/>
          <w:szCs w:val="24"/>
        </w:rPr>
        <w:t>:</w:t>
      </w:r>
    </w:p>
    <w:p w:rsidR="0007303D" w:rsidRPr="0052116B" w:rsidRDefault="0052116B" w:rsidP="0052116B">
      <w:pPr>
        <w:spacing w:line="240" w:lineRule="auto"/>
        <w:ind w:left="1440"/>
        <w:jc w:val="both"/>
        <w:rPr>
          <w:rFonts w:ascii="Times New Roman" w:hAnsi="Times New Roman" w:cs="Times New Roman"/>
        </w:rPr>
      </w:pPr>
      <w:r>
        <w:rPr>
          <w:rFonts w:ascii="Times New Roman" w:hAnsi="Times New Roman" w:cs="Times New Roman"/>
        </w:rPr>
        <w:t>“</w:t>
      </w:r>
      <w:r w:rsidR="008479C5">
        <w:rPr>
          <w:rFonts w:ascii="Times New Roman" w:hAnsi="Times New Roman" w:cs="Times New Roman"/>
          <w:bCs/>
          <w:iCs/>
        </w:rPr>
        <w:t>In law, ‘deemed’ means something is treated as if it were true, valid, or existing, even if it isn’t actually so, for a specific legal purpose.”</w:t>
      </w:r>
    </w:p>
    <w:p w:rsidR="0052116B" w:rsidRDefault="0052116B" w:rsidP="0052116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54</w:t>
      </w:r>
      <w:r>
        <w:rPr>
          <w:rFonts w:ascii="Times New Roman" w:hAnsi="Times New Roman" w:cs="Times New Roman"/>
          <w:sz w:val="24"/>
          <w:szCs w:val="24"/>
        </w:rPr>
        <w:t>]</w:t>
      </w:r>
      <w:r>
        <w:rPr>
          <w:rFonts w:ascii="Times New Roman" w:hAnsi="Times New Roman" w:cs="Times New Roman"/>
          <w:sz w:val="24"/>
          <w:szCs w:val="24"/>
        </w:rPr>
        <w:tab/>
      </w:r>
      <w:r w:rsidR="0007303D" w:rsidRPr="0052116B">
        <w:rPr>
          <w:rFonts w:ascii="Times New Roman" w:hAnsi="Times New Roman" w:cs="Times New Roman"/>
          <w:sz w:val="24"/>
          <w:szCs w:val="24"/>
        </w:rPr>
        <w:t>This definition reinforces the position taken in judicial precedent</w:t>
      </w:r>
      <w:r w:rsidR="008479C5">
        <w:rPr>
          <w:rFonts w:ascii="Times New Roman" w:hAnsi="Times New Roman" w:cs="Times New Roman"/>
          <w:sz w:val="24"/>
          <w:szCs w:val="24"/>
        </w:rPr>
        <w:t>s</w:t>
      </w:r>
      <w:r w:rsidR="0007303D" w:rsidRPr="0052116B">
        <w:rPr>
          <w:rFonts w:ascii="Times New Roman" w:hAnsi="Times New Roman" w:cs="Times New Roman"/>
          <w:sz w:val="24"/>
          <w:szCs w:val="24"/>
        </w:rPr>
        <w:t xml:space="preserve"> that a deemed state of affairs must, for all legal intents and purposes under the relevant statute, be accepted as real, regardless of the factual reality to the contrary.</w:t>
      </w:r>
      <w:r>
        <w:rPr>
          <w:rFonts w:ascii="Times New Roman" w:hAnsi="Times New Roman" w:cs="Times New Roman"/>
          <w:sz w:val="24"/>
          <w:szCs w:val="24"/>
        </w:rPr>
        <w:t xml:space="preserve"> S</w:t>
      </w:r>
      <w:r w:rsidR="0007303D" w:rsidRPr="00795242">
        <w:rPr>
          <w:rFonts w:ascii="Times New Roman" w:hAnsi="Times New Roman" w:cs="Times New Roman"/>
          <w:sz w:val="24"/>
          <w:szCs w:val="24"/>
        </w:rPr>
        <w:t xml:space="preserve">omething which is ‘deemed’ is to be treated as if it were something else, which in the ordinary sense, it is not. </w:t>
      </w:r>
    </w:p>
    <w:p w:rsidR="0007303D" w:rsidRDefault="0052116B" w:rsidP="00D74A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C43D6A">
        <w:rPr>
          <w:rFonts w:ascii="Times New Roman" w:hAnsi="Times New Roman" w:cs="Times New Roman"/>
          <w:sz w:val="24"/>
          <w:szCs w:val="24"/>
        </w:rPr>
        <w:t>55</w:t>
      </w:r>
      <w:r>
        <w:rPr>
          <w:rFonts w:ascii="Times New Roman" w:hAnsi="Times New Roman" w:cs="Times New Roman"/>
          <w:sz w:val="24"/>
          <w:szCs w:val="24"/>
        </w:rPr>
        <w:t>]</w:t>
      </w:r>
      <w:r>
        <w:rPr>
          <w:rFonts w:ascii="Times New Roman" w:hAnsi="Times New Roman" w:cs="Times New Roman"/>
          <w:sz w:val="24"/>
          <w:szCs w:val="24"/>
        </w:rPr>
        <w:tab/>
        <w:t xml:space="preserve">I consider that </w:t>
      </w:r>
      <w:r w:rsidR="0007303D" w:rsidRPr="00795242">
        <w:rPr>
          <w:rFonts w:ascii="Times New Roman" w:hAnsi="Times New Roman" w:cs="Times New Roman"/>
          <w:sz w:val="24"/>
          <w:szCs w:val="24"/>
        </w:rPr>
        <w:t xml:space="preserve">the </w:t>
      </w:r>
      <w:r w:rsidR="00D74AF6">
        <w:rPr>
          <w:rFonts w:ascii="Times New Roman" w:hAnsi="Times New Roman" w:cs="Times New Roman"/>
          <w:sz w:val="24"/>
          <w:szCs w:val="24"/>
        </w:rPr>
        <w:t xml:space="preserve">legal </w:t>
      </w:r>
      <w:r w:rsidR="0007303D" w:rsidRPr="00795242">
        <w:rPr>
          <w:rFonts w:ascii="Times New Roman" w:hAnsi="Times New Roman" w:cs="Times New Roman"/>
          <w:sz w:val="24"/>
          <w:szCs w:val="24"/>
        </w:rPr>
        <w:t xml:space="preserve">construct </w:t>
      </w:r>
      <w:r w:rsidR="00D74AF6">
        <w:rPr>
          <w:rFonts w:ascii="Times New Roman" w:hAnsi="Times New Roman" w:cs="Times New Roman"/>
          <w:sz w:val="24"/>
          <w:szCs w:val="24"/>
        </w:rPr>
        <w:t xml:space="preserve">of the legislative objective </w:t>
      </w:r>
      <w:r w:rsidR="0007303D" w:rsidRPr="00795242">
        <w:rPr>
          <w:rFonts w:ascii="Times New Roman" w:hAnsi="Times New Roman" w:cs="Times New Roman"/>
          <w:sz w:val="24"/>
          <w:szCs w:val="24"/>
        </w:rPr>
        <w:t>of a deeming provision</w:t>
      </w:r>
      <w:r>
        <w:rPr>
          <w:rFonts w:ascii="Times New Roman" w:hAnsi="Times New Roman" w:cs="Times New Roman"/>
          <w:sz w:val="24"/>
          <w:szCs w:val="24"/>
        </w:rPr>
        <w:t xml:space="preserve"> is not a neutral device. It cannot be</w:t>
      </w:r>
      <w:r w:rsidR="0007303D" w:rsidRPr="00795242">
        <w:rPr>
          <w:rFonts w:ascii="Times New Roman" w:hAnsi="Times New Roman" w:cs="Times New Roman"/>
          <w:sz w:val="24"/>
          <w:szCs w:val="24"/>
        </w:rPr>
        <w:t xml:space="preserve"> merely a cosmetic legislative formality without substantive co</w:t>
      </w:r>
      <w:r>
        <w:rPr>
          <w:rFonts w:ascii="Times New Roman" w:hAnsi="Times New Roman" w:cs="Times New Roman"/>
          <w:sz w:val="24"/>
          <w:szCs w:val="24"/>
        </w:rPr>
        <w:t xml:space="preserve">nsequence. </w:t>
      </w:r>
      <w:r w:rsidR="00D74AF6">
        <w:rPr>
          <w:rFonts w:ascii="Times New Roman" w:hAnsi="Times New Roman" w:cs="Times New Roman"/>
          <w:sz w:val="24"/>
          <w:szCs w:val="24"/>
        </w:rPr>
        <w:t>D</w:t>
      </w:r>
      <w:r w:rsidR="0007303D" w:rsidRPr="00795242">
        <w:rPr>
          <w:rFonts w:ascii="Times New Roman" w:hAnsi="Times New Roman" w:cs="Times New Roman"/>
          <w:sz w:val="24"/>
          <w:szCs w:val="24"/>
        </w:rPr>
        <w:t xml:space="preserve">eeming </w:t>
      </w:r>
      <w:r w:rsidR="00A90A3D">
        <w:rPr>
          <w:rFonts w:ascii="Times New Roman" w:hAnsi="Times New Roman" w:cs="Times New Roman"/>
          <w:sz w:val="24"/>
          <w:szCs w:val="24"/>
        </w:rPr>
        <w:t>is</w:t>
      </w:r>
      <w:r w:rsidR="0007303D" w:rsidRPr="00795242">
        <w:rPr>
          <w:rFonts w:ascii="Times New Roman" w:hAnsi="Times New Roman" w:cs="Times New Roman"/>
          <w:sz w:val="24"/>
          <w:szCs w:val="24"/>
        </w:rPr>
        <w:t xml:space="preserve"> often employed as </w:t>
      </w:r>
      <w:r w:rsidR="00A90A3D">
        <w:rPr>
          <w:rFonts w:ascii="Times New Roman" w:hAnsi="Times New Roman" w:cs="Times New Roman"/>
          <w:sz w:val="24"/>
          <w:szCs w:val="24"/>
        </w:rPr>
        <w:t xml:space="preserve">a </w:t>
      </w:r>
      <w:r w:rsidR="0007303D" w:rsidRPr="00795242">
        <w:rPr>
          <w:rFonts w:ascii="Times New Roman" w:hAnsi="Times New Roman" w:cs="Times New Roman"/>
          <w:sz w:val="24"/>
          <w:szCs w:val="24"/>
        </w:rPr>
        <w:t>deliberate legal tool designed, within defined limits</w:t>
      </w:r>
      <w:r w:rsidR="00D74AF6">
        <w:rPr>
          <w:rFonts w:ascii="Times New Roman" w:hAnsi="Times New Roman" w:cs="Times New Roman"/>
          <w:sz w:val="24"/>
          <w:szCs w:val="24"/>
        </w:rPr>
        <w:t xml:space="preserve"> – to p</w:t>
      </w:r>
      <w:r w:rsidR="0007303D" w:rsidRPr="00795242">
        <w:rPr>
          <w:rFonts w:ascii="Times New Roman" w:hAnsi="Times New Roman" w:cs="Times New Roman"/>
          <w:sz w:val="24"/>
          <w:szCs w:val="24"/>
        </w:rPr>
        <w:t xml:space="preserve">roduce tangible and binding legal consequences. In many instances, </w:t>
      </w:r>
      <w:r w:rsidR="00A90A3D">
        <w:rPr>
          <w:rFonts w:ascii="Times New Roman" w:hAnsi="Times New Roman" w:cs="Times New Roman"/>
          <w:sz w:val="24"/>
          <w:szCs w:val="24"/>
        </w:rPr>
        <w:t>deeming</w:t>
      </w:r>
      <w:r w:rsidR="0007303D" w:rsidRPr="00795242">
        <w:rPr>
          <w:rFonts w:ascii="Times New Roman" w:hAnsi="Times New Roman" w:cs="Times New Roman"/>
          <w:sz w:val="24"/>
          <w:szCs w:val="24"/>
        </w:rPr>
        <w:t xml:space="preserve"> serve</w:t>
      </w:r>
      <w:r w:rsidR="00A90A3D">
        <w:rPr>
          <w:rFonts w:ascii="Times New Roman" w:hAnsi="Times New Roman" w:cs="Times New Roman"/>
          <w:sz w:val="24"/>
          <w:szCs w:val="24"/>
        </w:rPr>
        <w:t>s</w:t>
      </w:r>
      <w:r w:rsidR="0007303D" w:rsidRPr="00795242">
        <w:rPr>
          <w:rFonts w:ascii="Times New Roman" w:hAnsi="Times New Roman" w:cs="Times New Roman"/>
          <w:sz w:val="24"/>
          <w:szCs w:val="24"/>
        </w:rPr>
        <w:t xml:space="preserve"> to cure procedural gaps, address administrative limitations, or give retrospective effect to a legal status in furtherance of an identifiable legislative purpose.</w:t>
      </w:r>
    </w:p>
    <w:p w:rsidR="00D74AF6" w:rsidRDefault="00D74AF6" w:rsidP="00D74A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56</w:t>
      </w:r>
      <w:r>
        <w:rPr>
          <w:rFonts w:ascii="Times New Roman" w:hAnsi="Times New Roman" w:cs="Times New Roman"/>
          <w:sz w:val="24"/>
          <w:szCs w:val="24"/>
        </w:rPr>
        <w:t>]</w:t>
      </w:r>
      <w:r>
        <w:rPr>
          <w:rFonts w:ascii="Times New Roman" w:hAnsi="Times New Roman" w:cs="Times New Roman"/>
          <w:sz w:val="24"/>
          <w:szCs w:val="24"/>
        </w:rPr>
        <w:tab/>
        <w:t>I</w:t>
      </w:r>
      <w:r w:rsidR="0007303D" w:rsidRPr="00795242">
        <w:rPr>
          <w:rFonts w:ascii="Times New Roman" w:hAnsi="Times New Roman" w:cs="Times New Roman"/>
          <w:sz w:val="24"/>
          <w:szCs w:val="24"/>
        </w:rPr>
        <w:t xml:space="preserve">n </w:t>
      </w:r>
      <w:r w:rsidR="0007303D" w:rsidRPr="00D74AF6">
        <w:rPr>
          <w:rFonts w:ascii="Times New Roman" w:hAnsi="Times New Roman" w:cs="Times New Roman"/>
          <w:bCs/>
          <w:i/>
          <w:sz w:val="24"/>
          <w:szCs w:val="24"/>
        </w:rPr>
        <w:t>C</w:t>
      </w:r>
      <w:r w:rsidR="003326F3">
        <w:rPr>
          <w:rFonts w:ascii="Times New Roman" w:hAnsi="Times New Roman" w:cs="Times New Roman"/>
          <w:bCs/>
          <w:i/>
          <w:sz w:val="24"/>
          <w:szCs w:val="24"/>
        </w:rPr>
        <w:t xml:space="preserve">ommissioner for the </w:t>
      </w:r>
      <w:r w:rsidR="0007303D" w:rsidRPr="00D74AF6">
        <w:rPr>
          <w:rFonts w:ascii="Times New Roman" w:hAnsi="Times New Roman" w:cs="Times New Roman"/>
          <w:bCs/>
          <w:i/>
          <w:sz w:val="24"/>
          <w:szCs w:val="24"/>
        </w:rPr>
        <w:t>S</w:t>
      </w:r>
      <w:r w:rsidR="003326F3">
        <w:rPr>
          <w:rFonts w:ascii="Times New Roman" w:hAnsi="Times New Roman" w:cs="Times New Roman"/>
          <w:bCs/>
          <w:i/>
          <w:sz w:val="24"/>
          <w:szCs w:val="24"/>
        </w:rPr>
        <w:t xml:space="preserve">outh </w:t>
      </w:r>
      <w:r w:rsidR="0007303D" w:rsidRPr="00D74AF6">
        <w:rPr>
          <w:rFonts w:ascii="Times New Roman" w:hAnsi="Times New Roman" w:cs="Times New Roman"/>
          <w:bCs/>
          <w:i/>
          <w:sz w:val="24"/>
          <w:szCs w:val="24"/>
        </w:rPr>
        <w:t>A</w:t>
      </w:r>
      <w:r w:rsidR="003326F3">
        <w:rPr>
          <w:rFonts w:ascii="Times New Roman" w:hAnsi="Times New Roman" w:cs="Times New Roman"/>
          <w:bCs/>
          <w:i/>
          <w:sz w:val="24"/>
          <w:szCs w:val="24"/>
        </w:rPr>
        <w:t xml:space="preserve">frican </w:t>
      </w:r>
      <w:r w:rsidR="0007303D" w:rsidRPr="00D74AF6">
        <w:rPr>
          <w:rFonts w:ascii="Times New Roman" w:hAnsi="Times New Roman" w:cs="Times New Roman"/>
          <w:bCs/>
          <w:i/>
          <w:sz w:val="24"/>
          <w:szCs w:val="24"/>
        </w:rPr>
        <w:t>R</w:t>
      </w:r>
      <w:r w:rsidR="003326F3">
        <w:rPr>
          <w:rFonts w:ascii="Times New Roman" w:hAnsi="Times New Roman" w:cs="Times New Roman"/>
          <w:bCs/>
          <w:i/>
          <w:sz w:val="24"/>
          <w:szCs w:val="24"/>
        </w:rPr>
        <w:t xml:space="preserve">evenue </w:t>
      </w:r>
      <w:r w:rsidR="0007303D" w:rsidRPr="00D74AF6">
        <w:rPr>
          <w:rFonts w:ascii="Times New Roman" w:hAnsi="Times New Roman" w:cs="Times New Roman"/>
          <w:bCs/>
          <w:i/>
          <w:sz w:val="24"/>
          <w:szCs w:val="24"/>
        </w:rPr>
        <w:t>S</w:t>
      </w:r>
      <w:r w:rsidR="003326F3">
        <w:rPr>
          <w:rFonts w:ascii="Times New Roman" w:hAnsi="Times New Roman" w:cs="Times New Roman"/>
          <w:bCs/>
          <w:i/>
          <w:sz w:val="24"/>
          <w:szCs w:val="24"/>
        </w:rPr>
        <w:t>ervice</w:t>
      </w:r>
      <w:r w:rsidR="0007303D" w:rsidRPr="00D74AF6">
        <w:rPr>
          <w:rFonts w:ascii="Times New Roman" w:hAnsi="Times New Roman" w:cs="Times New Roman"/>
          <w:bCs/>
          <w:i/>
          <w:sz w:val="24"/>
          <w:szCs w:val="24"/>
        </w:rPr>
        <w:t xml:space="preserve"> v Tradehold Ltd</w:t>
      </w:r>
      <w:r w:rsidR="0007303D" w:rsidRPr="00795242">
        <w:rPr>
          <w:rFonts w:ascii="Times New Roman" w:hAnsi="Times New Roman" w:cs="Times New Roman"/>
          <w:b/>
          <w:bCs/>
          <w:sz w:val="24"/>
          <w:szCs w:val="24"/>
        </w:rPr>
        <w:t xml:space="preserve"> </w:t>
      </w:r>
      <w:r w:rsidR="0007303D" w:rsidRPr="00795242">
        <w:rPr>
          <w:rFonts w:ascii="Times New Roman" w:hAnsi="Times New Roman" w:cs="Times New Roman"/>
          <w:sz w:val="24"/>
          <w:szCs w:val="24"/>
        </w:rPr>
        <w:t xml:space="preserve">[2012] </w:t>
      </w:r>
      <w:r w:rsidR="003326F3">
        <w:rPr>
          <w:rFonts w:ascii="Times New Roman" w:hAnsi="Times New Roman" w:cs="Times New Roman"/>
          <w:sz w:val="24"/>
          <w:szCs w:val="24"/>
        </w:rPr>
        <w:t>3 A</w:t>
      </w:r>
      <w:r w:rsidR="006A728A">
        <w:rPr>
          <w:rFonts w:ascii="Times New Roman" w:hAnsi="Times New Roman" w:cs="Times New Roman"/>
          <w:sz w:val="24"/>
          <w:szCs w:val="24"/>
        </w:rPr>
        <w:t>ll SA 15 [SCA]; 2013 [4] SA 184 [SCA]</w:t>
      </w:r>
      <w:r>
        <w:rPr>
          <w:rFonts w:ascii="Times New Roman" w:hAnsi="Times New Roman" w:cs="Times New Roman"/>
          <w:sz w:val="24"/>
          <w:szCs w:val="24"/>
        </w:rPr>
        <w:t xml:space="preserve"> </w:t>
      </w:r>
      <w:r w:rsidR="00A90A3D">
        <w:rPr>
          <w:rFonts w:ascii="Times New Roman" w:hAnsi="Times New Roman" w:cs="Times New Roman"/>
          <w:sz w:val="24"/>
          <w:szCs w:val="24"/>
        </w:rPr>
        <w:t xml:space="preserve">the court </w:t>
      </w:r>
      <w:r w:rsidR="0007303D" w:rsidRPr="00795242">
        <w:rPr>
          <w:rFonts w:ascii="Times New Roman" w:hAnsi="Times New Roman" w:cs="Times New Roman"/>
          <w:sz w:val="24"/>
          <w:szCs w:val="24"/>
        </w:rPr>
        <w:t xml:space="preserve">held that statutory legal fictions are not to be narrowly confined unless the language of the provision compels such a limitation. It affirmed that once a legal fiction is created by statute, it must be applied fully and consistently within the framework of that statute, unless </w:t>
      </w:r>
      <w:r w:rsidR="00A90A3D">
        <w:rPr>
          <w:rFonts w:ascii="Times New Roman" w:hAnsi="Times New Roman" w:cs="Times New Roman"/>
          <w:sz w:val="24"/>
          <w:szCs w:val="24"/>
        </w:rPr>
        <w:t>to do so</w:t>
      </w:r>
      <w:r w:rsidR="0007303D" w:rsidRPr="00795242">
        <w:rPr>
          <w:rFonts w:ascii="Times New Roman" w:hAnsi="Times New Roman" w:cs="Times New Roman"/>
          <w:sz w:val="24"/>
          <w:szCs w:val="24"/>
        </w:rPr>
        <w:t xml:space="preserve"> would lead to an absurd or unjust result.</w:t>
      </w:r>
    </w:p>
    <w:p w:rsidR="00D74AF6" w:rsidRDefault="00D74AF6" w:rsidP="00D74AF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57</w:t>
      </w:r>
      <w:r>
        <w:rPr>
          <w:rFonts w:ascii="Times New Roman" w:hAnsi="Times New Roman" w:cs="Times New Roman"/>
          <w:sz w:val="24"/>
          <w:szCs w:val="24"/>
        </w:rPr>
        <w:t>]</w:t>
      </w:r>
      <w:r>
        <w:rPr>
          <w:rFonts w:ascii="Times New Roman" w:hAnsi="Times New Roman" w:cs="Times New Roman"/>
          <w:sz w:val="24"/>
          <w:szCs w:val="24"/>
        </w:rPr>
        <w:tab/>
        <w:t xml:space="preserve">In the old English case of </w:t>
      </w:r>
      <w:r w:rsidR="0007303D" w:rsidRPr="00D74AF6">
        <w:rPr>
          <w:rFonts w:ascii="Times New Roman" w:hAnsi="Times New Roman" w:cs="Times New Roman"/>
          <w:bCs/>
          <w:i/>
          <w:sz w:val="24"/>
          <w:szCs w:val="24"/>
        </w:rPr>
        <w:t>R v Norfolk County Council</w:t>
      </w:r>
      <w:r w:rsidR="0007303D" w:rsidRPr="00D74AF6">
        <w:rPr>
          <w:rFonts w:ascii="Times New Roman" w:hAnsi="Times New Roman" w:cs="Times New Roman"/>
          <w:b/>
          <w:bCs/>
          <w:sz w:val="24"/>
          <w:szCs w:val="24"/>
        </w:rPr>
        <w:t xml:space="preserve"> </w:t>
      </w:r>
      <w:r w:rsidR="0007303D" w:rsidRPr="00D74AF6">
        <w:rPr>
          <w:rFonts w:ascii="Times New Roman" w:hAnsi="Times New Roman" w:cs="Times New Roman"/>
          <w:sz w:val="24"/>
          <w:szCs w:val="24"/>
        </w:rPr>
        <w:t>(1891) 60 LJ QB</w:t>
      </w:r>
      <w:r>
        <w:rPr>
          <w:rFonts w:ascii="Times New Roman" w:hAnsi="Times New Roman" w:cs="Times New Roman"/>
          <w:sz w:val="24"/>
          <w:szCs w:val="24"/>
        </w:rPr>
        <w:t xml:space="preserve"> </w:t>
      </w:r>
      <w:r w:rsidR="0007303D" w:rsidRPr="00D74AF6">
        <w:rPr>
          <w:rFonts w:ascii="Times New Roman" w:hAnsi="Times New Roman" w:cs="Times New Roman"/>
          <w:sz w:val="24"/>
          <w:szCs w:val="24"/>
        </w:rPr>
        <w:t xml:space="preserve">379 at 380, </w:t>
      </w:r>
      <w:r w:rsidR="0007303D" w:rsidRPr="00D74AF6">
        <w:rPr>
          <w:rFonts w:ascii="Times New Roman" w:hAnsi="Times New Roman" w:cs="Times New Roman"/>
          <w:sz w:val="20"/>
          <w:szCs w:val="20"/>
        </w:rPr>
        <w:t>C</w:t>
      </w:r>
      <w:r w:rsidRPr="00D74AF6">
        <w:rPr>
          <w:rFonts w:ascii="Times New Roman" w:hAnsi="Times New Roman" w:cs="Times New Roman"/>
          <w:sz w:val="20"/>
          <w:szCs w:val="20"/>
        </w:rPr>
        <w:t xml:space="preserve">AVE </w:t>
      </w:r>
      <w:r w:rsidR="0007303D" w:rsidRPr="00D74AF6">
        <w:rPr>
          <w:rFonts w:ascii="Times New Roman" w:hAnsi="Times New Roman" w:cs="Times New Roman"/>
          <w:sz w:val="20"/>
          <w:szCs w:val="20"/>
        </w:rPr>
        <w:t>J</w:t>
      </w:r>
      <w:r w:rsidR="0007303D" w:rsidRPr="00D74AF6">
        <w:rPr>
          <w:rFonts w:ascii="Times New Roman" w:hAnsi="Times New Roman" w:cs="Times New Roman"/>
          <w:sz w:val="24"/>
          <w:szCs w:val="24"/>
        </w:rPr>
        <w:t xml:space="preserve"> stated:</w:t>
      </w:r>
    </w:p>
    <w:p w:rsidR="0007303D" w:rsidRDefault="00D74AF6" w:rsidP="00D74AF6">
      <w:pPr>
        <w:spacing w:line="240" w:lineRule="auto"/>
        <w:ind w:left="1440"/>
        <w:jc w:val="both"/>
        <w:rPr>
          <w:rFonts w:ascii="Times New Roman" w:hAnsi="Times New Roman" w:cs="Times New Roman"/>
          <w:iCs/>
        </w:rPr>
      </w:pPr>
      <w:r>
        <w:rPr>
          <w:rFonts w:ascii="Times New Roman" w:hAnsi="Times New Roman" w:cs="Times New Roman"/>
          <w:iCs/>
        </w:rPr>
        <w:t>“</w:t>
      </w:r>
      <w:r w:rsidR="0007303D" w:rsidRPr="00D74AF6">
        <w:rPr>
          <w:rFonts w:ascii="Times New Roman" w:hAnsi="Times New Roman" w:cs="Times New Roman"/>
          <w:iCs/>
        </w:rPr>
        <w:t>Generally speaking when you talk of a thing being deemed to be something, you do not mean to say that it is that which it is deemed to be. It is rather an admission that it is not what it is deemed to be and that, notwithstanding, it is not that particular thing, nevertheless it is deemed to be that thing.</w:t>
      </w:r>
      <w:r w:rsidRPr="00D74AF6">
        <w:rPr>
          <w:rFonts w:ascii="Times New Roman" w:hAnsi="Times New Roman" w:cs="Times New Roman"/>
          <w:iCs/>
        </w:rPr>
        <w:t>”</w:t>
      </w:r>
    </w:p>
    <w:p w:rsidR="003812BF" w:rsidRDefault="003812BF" w:rsidP="003812BF">
      <w:pPr>
        <w:spacing w:line="360" w:lineRule="auto"/>
        <w:ind w:left="720" w:hanging="720"/>
        <w:jc w:val="both"/>
        <w:rPr>
          <w:rFonts w:ascii="Times New Roman" w:hAnsi="Times New Roman" w:cs="Times New Roman"/>
          <w:sz w:val="24"/>
          <w:szCs w:val="24"/>
        </w:rPr>
      </w:pPr>
      <w:r>
        <w:rPr>
          <w:rFonts w:ascii="Times New Roman" w:hAnsi="Times New Roman" w:cs="Times New Roman"/>
          <w:iCs/>
        </w:rPr>
        <w:t>[</w:t>
      </w:r>
      <w:r w:rsidR="00C43D6A">
        <w:rPr>
          <w:rFonts w:ascii="Times New Roman" w:hAnsi="Times New Roman" w:cs="Times New Roman"/>
          <w:iCs/>
        </w:rPr>
        <w:t>58</w:t>
      </w:r>
      <w:r>
        <w:rPr>
          <w:rFonts w:ascii="Times New Roman" w:hAnsi="Times New Roman" w:cs="Times New Roman"/>
          <w:iCs/>
        </w:rPr>
        <w:t>]</w:t>
      </w:r>
      <w:r>
        <w:rPr>
          <w:rFonts w:ascii="Times New Roman" w:hAnsi="Times New Roman" w:cs="Times New Roman"/>
          <w:iCs/>
        </w:rPr>
        <w:tab/>
      </w:r>
      <w:r>
        <w:rPr>
          <w:rFonts w:ascii="Times New Roman" w:hAnsi="Times New Roman" w:cs="Times New Roman"/>
          <w:sz w:val="24"/>
          <w:szCs w:val="24"/>
        </w:rPr>
        <w:t>In</w:t>
      </w:r>
      <w:r w:rsidR="0007303D" w:rsidRPr="00795242">
        <w:rPr>
          <w:rFonts w:ascii="Times New Roman" w:hAnsi="Times New Roman" w:cs="Times New Roman"/>
          <w:sz w:val="24"/>
          <w:szCs w:val="24"/>
        </w:rPr>
        <w:t xml:space="preserve"> </w:t>
      </w:r>
      <w:r w:rsidR="0007303D" w:rsidRPr="003812BF">
        <w:rPr>
          <w:rFonts w:ascii="Times New Roman" w:hAnsi="Times New Roman" w:cs="Times New Roman"/>
          <w:bCs/>
          <w:i/>
          <w:sz w:val="24"/>
          <w:szCs w:val="24"/>
        </w:rPr>
        <w:t xml:space="preserve">New Union Goldfields Limited v Commissioner for Inland Revenue </w:t>
      </w:r>
      <w:r w:rsidR="0007303D" w:rsidRPr="003812BF">
        <w:rPr>
          <w:rFonts w:ascii="Times New Roman" w:hAnsi="Times New Roman" w:cs="Times New Roman"/>
          <w:bCs/>
          <w:sz w:val="24"/>
          <w:szCs w:val="24"/>
        </w:rPr>
        <w:t>1950</w:t>
      </w:r>
      <w:r w:rsidRPr="003812BF">
        <w:rPr>
          <w:rFonts w:ascii="Times New Roman" w:hAnsi="Times New Roman" w:cs="Times New Roman"/>
          <w:bCs/>
          <w:sz w:val="24"/>
          <w:szCs w:val="24"/>
        </w:rPr>
        <w:t xml:space="preserve"> [</w:t>
      </w:r>
      <w:r w:rsidR="0007303D" w:rsidRPr="003812BF">
        <w:rPr>
          <w:rFonts w:ascii="Times New Roman" w:hAnsi="Times New Roman" w:cs="Times New Roman"/>
          <w:bCs/>
          <w:sz w:val="24"/>
          <w:szCs w:val="24"/>
        </w:rPr>
        <w:t>3</w:t>
      </w:r>
      <w:r w:rsidRPr="003812BF">
        <w:rPr>
          <w:rFonts w:ascii="Times New Roman" w:hAnsi="Times New Roman" w:cs="Times New Roman"/>
          <w:bCs/>
          <w:sz w:val="24"/>
          <w:szCs w:val="24"/>
        </w:rPr>
        <w:t>]</w:t>
      </w:r>
      <w:r w:rsidR="0007303D" w:rsidRPr="003812BF">
        <w:rPr>
          <w:rFonts w:ascii="Times New Roman" w:hAnsi="Times New Roman" w:cs="Times New Roman"/>
          <w:bCs/>
          <w:sz w:val="24"/>
          <w:szCs w:val="24"/>
        </w:rPr>
        <w:t xml:space="preserve"> SA 392 </w:t>
      </w:r>
      <w:r>
        <w:rPr>
          <w:rFonts w:ascii="Times New Roman" w:hAnsi="Times New Roman" w:cs="Times New Roman"/>
          <w:bCs/>
          <w:sz w:val="24"/>
          <w:szCs w:val="24"/>
        </w:rPr>
        <w:t>[A]</w:t>
      </w:r>
      <w:r w:rsidR="0007303D" w:rsidRPr="003812BF">
        <w:rPr>
          <w:rFonts w:ascii="Times New Roman" w:hAnsi="Times New Roman" w:cs="Times New Roman"/>
          <w:bCs/>
          <w:sz w:val="24"/>
          <w:szCs w:val="24"/>
        </w:rPr>
        <w:t xml:space="preserve"> at 407</w:t>
      </w:r>
      <w:r>
        <w:rPr>
          <w:rFonts w:ascii="Times New Roman" w:hAnsi="Times New Roman" w:cs="Times New Roman"/>
          <w:bCs/>
          <w:sz w:val="24"/>
          <w:szCs w:val="24"/>
        </w:rPr>
        <w:t xml:space="preserve">, </w:t>
      </w:r>
      <w:r w:rsidRPr="003812BF">
        <w:rPr>
          <w:rFonts w:ascii="Times New Roman" w:hAnsi="Times New Roman" w:cs="Times New Roman"/>
          <w:sz w:val="20"/>
          <w:szCs w:val="20"/>
        </w:rPr>
        <w:t>VAN DEN HEEVER JA</w:t>
      </w:r>
      <w:r w:rsidR="0007303D" w:rsidRPr="00795242">
        <w:rPr>
          <w:rFonts w:ascii="Times New Roman" w:hAnsi="Times New Roman" w:cs="Times New Roman"/>
          <w:sz w:val="24"/>
          <w:szCs w:val="24"/>
        </w:rPr>
        <w:t xml:space="preserve"> </w:t>
      </w:r>
      <w:r w:rsidR="002D1F01">
        <w:rPr>
          <w:rFonts w:ascii="Times New Roman" w:hAnsi="Times New Roman" w:cs="Times New Roman"/>
          <w:sz w:val="24"/>
          <w:szCs w:val="24"/>
        </w:rPr>
        <w:t>declar</w:t>
      </w:r>
      <w:r w:rsidR="0007303D" w:rsidRPr="00795242">
        <w:rPr>
          <w:rFonts w:ascii="Times New Roman" w:hAnsi="Times New Roman" w:cs="Times New Roman"/>
          <w:sz w:val="24"/>
          <w:szCs w:val="24"/>
        </w:rPr>
        <w:t>ed:</w:t>
      </w:r>
    </w:p>
    <w:p w:rsidR="0007303D" w:rsidRDefault="003812BF" w:rsidP="003812BF">
      <w:pPr>
        <w:spacing w:line="360" w:lineRule="auto"/>
        <w:ind w:left="720" w:firstLine="720"/>
        <w:jc w:val="both"/>
        <w:rPr>
          <w:rFonts w:ascii="Times New Roman" w:hAnsi="Times New Roman" w:cs="Times New Roman"/>
          <w:iCs/>
          <w:sz w:val="24"/>
          <w:szCs w:val="24"/>
        </w:rPr>
      </w:pPr>
      <w:r>
        <w:rPr>
          <w:rFonts w:ascii="Times New Roman" w:hAnsi="Times New Roman" w:cs="Times New Roman"/>
          <w:sz w:val="24"/>
          <w:szCs w:val="24"/>
        </w:rPr>
        <w:t>“</w:t>
      </w:r>
      <w:r w:rsidRPr="003812BF">
        <w:rPr>
          <w:rFonts w:ascii="Times New Roman" w:hAnsi="Times New Roman" w:cs="Times New Roman"/>
          <w:iCs/>
        </w:rPr>
        <w:t>…once the Legislature ‘deems’</w:t>
      </w:r>
      <w:r w:rsidR="0007303D" w:rsidRPr="003812BF">
        <w:rPr>
          <w:rFonts w:ascii="Times New Roman" w:hAnsi="Times New Roman" w:cs="Times New Roman"/>
          <w:iCs/>
        </w:rPr>
        <w:t>, it departs from reality.</w:t>
      </w:r>
      <w:r>
        <w:rPr>
          <w:rFonts w:ascii="Times New Roman" w:hAnsi="Times New Roman" w:cs="Times New Roman"/>
          <w:iCs/>
          <w:sz w:val="24"/>
          <w:szCs w:val="24"/>
        </w:rPr>
        <w:t>”</w:t>
      </w:r>
      <w:r w:rsidR="0007303D" w:rsidRPr="00795242">
        <w:rPr>
          <w:rFonts w:ascii="Times New Roman" w:hAnsi="Times New Roman" w:cs="Times New Roman"/>
          <w:i/>
          <w:iCs/>
          <w:sz w:val="24"/>
          <w:szCs w:val="24"/>
        </w:rPr>
        <w:t xml:space="preserve"> </w:t>
      </w:r>
    </w:p>
    <w:p w:rsidR="003812BF" w:rsidRDefault="003812BF" w:rsidP="003812BF">
      <w:pPr>
        <w:spacing w:line="360" w:lineRule="auto"/>
        <w:ind w:left="720" w:hanging="720"/>
        <w:jc w:val="both"/>
        <w:rPr>
          <w:rFonts w:ascii="Times New Roman" w:hAnsi="Times New Roman" w:cs="Times New Roman"/>
          <w:sz w:val="24"/>
          <w:szCs w:val="24"/>
        </w:rPr>
      </w:pPr>
      <w:r>
        <w:rPr>
          <w:rFonts w:ascii="Times New Roman" w:hAnsi="Times New Roman" w:cs="Times New Roman"/>
          <w:iCs/>
          <w:sz w:val="24"/>
          <w:szCs w:val="24"/>
        </w:rPr>
        <w:t>[</w:t>
      </w:r>
      <w:r w:rsidR="00C43D6A">
        <w:rPr>
          <w:rFonts w:ascii="Times New Roman" w:hAnsi="Times New Roman" w:cs="Times New Roman"/>
          <w:iCs/>
          <w:sz w:val="24"/>
          <w:szCs w:val="24"/>
        </w:rPr>
        <w:t>59</w:t>
      </w:r>
      <w:r>
        <w:rPr>
          <w:rFonts w:ascii="Times New Roman" w:hAnsi="Times New Roman" w:cs="Times New Roman"/>
          <w:iCs/>
          <w:sz w:val="24"/>
          <w:szCs w:val="24"/>
        </w:rPr>
        <w:t>]</w:t>
      </w:r>
      <w:r>
        <w:rPr>
          <w:rFonts w:ascii="Times New Roman" w:hAnsi="Times New Roman" w:cs="Times New Roman"/>
          <w:iCs/>
          <w:sz w:val="24"/>
          <w:szCs w:val="24"/>
        </w:rPr>
        <w:tab/>
      </w:r>
      <w:r w:rsidR="00FF1F4C">
        <w:rPr>
          <w:rFonts w:ascii="Times New Roman" w:hAnsi="Times New Roman" w:cs="Times New Roman"/>
          <w:sz w:val="24"/>
          <w:szCs w:val="24"/>
        </w:rPr>
        <w:t>One</w:t>
      </w:r>
      <w:r w:rsidRPr="00795242">
        <w:rPr>
          <w:rFonts w:ascii="Times New Roman" w:hAnsi="Times New Roman" w:cs="Times New Roman"/>
          <w:sz w:val="24"/>
          <w:szCs w:val="24"/>
        </w:rPr>
        <w:t xml:space="preserve"> key takeaway </w:t>
      </w:r>
      <w:r>
        <w:rPr>
          <w:rFonts w:ascii="Times New Roman" w:hAnsi="Times New Roman" w:cs="Times New Roman"/>
          <w:sz w:val="24"/>
          <w:szCs w:val="24"/>
        </w:rPr>
        <w:t xml:space="preserve">from the case of </w:t>
      </w:r>
      <w:r w:rsidRPr="003812BF">
        <w:rPr>
          <w:rFonts w:ascii="Times New Roman" w:hAnsi="Times New Roman" w:cs="Times New Roman"/>
          <w:i/>
          <w:sz w:val="24"/>
          <w:szCs w:val="24"/>
        </w:rPr>
        <w:t xml:space="preserve">Fowler v </w:t>
      </w:r>
      <w:r w:rsidR="00FF1F4C">
        <w:rPr>
          <w:rFonts w:ascii="Times New Roman" w:hAnsi="Times New Roman" w:cs="Times New Roman"/>
          <w:i/>
          <w:sz w:val="24"/>
          <w:szCs w:val="24"/>
        </w:rPr>
        <w:t xml:space="preserve">Commissioner for </w:t>
      </w:r>
      <w:r w:rsidRPr="003812BF">
        <w:rPr>
          <w:rFonts w:ascii="Times New Roman" w:hAnsi="Times New Roman" w:cs="Times New Roman"/>
          <w:i/>
          <w:sz w:val="24"/>
          <w:szCs w:val="24"/>
        </w:rPr>
        <w:t>H</w:t>
      </w:r>
      <w:r w:rsidR="00FF1F4C">
        <w:rPr>
          <w:rFonts w:ascii="Times New Roman" w:hAnsi="Times New Roman" w:cs="Times New Roman"/>
          <w:i/>
          <w:sz w:val="24"/>
          <w:szCs w:val="24"/>
        </w:rPr>
        <w:t xml:space="preserve">er </w:t>
      </w:r>
      <w:r w:rsidRPr="003812BF">
        <w:rPr>
          <w:rFonts w:ascii="Times New Roman" w:hAnsi="Times New Roman" w:cs="Times New Roman"/>
          <w:i/>
          <w:sz w:val="24"/>
          <w:szCs w:val="24"/>
        </w:rPr>
        <w:t>M</w:t>
      </w:r>
      <w:r w:rsidR="00FF1F4C">
        <w:rPr>
          <w:rFonts w:ascii="Times New Roman" w:hAnsi="Times New Roman" w:cs="Times New Roman"/>
          <w:i/>
          <w:sz w:val="24"/>
          <w:szCs w:val="24"/>
        </w:rPr>
        <w:t xml:space="preserve">ajesty’s </w:t>
      </w:r>
      <w:r w:rsidRPr="003812BF">
        <w:rPr>
          <w:rFonts w:ascii="Times New Roman" w:hAnsi="Times New Roman" w:cs="Times New Roman"/>
          <w:i/>
          <w:sz w:val="24"/>
          <w:szCs w:val="24"/>
        </w:rPr>
        <w:t>R</w:t>
      </w:r>
      <w:r w:rsidR="00FF1F4C">
        <w:rPr>
          <w:rFonts w:ascii="Times New Roman" w:hAnsi="Times New Roman" w:cs="Times New Roman"/>
          <w:i/>
          <w:sz w:val="24"/>
          <w:szCs w:val="24"/>
        </w:rPr>
        <w:t xml:space="preserve">evenue and </w:t>
      </w:r>
      <w:r w:rsidRPr="003812BF">
        <w:rPr>
          <w:rFonts w:ascii="Times New Roman" w:hAnsi="Times New Roman" w:cs="Times New Roman"/>
          <w:i/>
          <w:sz w:val="24"/>
          <w:szCs w:val="24"/>
        </w:rPr>
        <w:t>C</w:t>
      </w:r>
      <w:r w:rsidR="00FF1F4C">
        <w:rPr>
          <w:rFonts w:ascii="Times New Roman" w:hAnsi="Times New Roman" w:cs="Times New Roman"/>
          <w:i/>
          <w:sz w:val="24"/>
          <w:szCs w:val="24"/>
        </w:rPr>
        <w:t>ustom</w:t>
      </w:r>
      <w:r>
        <w:rPr>
          <w:rFonts w:ascii="Times New Roman" w:hAnsi="Times New Roman" w:cs="Times New Roman"/>
          <w:sz w:val="24"/>
          <w:szCs w:val="24"/>
        </w:rPr>
        <w:t xml:space="preserve"> [2020] UKSC 22, para [27], is that </w:t>
      </w:r>
      <w:r w:rsidRPr="00795242">
        <w:rPr>
          <w:rFonts w:ascii="Times New Roman" w:hAnsi="Times New Roman" w:cs="Times New Roman"/>
          <w:sz w:val="24"/>
          <w:szCs w:val="24"/>
        </w:rPr>
        <w:t xml:space="preserve">that once Parliament has created a legal fiction, courts must not </w:t>
      </w:r>
      <w:r w:rsidR="00FF1F4C">
        <w:rPr>
          <w:rFonts w:ascii="Times New Roman" w:hAnsi="Times New Roman" w:cs="Times New Roman"/>
          <w:sz w:val="24"/>
          <w:szCs w:val="24"/>
        </w:rPr>
        <w:t>shrink from</w:t>
      </w:r>
      <w:r w:rsidRPr="00795242">
        <w:rPr>
          <w:rFonts w:ascii="Times New Roman" w:hAnsi="Times New Roman" w:cs="Times New Roman"/>
          <w:sz w:val="24"/>
          <w:szCs w:val="24"/>
        </w:rPr>
        <w:t xml:space="preserve"> applying its full legal consequences</w:t>
      </w:r>
      <w:r w:rsidR="00FF1F4C">
        <w:rPr>
          <w:rFonts w:ascii="Times New Roman" w:hAnsi="Times New Roman" w:cs="Times New Roman"/>
          <w:sz w:val="24"/>
          <w:szCs w:val="24"/>
        </w:rPr>
        <w:t xml:space="preserve"> which would inevitably flow from that</w:t>
      </w:r>
      <w:r w:rsidR="00A90A3D">
        <w:rPr>
          <w:rFonts w:ascii="Times New Roman" w:hAnsi="Times New Roman" w:cs="Times New Roman"/>
          <w:sz w:val="24"/>
          <w:szCs w:val="24"/>
        </w:rPr>
        <w:t xml:space="preserve"> </w:t>
      </w:r>
      <w:r w:rsidR="00FF1F4C">
        <w:rPr>
          <w:rFonts w:ascii="Times New Roman" w:hAnsi="Times New Roman" w:cs="Times New Roman"/>
          <w:sz w:val="24"/>
          <w:szCs w:val="24"/>
        </w:rPr>
        <w:t>fiction</w:t>
      </w:r>
      <w:r>
        <w:rPr>
          <w:rFonts w:ascii="Times New Roman" w:hAnsi="Times New Roman" w:cs="Times New Roman"/>
          <w:sz w:val="24"/>
          <w:szCs w:val="24"/>
        </w:rPr>
        <w:t xml:space="preserve">, </w:t>
      </w:r>
      <w:r w:rsidRPr="00795242">
        <w:rPr>
          <w:rFonts w:ascii="Times New Roman" w:hAnsi="Times New Roman" w:cs="Times New Roman"/>
          <w:sz w:val="24"/>
          <w:szCs w:val="24"/>
        </w:rPr>
        <w:t>unless expressly constrained by the statute itself</w:t>
      </w:r>
      <w:r w:rsidR="00C3513D">
        <w:rPr>
          <w:rFonts w:ascii="Times New Roman" w:hAnsi="Times New Roman" w:cs="Times New Roman"/>
          <w:sz w:val="24"/>
          <w:szCs w:val="24"/>
        </w:rPr>
        <w:t xml:space="preserve">, or </w:t>
      </w:r>
      <w:r w:rsidR="00FF1F4C">
        <w:rPr>
          <w:rFonts w:ascii="Times New Roman" w:hAnsi="Times New Roman" w:cs="Times New Roman"/>
          <w:sz w:val="24"/>
          <w:szCs w:val="24"/>
        </w:rPr>
        <w:t xml:space="preserve">if to do </w:t>
      </w:r>
      <w:r w:rsidR="00C3513D">
        <w:rPr>
          <w:rFonts w:ascii="Times New Roman" w:hAnsi="Times New Roman" w:cs="Times New Roman"/>
          <w:sz w:val="24"/>
          <w:szCs w:val="24"/>
        </w:rPr>
        <w:t>so would produce absurd or unjust results</w:t>
      </w:r>
      <w:r w:rsidRPr="00795242">
        <w:rPr>
          <w:rFonts w:ascii="Times New Roman" w:hAnsi="Times New Roman" w:cs="Times New Roman"/>
          <w:sz w:val="24"/>
          <w:szCs w:val="24"/>
        </w:rPr>
        <w:t>.</w:t>
      </w:r>
    </w:p>
    <w:p w:rsidR="0007303D" w:rsidRDefault="003812BF" w:rsidP="00C3513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60</w:t>
      </w:r>
      <w:r>
        <w:rPr>
          <w:rFonts w:ascii="Times New Roman" w:hAnsi="Times New Roman" w:cs="Times New Roman"/>
          <w:sz w:val="24"/>
          <w:szCs w:val="24"/>
        </w:rPr>
        <w:t>]</w:t>
      </w:r>
      <w:r w:rsidR="00C3513D">
        <w:rPr>
          <w:rFonts w:ascii="Times New Roman" w:hAnsi="Times New Roman" w:cs="Times New Roman"/>
          <w:sz w:val="24"/>
          <w:szCs w:val="24"/>
        </w:rPr>
        <w:tab/>
        <w:t xml:space="preserve">I would say, </w:t>
      </w:r>
      <w:r w:rsidR="0007303D" w:rsidRPr="00795242">
        <w:rPr>
          <w:rFonts w:ascii="Times New Roman" w:hAnsi="Times New Roman" w:cs="Times New Roman"/>
          <w:sz w:val="24"/>
          <w:szCs w:val="24"/>
        </w:rPr>
        <w:t xml:space="preserve">if a law tells you to pretend something is true, you should also pretend that all the things that would naturally happen because of that </w:t>
      </w:r>
      <w:r w:rsidR="0007303D" w:rsidRPr="00C3513D">
        <w:rPr>
          <w:rFonts w:ascii="Times New Roman" w:hAnsi="Times New Roman" w:cs="Times New Roman"/>
          <w:sz w:val="24"/>
          <w:szCs w:val="24"/>
        </w:rPr>
        <w:t>preten</w:t>
      </w:r>
      <w:r w:rsidR="00C3513D" w:rsidRPr="00C3513D">
        <w:rPr>
          <w:rFonts w:ascii="Times New Roman" w:hAnsi="Times New Roman" w:cs="Times New Roman"/>
          <w:sz w:val="24"/>
          <w:szCs w:val="24"/>
        </w:rPr>
        <w:t xml:space="preserve">ce </w:t>
      </w:r>
      <w:r w:rsidR="0007303D" w:rsidRPr="00795242">
        <w:rPr>
          <w:rFonts w:ascii="Times New Roman" w:hAnsi="Times New Roman" w:cs="Times New Roman"/>
          <w:sz w:val="24"/>
          <w:szCs w:val="24"/>
        </w:rPr>
        <w:t>are also true. </w:t>
      </w:r>
    </w:p>
    <w:p w:rsidR="00C3513D" w:rsidRDefault="00B11067" w:rsidP="00C3513D">
      <w:pPr>
        <w:spacing w:line="360" w:lineRule="auto"/>
        <w:ind w:left="720" w:hanging="720"/>
        <w:jc w:val="both"/>
        <w:rPr>
          <w:rFonts w:ascii="Times New Roman" w:hAnsi="Times New Roman" w:cs="Times New Roman"/>
          <w:sz w:val="24"/>
          <w:szCs w:val="24"/>
        </w:rPr>
      </w:pPr>
      <w:r w:rsidRPr="00B11067">
        <w:rPr>
          <w:rFonts w:ascii="Times New Roman" w:hAnsi="Times New Roman" w:cs="Times New Roman"/>
          <w:b/>
          <w:sz w:val="24"/>
          <w:szCs w:val="24"/>
        </w:rPr>
        <w:t>g</w:t>
      </w:r>
      <w:r>
        <w:rPr>
          <w:rFonts w:ascii="Times New Roman" w:hAnsi="Times New Roman" w:cs="Times New Roman"/>
          <w:sz w:val="24"/>
          <w:szCs w:val="24"/>
        </w:rPr>
        <w:tab/>
      </w:r>
      <w:r w:rsidRPr="00B11067">
        <w:rPr>
          <w:rFonts w:ascii="Times New Roman" w:hAnsi="Times New Roman" w:cs="Times New Roman"/>
          <w:b/>
          <w:sz w:val="24"/>
          <w:szCs w:val="24"/>
        </w:rPr>
        <w:t>Application</w:t>
      </w:r>
    </w:p>
    <w:p w:rsidR="00771C61" w:rsidRDefault="00C3513D" w:rsidP="00C3513D">
      <w:pPr>
        <w:spacing w:line="360" w:lineRule="auto"/>
        <w:ind w:left="720" w:hanging="720"/>
        <w:jc w:val="both"/>
        <w:rPr>
          <w:rFonts w:ascii="Times New Roman" w:hAnsi="Times New Roman" w:cs="Times New Roman"/>
          <w:bCs/>
          <w:sz w:val="24"/>
          <w:szCs w:val="24"/>
        </w:rPr>
      </w:pPr>
      <w:r>
        <w:rPr>
          <w:rFonts w:ascii="Times New Roman" w:hAnsi="Times New Roman" w:cs="Times New Roman"/>
          <w:sz w:val="24"/>
          <w:szCs w:val="24"/>
        </w:rPr>
        <w:lastRenderedPageBreak/>
        <w:t>[</w:t>
      </w:r>
      <w:r w:rsidR="00C43D6A">
        <w:rPr>
          <w:rFonts w:ascii="Times New Roman" w:hAnsi="Times New Roman" w:cs="Times New Roman"/>
          <w:sz w:val="24"/>
          <w:szCs w:val="24"/>
        </w:rPr>
        <w:t>61</w:t>
      </w:r>
      <w:r>
        <w:rPr>
          <w:rFonts w:ascii="Times New Roman" w:hAnsi="Times New Roman" w:cs="Times New Roman"/>
          <w:sz w:val="24"/>
          <w:szCs w:val="24"/>
        </w:rPr>
        <w:t>]</w:t>
      </w:r>
      <w:r w:rsidR="00B11067">
        <w:rPr>
          <w:rFonts w:ascii="Times New Roman" w:hAnsi="Times New Roman" w:cs="Times New Roman"/>
          <w:sz w:val="24"/>
          <w:szCs w:val="24"/>
        </w:rPr>
        <w:tab/>
        <w:t xml:space="preserve">In the present case, the truth or the reality is that in 2020 the appellant was not a registered VAT operator. The fiction, by virtue of the deeming provision, is that it was. We depart from that reality: </w:t>
      </w:r>
      <w:r w:rsidR="00B11067" w:rsidRPr="003812BF">
        <w:rPr>
          <w:rFonts w:ascii="Times New Roman" w:hAnsi="Times New Roman" w:cs="Times New Roman"/>
          <w:bCs/>
          <w:i/>
          <w:sz w:val="24"/>
          <w:szCs w:val="24"/>
        </w:rPr>
        <w:t>New Union Goldfields Limited</w:t>
      </w:r>
      <w:r w:rsidR="00AE6AF9">
        <w:rPr>
          <w:rFonts w:ascii="Times New Roman" w:hAnsi="Times New Roman" w:cs="Times New Roman"/>
          <w:bCs/>
          <w:i/>
          <w:sz w:val="24"/>
          <w:szCs w:val="24"/>
        </w:rPr>
        <w:t xml:space="preserve"> v CIR</w:t>
      </w:r>
      <w:r w:rsidR="00B11067">
        <w:rPr>
          <w:rFonts w:ascii="Times New Roman" w:hAnsi="Times New Roman" w:cs="Times New Roman"/>
          <w:bCs/>
          <w:sz w:val="24"/>
          <w:szCs w:val="24"/>
        </w:rPr>
        <w:t xml:space="preserve">, </w:t>
      </w:r>
      <w:r w:rsidR="00B11067" w:rsidRPr="00B11067">
        <w:rPr>
          <w:rFonts w:ascii="Times New Roman" w:hAnsi="Times New Roman" w:cs="Times New Roman"/>
          <w:bCs/>
          <w:i/>
          <w:sz w:val="24"/>
          <w:szCs w:val="24"/>
        </w:rPr>
        <w:t>supra</w:t>
      </w:r>
      <w:r w:rsidR="00B11067">
        <w:rPr>
          <w:rFonts w:ascii="Times New Roman" w:hAnsi="Times New Roman" w:cs="Times New Roman"/>
          <w:bCs/>
          <w:sz w:val="24"/>
          <w:szCs w:val="24"/>
        </w:rPr>
        <w:t>. We cannot stop short of applying the full legal consequences</w:t>
      </w:r>
      <w:r w:rsidR="00AE6AF9">
        <w:rPr>
          <w:rFonts w:ascii="Times New Roman" w:hAnsi="Times New Roman" w:cs="Times New Roman"/>
          <w:bCs/>
          <w:sz w:val="24"/>
          <w:szCs w:val="24"/>
        </w:rPr>
        <w:t xml:space="preserve"> </w:t>
      </w:r>
      <w:r w:rsidR="00AE6AF9" w:rsidRPr="00AE6AF9">
        <w:rPr>
          <w:rFonts w:ascii="Times New Roman" w:hAnsi="Times New Roman" w:cs="Times New Roman"/>
          <w:bCs/>
          <w:i/>
          <w:sz w:val="24"/>
          <w:szCs w:val="24"/>
        </w:rPr>
        <w:t xml:space="preserve">Fowler v </w:t>
      </w:r>
      <w:r w:rsidR="00AE6AF9" w:rsidRPr="00AE6AF9">
        <w:rPr>
          <w:rFonts w:ascii="Times New Roman" w:hAnsi="Times New Roman" w:cs="Times New Roman"/>
          <w:i/>
          <w:sz w:val="24"/>
          <w:szCs w:val="24"/>
        </w:rPr>
        <w:t>CHMRC</w:t>
      </w:r>
      <w:r w:rsidR="00AE6AF9">
        <w:rPr>
          <w:rFonts w:ascii="Times New Roman" w:hAnsi="Times New Roman" w:cs="Times New Roman"/>
          <w:i/>
          <w:sz w:val="24"/>
          <w:szCs w:val="24"/>
        </w:rPr>
        <w:t>, supra</w:t>
      </w:r>
      <w:r w:rsidR="00B11067">
        <w:rPr>
          <w:rFonts w:ascii="Times New Roman" w:hAnsi="Times New Roman" w:cs="Times New Roman"/>
          <w:bCs/>
          <w:sz w:val="24"/>
          <w:szCs w:val="24"/>
        </w:rPr>
        <w:t xml:space="preserve">. One such legal consequence </w:t>
      </w:r>
      <w:r w:rsidR="00771C61">
        <w:rPr>
          <w:rFonts w:ascii="Times New Roman" w:hAnsi="Times New Roman" w:cs="Times New Roman"/>
          <w:bCs/>
          <w:sz w:val="24"/>
          <w:szCs w:val="24"/>
        </w:rPr>
        <w:t xml:space="preserve">is that the appellant had the right to claim input deduction. When it did, the respondent was disentitled to concern itself with peripheries or incidentals like a VAT number which, naturally was not there. </w:t>
      </w:r>
    </w:p>
    <w:p w:rsidR="0007303D" w:rsidRPr="00795242" w:rsidRDefault="00771C61" w:rsidP="00C3513D">
      <w:pPr>
        <w:spacing w:line="36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w:t>
      </w:r>
      <w:r w:rsidR="00C43D6A">
        <w:rPr>
          <w:rFonts w:ascii="Times New Roman" w:hAnsi="Times New Roman" w:cs="Times New Roman"/>
          <w:bCs/>
          <w:sz w:val="24"/>
          <w:szCs w:val="24"/>
        </w:rPr>
        <w:t>62</w:t>
      </w:r>
      <w:r>
        <w:rPr>
          <w:rFonts w:ascii="Times New Roman" w:hAnsi="Times New Roman" w:cs="Times New Roman"/>
          <w:bCs/>
          <w:sz w:val="24"/>
          <w:szCs w:val="24"/>
        </w:rPr>
        <w:t>]</w:t>
      </w:r>
      <w:r>
        <w:rPr>
          <w:rFonts w:ascii="Times New Roman" w:hAnsi="Times New Roman" w:cs="Times New Roman"/>
          <w:bCs/>
          <w:sz w:val="24"/>
          <w:szCs w:val="24"/>
        </w:rPr>
        <w:tab/>
        <w:t>Courts</w:t>
      </w:r>
      <w:r w:rsidR="0007303D" w:rsidRPr="00795242">
        <w:rPr>
          <w:rFonts w:ascii="Times New Roman" w:hAnsi="Times New Roman" w:cs="Times New Roman"/>
          <w:sz w:val="24"/>
          <w:szCs w:val="24"/>
        </w:rPr>
        <w:t xml:space="preserve"> must rationally and </w:t>
      </w:r>
      <w:r>
        <w:rPr>
          <w:rFonts w:ascii="Times New Roman" w:hAnsi="Times New Roman" w:cs="Times New Roman"/>
          <w:sz w:val="24"/>
          <w:szCs w:val="24"/>
        </w:rPr>
        <w:t xml:space="preserve">holistically </w:t>
      </w:r>
      <w:r w:rsidR="0007303D" w:rsidRPr="00795242">
        <w:rPr>
          <w:rFonts w:ascii="Times New Roman" w:hAnsi="Times New Roman" w:cs="Times New Roman"/>
          <w:sz w:val="24"/>
          <w:szCs w:val="24"/>
        </w:rPr>
        <w:t xml:space="preserve">promote </w:t>
      </w:r>
      <w:r>
        <w:rPr>
          <w:rFonts w:ascii="Times New Roman" w:hAnsi="Times New Roman" w:cs="Times New Roman"/>
          <w:sz w:val="24"/>
          <w:szCs w:val="24"/>
        </w:rPr>
        <w:t>the</w:t>
      </w:r>
      <w:r w:rsidR="0007303D" w:rsidRPr="00795242">
        <w:rPr>
          <w:rFonts w:ascii="Times New Roman" w:hAnsi="Times New Roman" w:cs="Times New Roman"/>
          <w:sz w:val="24"/>
          <w:szCs w:val="24"/>
        </w:rPr>
        <w:t xml:space="preserve"> object</w:t>
      </w:r>
      <w:r>
        <w:rPr>
          <w:rFonts w:ascii="Times New Roman" w:hAnsi="Times New Roman" w:cs="Times New Roman"/>
          <w:sz w:val="24"/>
          <w:szCs w:val="24"/>
        </w:rPr>
        <w:t xml:space="preserve"> and purpose of a statute</w:t>
      </w:r>
      <w:r w:rsidR="0007303D" w:rsidRPr="00795242">
        <w:rPr>
          <w:rFonts w:ascii="Times New Roman" w:hAnsi="Times New Roman" w:cs="Times New Roman"/>
          <w:sz w:val="24"/>
          <w:szCs w:val="24"/>
        </w:rPr>
        <w:t xml:space="preserve">. </w:t>
      </w:r>
      <w:r w:rsidR="00342A83">
        <w:rPr>
          <w:rFonts w:ascii="Times New Roman" w:hAnsi="Times New Roman" w:cs="Times New Roman"/>
          <w:sz w:val="24"/>
          <w:szCs w:val="24"/>
        </w:rPr>
        <w:t xml:space="preserve">To adopt a narrow construction as urged by the respondent would risk frustrating the legislative intent and render s 23[3] ineffectual. </w:t>
      </w:r>
      <w:r w:rsidR="0007303D" w:rsidRPr="00795242">
        <w:rPr>
          <w:rFonts w:ascii="Times New Roman" w:hAnsi="Times New Roman" w:cs="Times New Roman"/>
          <w:sz w:val="24"/>
          <w:szCs w:val="24"/>
        </w:rPr>
        <w:t xml:space="preserve">In </w:t>
      </w:r>
      <w:r w:rsidR="0007303D" w:rsidRPr="00342A83">
        <w:rPr>
          <w:rFonts w:ascii="Times New Roman" w:hAnsi="Times New Roman" w:cs="Times New Roman"/>
          <w:i/>
          <w:sz w:val="24"/>
          <w:szCs w:val="24"/>
        </w:rPr>
        <w:t>Pe</w:t>
      </w:r>
      <w:r w:rsidR="00570678">
        <w:rPr>
          <w:rFonts w:ascii="Times New Roman" w:hAnsi="Times New Roman" w:cs="Times New Roman"/>
          <w:i/>
          <w:sz w:val="24"/>
          <w:szCs w:val="24"/>
        </w:rPr>
        <w:t>pp</w:t>
      </w:r>
      <w:r w:rsidR="0007303D" w:rsidRPr="00342A83">
        <w:rPr>
          <w:rFonts w:ascii="Times New Roman" w:hAnsi="Times New Roman" w:cs="Times New Roman"/>
          <w:i/>
          <w:sz w:val="24"/>
          <w:szCs w:val="24"/>
        </w:rPr>
        <w:t xml:space="preserve">er v Hart </w:t>
      </w:r>
      <w:r w:rsidR="00570678">
        <w:rPr>
          <w:rFonts w:ascii="Times New Roman" w:hAnsi="Times New Roman" w:cs="Times New Roman"/>
          <w:sz w:val="24"/>
          <w:szCs w:val="24"/>
        </w:rPr>
        <w:t xml:space="preserve">[1992] 3 WLR 1032; [1993] AC 593; </w:t>
      </w:r>
      <w:r w:rsidR="0007303D" w:rsidRPr="00795242">
        <w:rPr>
          <w:rFonts w:ascii="Times New Roman" w:hAnsi="Times New Roman" w:cs="Times New Roman"/>
          <w:sz w:val="24"/>
          <w:szCs w:val="24"/>
        </w:rPr>
        <w:t xml:space="preserve">[1993] 1 All ER 42 </w:t>
      </w:r>
      <w:r w:rsidR="00342A83" w:rsidRPr="00342A83">
        <w:rPr>
          <w:rFonts w:ascii="Times New Roman" w:hAnsi="Times New Roman" w:cs="Times New Roman"/>
          <w:sz w:val="20"/>
          <w:szCs w:val="20"/>
        </w:rPr>
        <w:t>GRIFFITHS LJ</w:t>
      </w:r>
      <w:r w:rsidR="00342A83" w:rsidRPr="00795242">
        <w:rPr>
          <w:rFonts w:ascii="Times New Roman" w:hAnsi="Times New Roman" w:cs="Times New Roman"/>
          <w:sz w:val="24"/>
          <w:szCs w:val="24"/>
        </w:rPr>
        <w:t xml:space="preserve"> </w:t>
      </w:r>
      <w:r w:rsidR="00342A83">
        <w:rPr>
          <w:rFonts w:ascii="Times New Roman" w:hAnsi="Times New Roman" w:cs="Times New Roman"/>
          <w:sz w:val="24"/>
          <w:szCs w:val="24"/>
        </w:rPr>
        <w:t>said</w:t>
      </w:r>
      <w:r w:rsidR="0007303D" w:rsidRPr="00795242">
        <w:rPr>
          <w:rFonts w:ascii="Times New Roman" w:hAnsi="Times New Roman" w:cs="Times New Roman"/>
          <w:sz w:val="24"/>
          <w:szCs w:val="24"/>
        </w:rPr>
        <w:t xml:space="preserve">: </w:t>
      </w:r>
    </w:p>
    <w:p w:rsidR="00342A83" w:rsidRDefault="0007303D" w:rsidP="00342A83">
      <w:pPr>
        <w:pStyle w:val="ListParagraph"/>
        <w:spacing w:line="360" w:lineRule="auto"/>
        <w:ind w:left="1440"/>
        <w:jc w:val="both"/>
        <w:rPr>
          <w:rFonts w:ascii="Times New Roman" w:hAnsi="Times New Roman" w:cs="Times New Roman"/>
          <w:sz w:val="24"/>
          <w:szCs w:val="24"/>
        </w:rPr>
      </w:pPr>
      <w:r w:rsidRPr="00795242">
        <w:rPr>
          <w:rFonts w:ascii="Times New Roman" w:hAnsi="Times New Roman" w:cs="Times New Roman"/>
          <w:sz w:val="24"/>
          <w:szCs w:val="24"/>
        </w:rPr>
        <w:t>“</w:t>
      </w:r>
      <w:r w:rsidRPr="00342A83">
        <w:rPr>
          <w:rFonts w:ascii="Times New Roman" w:hAnsi="Times New Roman" w:cs="Times New Roman"/>
          <w:iCs/>
        </w:rPr>
        <w:t>The days have long passed when courts adopted a strict</w:t>
      </w:r>
      <w:r w:rsidRPr="00342A83">
        <w:rPr>
          <w:rFonts w:ascii="Times New Roman" w:hAnsi="Times New Roman" w:cs="Times New Roman"/>
        </w:rPr>
        <w:t xml:space="preserve"> </w:t>
      </w:r>
      <w:r w:rsidRPr="00342A83">
        <w:rPr>
          <w:rFonts w:ascii="Times New Roman" w:hAnsi="Times New Roman" w:cs="Times New Roman"/>
          <w:iCs/>
        </w:rPr>
        <w:t xml:space="preserve">constructionist view of interpretation which required them to adopt a literal meaning of the language. The courts now adopt a purposive approach which seeks to give effect to the true purpose of the legislation and are prepared to look at much extraneous material that bears </w:t>
      </w:r>
      <w:r w:rsidR="00570678">
        <w:rPr>
          <w:rFonts w:ascii="Times New Roman" w:hAnsi="Times New Roman" w:cs="Times New Roman"/>
          <w:iCs/>
        </w:rPr>
        <w:t>up</w:t>
      </w:r>
      <w:r w:rsidRPr="00342A83">
        <w:rPr>
          <w:rFonts w:ascii="Times New Roman" w:hAnsi="Times New Roman" w:cs="Times New Roman"/>
          <w:iCs/>
        </w:rPr>
        <w:t>on the background against which the legislation was enacted.</w:t>
      </w:r>
      <w:r w:rsidRPr="00795242">
        <w:rPr>
          <w:rFonts w:ascii="Times New Roman" w:hAnsi="Times New Roman" w:cs="Times New Roman"/>
          <w:sz w:val="24"/>
          <w:szCs w:val="24"/>
        </w:rPr>
        <w:t xml:space="preserve">” </w:t>
      </w:r>
    </w:p>
    <w:p w:rsidR="0007303D" w:rsidRDefault="00342A83" w:rsidP="00342A8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43D6A">
        <w:rPr>
          <w:rFonts w:ascii="Times New Roman" w:hAnsi="Times New Roman" w:cs="Times New Roman"/>
          <w:sz w:val="24"/>
          <w:szCs w:val="24"/>
        </w:rPr>
        <w:t>63</w:t>
      </w:r>
      <w:r>
        <w:rPr>
          <w:rFonts w:ascii="Times New Roman" w:hAnsi="Times New Roman" w:cs="Times New Roman"/>
          <w:sz w:val="24"/>
          <w:szCs w:val="24"/>
        </w:rPr>
        <w:t>]</w:t>
      </w:r>
      <w:r>
        <w:rPr>
          <w:rFonts w:ascii="Times New Roman" w:hAnsi="Times New Roman" w:cs="Times New Roman"/>
          <w:sz w:val="24"/>
          <w:szCs w:val="24"/>
        </w:rPr>
        <w:tab/>
        <w:t>H</w:t>
      </w:r>
      <w:r w:rsidR="0007303D" w:rsidRPr="00795242">
        <w:rPr>
          <w:rFonts w:ascii="Times New Roman" w:hAnsi="Times New Roman" w:cs="Times New Roman"/>
          <w:sz w:val="24"/>
          <w:szCs w:val="24"/>
        </w:rPr>
        <w:t xml:space="preserve">aving made the above finding, </w:t>
      </w:r>
      <w:r>
        <w:rPr>
          <w:rFonts w:ascii="Times New Roman" w:hAnsi="Times New Roman" w:cs="Times New Roman"/>
          <w:sz w:val="24"/>
          <w:szCs w:val="24"/>
        </w:rPr>
        <w:t>th</w:t>
      </w:r>
      <w:r w:rsidR="008E4744">
        <w:rPr>
          <w:rFonts w:ascii="Times New Roman" w:hAnsi="Times New Roman" w:cs="Times New Roman"/>
          <w:sz w:val="24"/>
          <w:szCs w:val="24"/>
        </w:rPr>
        <w:t xml:space="preserve">is court finds </w:t>
      </w:r>
      <w:r w:rsidR="0007303D" w:rsidRPr="00795242">
        <w:rPr>
          <w:rFonts w:ascii="Times New Roman" w:hAnsi="Times New Roman" w:cs="Times New Roman"/>
          <w:sz w:val="24"/>
          <w:szCs w:val="24"/>
        </w:rPr>
        <w:t>no need to pronounce further on the issue of the Commissioner’s discretion under Section 20</w:t>
      </w:r>
      <w:r>
        <w:rPr>
          <w:rFonts w:ascii="Times New Roman" w:hAnsi="Times New Roman" w:cs="Times New Roman"/>
          <w:sz w:val="24"/>
          <w:szCs w:val="24"/>
        </w:rPr>
        <w:t>[</w:t>
      </w:r>
      <w:r w:rsidR="0007303D" w:rsidRPr="00795242">
        <w:rPr>
          <w:rFonts w:ascii="Times New Roman" w:hAnsi="Times New Roman" w:cs="Times New Roman"/>
          <w:sz w:val="24"/>
          <w:szCs w:val="24"/>
        </w:rPr>
        <w:t>4</w:t>
      </w:r>
      <w:r>
        <w:rPr>
          <w:rFonts w:ascii="Times New Roman" w:hAnsi="Times New Roman" w:cs="Times New Roman"/>
          <w:sz w:val="24"/>
          <w:szCs w:val="24"/>
        </w:rPr>
        <w:t>]</w:t>
      </w:r>
      <w:r w:rsidR="0007303D" w:rsidRPr="00795242">
        <w:rPr>
          <w:rFonts w:ascii="Times New Roman" w:hAnsi="Times New Roman" w:cs="Times New Roman"/>
          <w:sz w:val="24"/>
          <w:szCs w:val="24"/>
        </w:rPr>
        <w:t xml:space="preserve"> of the Act</w:t>
      </w:r>
      <w:r>
        <w:rPr>
          <w:rFonts w:ascii="Times New Roman" w:hAnsi="Times New Roman" w:cs="Times New Roman"/>
          <w:sz w:val="24"/>
          <w:szCs w:val="24"/>
        </w:rPr>
        <w:t xml:space="preserve">. The same applies to the estoppel argument by the appellant that having accepted claims </w:t>
      </w:r>
      <w:r w:rsidRPr="008E4744">
        <w:rPr>
          <w:rFonts w:ascii="Times New Roman" w:hAnsi="Times New Roman" w:cs="Times New Roman"/>
          <w:b/>
          <w:sz w:val="24"/>
          <w:szCs w:val="24"/>
        </w:rPr>
        <w:t>20B1</w:t>
      </w:r>
      <w:r>
        <w:rPr>
          <w:rFonts w:ascii="Times New Roman" w:hAnsi="Times New Roman" w:cs="Times New Roman"/>
          <w:sz w:val="24"/>
          <w:szCs w:val="24"/>
        </w:rPr>
        <w:t xml:space="preserve"> to </w:t>
      </w:r>
      <w:r w:rsidRPr="008E4744">
        <w:rPr>
          <w:rFonts w:ascii="Times New Roman" w:hAnsi="Times New Roman" w:cs="Times New Roman"/>
          <w:b/>
          <w:sz w:val="24"/>
          <w:szCs w:val="24"/>
        </w:rPr>
        <w:t>20B2</w:t>
      </w:r>
      <w:r>
        <w:rPr>
          <w:rFonts w:ascii="Times New Roman" w:hAnsi="Times New Roman" w:cs="Times New Roman"/>
          <w:sz w:val="24"/>
          <w:szCs w:val="24"/>
        </w:rPr>
        <w:t xml:space="preserve">, the respondent was estopped or precluded from rejecting the remaining claims which had been submitted in almost identical circumstances.  </w:t>
      </w:r>
      <w:r w:rsidR="00026A79">
        <w:rPr>
          <w:rFonts w:ascii="Times New Roman" w:hAnsi="Times New Roman" w:cs="Times New Roman"/>
          <w:sz w:val="24"/>
          <w:szCs w:val="24"/>
        </w:rPr>
        <w:t xml:space="preserve">These issues have become moot and inconsequential. </w:t>
      </w:r>
    </w:p>
    <w:p w:rsidR="0007303D" w:rsidRDefault="00351009" w:rsidP="00351009">
      <w:pPr>
        <w:spacing w:line="360" w:lineRule="auto"/>
        <w:ind w:left="720" w:hanging="720"/>
        <w:jc w:val="both"/>
        <w:rPr>
          <w:rFonts w:ascii="Times New Roman" w:hAnsi="Times New Roman" w:cs="Times New Roman"/>
          <w:b/>
          <w:bCs/>
          <w:sz w:val="24"/>
          <w:szCs w:val="24"/>
        </w:rPr>
      </w:pPr>
      <w:r w:rsidRPr="00351009">
        <w:rPr>
          <w:rFonts w:ascii="Times New Roman" w:hAnsi="Times New Roman" w:cs="Times New Roman"/>
          <w:b/>
          <w:sz w:val="24"/>
          <w:szCs w:val="24"/>
        </w:rPr>
        <w:t>e</w:t>
      </w:r>
      <w:r>
        <w:rPr>
          <w:rFonts w:ascii="Times New Roman" w:hAnsi="Times New Roman" w:cs="Times New Roman"/>
          <w:sz w:val="24"/>
          <w:szCs w:val="24"/>
        </w:rPr>
        <w:tab/>
      </w:r>
      <w:r w:rsidR="0007303D" w:rsidRPr="00795242">
        <w:rPr>
          <w:rFonts w:ascii="Times New Roman" w:hAnsi="Times New Roman" w:cs="Times New Roman"/>
          <w:b/>
          <w:bCs/>
          <w:sz w:val="24"/>
          <w:szCs w:val="24"/>
        </w:rPr>
        <w:t>Disposition</w:t>
      </w:r>
    </w:p>
    <w:p w:rsidR="0098239E" w:rsidRDefault="00351009" w:rsidP="00351009">
      <w:pPr>
        <w:spacing w:line="36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w:t>
      </w:r>
      <w:r w:rsidR="00C43D6A">
        <w:rPr>
          <w:rFonts w:ascii="Times New Roman" w:hAnsi="Times New Roman" w:cs="Times New Roman"/>
          <w:bCs/>
          <w:sz w:val="24"/>
          <w:szCs w:val="24"/>
        </w:rPr>
        <w:t>6</w:t>
      </w:r>
      <w:r w:rsidR="00D0020B">
        <w:rPr>
          <w:rFonts w:ascii="Times New Roman" w:hAnsi="Times New Roman" w:cs="Times New Roman"/>
          <w:bCs/>
          <w:sz w:val="24"/>
          <w:szCs w:val="24"/>
        </w:rPr>
        <w:t>4</w:t>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sz w:val="24"/>
          <w:szCs w:val="24"/>
        </w:rPr>
        <w:t>T</w:t>
      </w:r>
      <w:r w:rsidR="0007303D" w:rsidRPr="00795242">
        <w:rPr>
          <w:rFonts w:ascii="Times New Roman" w:hAnsi="Times New Roman" w:cs="Times New Roman"/>
          <w:sz w:val="24"/>
          <w:szCs w:val="24"/>
        </w:rPr>
        <w:t xml:space="preserve">he </w:t>
      </w:r>
      <w:r>
        <w:rPr>
          <w:rFonts w:ascii="Times New Roman" w:hAnsi="Times New Roman" w:cs="Times New Roman"/>
          <w:sz w:val="24"/>
          <w:szCs w:val="24"/>
        </w:rPr>
        <w:t xml:space="preserve">appellant’s </w:t>
      </w:r>
      <w:r w:rsidR="0007303D" w:rsidRPr="00795242">
        <w:rPr>
          <w:rFonts w:ascii="Times New Roman" w:hAnsi="Times New Roman" w:cs="Times New Roman"/>
          <w:sz w:val="24"/>
          <w:szCs w:val="24"/>
        </w:rPr>
        <w:t xml:space="preserve">ground of objection is </w:t>
      </w:r>
      <w:r w:rsidR="00A90A3D">
        <w:rPr>
          <w:rFonts w:ascii="Times New Roman" w:hAnsi="Times New Roman" w:cs="Times New Roman"/>
          <w:sz w:val="24"/>
          <w:szCs w:val="24"/>
        </w:rPr>
        <w:t xml:space="preserve">hereby </w:t>
      </w:r>
      <w:r w:rsidR="0007303D" w:rsidRPr="00795242">
        <w:rPr>
          <w:rFonts w:ascii="Times New Roman" w:hAnsi="Times New Roman" w:cs="Times New Roman"/>
          <w:sz w:val="24"/>
          <w:szCs w:val="24"/>
        </w:rPr>
        <w:t xml:space="preserve">allowed in full and the </w:t>
      </w:r>
      <w:r>
        <w:rPr>
          <w:rFonts w:ascii="Times New Roman" w:hAnsi="Times New Roman" w:cs="Times New Roman"/>
          <w:sz w:val="24"/>
          <w:szCs w:val="24"/>
        </w:rPr>
        <w:t xml:space="preserve">respondent’s </w:t>
      </w:r>
      <w:r w:rsidR="0007303D" w:rsidRPr="00795242">
        <w:rPr>
          <w:rFonts w:ascii="Times New Roman" w:hAnsi="Times New Roman" w:cs="Times New Roman"/>
          <w:sz w:val="24"/>
          <w:szCs w:val="24"/>
        </w:rPr>
        <w:t xml:space="preserve">notices of assessment in respect of </w:t>
      </w:r>
      <w:r>
        <w:rPr>
          <w:rFonts w:ascii="Times New Roman" w:hAnsi="Times New Roman" w:cs="Times New Roman"/>
          <w:sz w:val="24"/>
          <w:szCs w:val="24"/>
        </w:rPr>
        <w:t xml:space="preserve">the </w:t>
      </w:r>
      <w:r w:rsidR="0007303D" w:rsidRPr="00795242">
        <w:rPr>
          <w:rFonts w:ascii="Times New Roman" w:hAnsi="Times New Roman" w:cs="Times New Roman"/>
          <w:sz w:val="24"/>
          <w:szCs w:val="24"/>
        </w:rPr>
        <w:t xml:space="preserve">period </w:t>
      </w:r>
      <w:r w:rsidR="0007303D" w:rsidRPr="00351009">
        <w:rPr>
          <w:rFonts w:ascii="Times New Roman" w:hAnsi="Times New Roman" w:cs="Times New Roman"/>
          <w:b/>
          <w:sz w:val="24"/>
          <w:szCs w:val="24"/>
        </w:rPr>
        <w:t>20B5</w:t>
      </w:r>
      <w:r w:rsidR="0007303D" w:rsidRPr="00795242">
        <w:rPr>
          <w:rFonts w:ascii="Times New Roman" w:hAnsi="Times New Roman" w:cs="Times New Roman"/>
          <w:sz w:val="24"/>
          <w:szCs w:val="24"/>
        </w:rPr>
        <w:t xml:space="preserve"> for September</w:t>
      </w:r>
      <w:r>
        <w:rPr>
          <w:rFonts w:ascii="Times New Roman" w:hAnsi="Times New Roman" w:cs="Times New Roman"/>
          <w:sz w:val="24"/>
          <w:szCs w:val="24"/>
        </w:rPr>
        <w:t xml:space="preserve"> </w:t>
      </w:r>
      <w:r w:rsidR="008E4744">
        <w:rPr>
          <w:rFonts w:ascii="Times New Roman" w:hAnsi="Times New Roman" w:cs="Times New Roman"/>
          <w:sz w:val="24"/>
          <w:szCs w:val="24"/>
        </w:rPr>
        <w:t>2020</w:t>
      </w:r>
      <w:r>
        <w:rPr>
          <w:rFonts w:ascii="Times New Roman" w:hAnsi="Times New Roman" w:cs="Times New Roman"/>
          <w:sz w:val="24"/>
          <w:szCs w:val="24"/>
        </w:rPr>
        <w:t>– O</w:t>
      </w:r>
      <w:r w:rsidR="0007303D" w:rsidRPr="00795242">
        <w:rPr>
          <w:rFonts w:ascii="Times New Roman" w:hAnsi="Times New Roman" w:cs="Times New Roman"/>
          <w:sz w:val="24"/>
          <w:szCs w:val="24"/>
        </w:rPr>
        <w:t xml:space="preserve">ctober 2020 </w:t>
      </w:r>
      <w:r w:rsidR="008756B7" w:rsidRPr="00795242">
        <w:rPr>
          <w:rFonts w:ascii="Times New Roman" w:hAnsi="Times New Roman" w:cs="Times New Roman"/>
          <w:sz w:val="24"/>
          <w:szCs w:val="24"/>
        </w:rPr>
        <w:t>are</w:t>
      </w:r>
      <w:r w:rsidR="0007303D" w:rsidRPr="00795242">
        <w:rPr>
          <w:rFonts w:ascii="Times New Roman" w:hAnsi="Times New Roman" w:cs="Times New Roman"/>
          <w:sz w:val="24"/>
          <w:szCs w:val="24"/>
        </w:rPr>
        <w:t xml:space="preserve"> hereby set aside.</w:t>
      </w:r>
      <w:r>
        <w:rPr>
          <w:rFonts w:ascii="Times New Roman" w:hAnsi="Times New Roman" w:cs="Times New Roman"/>
          <w:sz w:val="24"/>
          <w:szCs w:val="24"/>
        </w:rPr>
        <w:t xml:space="preserve"> The respondent shall pay the appellant’s costs</w:t>
      </w:r>
      <w:r w:rsidR="00A90A3D">
        <w:rPr>
          <w:rFonts w:ascii="Times New Roman" w:hAnsi="Times New Roman" w:cs="Times New Roman"/>
          <w:sz w:val="24"/>
          <w:szCs w:val="24"/>
        </w:rPr>
        <w:t xml:space="preserve"> of suit</w:t>
      </w:r>
      <w:r>
        <w:rPr>
          <w:rFonts w:ascii="Times New Roman" w:hAnsi="Times New Roman" w:cs="Times New Roman"/>
          <w:sz w:val="24"/>
          <w:szCs w:val="24"/>
        </w:rPr>
        <w:t xml:space="preserve">. </w:t>
      </w:r>
    </w:p>
    <w:p w:rsidR="00351009" w:rsidRDefault="0040354A" w:rsidP="00351009">
      <w:pPr>
        <w:spacing w:after="0" w:line="240" w:lineRule="auto"/>
        <w:jc w:val="right"/>
        <w:rPr>
          <w:rFonts w:ascii="Times New Roman" w:hAnsi="Times New Roman"/>
          <w:sz w:val="24"/>
          <w:szCs w:val="24"/>
        </w:rPr>
      </w:pPr>
      <w:r>
        <w:rPr>
          <w:rFonts w:ascii="Times New Roman" w:hAnsi="Times New Roman"/>
          <w:sz w:val="24"/>
          <w:szCs w:val="24"/>
        </w:rPr>
        <w:t>3 October</w:t>
      </w:r>
      <w:r w:rsidR="00351009">
        <w:rPr>
          <w:rFonts w:ascii="Times New Roman" w:hAnsi="Times New Roman"/>
          <w:sz w:val="24"/>
          <w:szCs w:val="24"/>
        </w:rPr>
        <w:t xml:space="preserve"> 2025</w:t>
      </w:r>
    </w:p>
    <w:p w:rsidR="00351009" w:rsidRPr="00726148" w:rsidRDefault="00351009" w:rsidP="00351009">
      <w:pPr>
        <w:spacing w:after="0" w:line="360" w:lineRule="auto"/>
        <w:jc w:val="right"/>
        <w:rPr>
          <w:rFonts w:ascii="Times New Roman" w:hAnsi="Times New Roman"/>
          <w:sz w:val="24"/>
          <w:szCs w:val="24"/>
        </w:rPr>
      </w:pPr>
      <w:r w:rsidRPr="00726148">
        <w:rPr>
          <w:rFonts w:ascii="Times New Roman" w:hAnsi="Times New Roman"/>
          <w:noProof/>
          <w:sz w:val="24"/>
          <w:szCs w:val="24"/>
          <w:lang w:eastAsia="en-ZW"/>
        </w:rPr>
        <w:drawing>
          <wp:inline distT="0" distB="0" distL="0" distR="0">
            <wp:extent cx="993775" cy="437515"/>
            <wp:effectExtent l="0" t="0" r="0" b="635"/>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3775" cy="437515"/>
                    </a:xfrm>
                    <a:prstGeom prst="rect">
                      <a:avLst/>
                    </a:prstGeom>
                    <a:noFill/>
                    <a:ln>
                      <a:noFill/>
                    </a:ln>
                  </pic:spPr>
                </pic:pic>
              </a:graphicData>
            </a:graphic>
          </wp:inline>
        </w:drawing>
      </w:r>
    </w:p>
    <w:p w:rsidR="00351009" w:rsidRDefault="0040354A" w:rsidP="00351009">
      <w:pPr>
        <w:spacing w:after="0" w:line="240" w:lineRule="auto"/>
        <w:jc w:val="both"/>
        <w:rPr>
          <w:rFonts w:ascii="Times New Roman" w:hAnsi="Times New Roman"/>
          <w:i/>
          <w:sz w:val="24"/>
          <w:szCs w:val="24"/>
        </w:rPr>
      </w:pPr>
      <w:r>
        <w:rPr>
          <w:rFonts w:ascii="Times New Roman" w:hAnsi="Times New Roman"/>
          <w:i/>
          <w:sz w:val="24"/>
          <w:szCs w:val="24"/>
        </w:rPr>
        <w:t>Atherstone &amp; Cook</w:t>
      </w:r>
      <w:r w:rsidR="00351009">
        <w:rPr>
          <w:rFonts w:ascii="Times New Roman" w:hAnsi="Times New Roman"/>
          <w:i/>
          <w:sz w:val="24"/>
          <w:szCs w:val="24"/>
        </w:rPr>
        <w:t xml:space="preserve">, </w:t>
      </w:r>
      <w:r>
        <w:rPr>
          <w:rFonts w:ascii="Times New Roman" w:hAnsi="Times New Roman"/>
          <w:sz w:val="24"/>
          <w:szCs w:val="24"/>
        </w:rPr>
        <w:t xml:space="preserve">appellant’s </w:t>
      </w:r>
      <w:r w:rsidR="00351009" w:rsidRPr="00521F8B">
        <w:rPr>
          <w:rFonts w:ascii="Times New Roman" w:hAnsi="Times New Roman"/>
          <w:sz w:val="24"/>
          <w:szCs w:val="24"/>
        </w:rPr>
        <w:t>legal practitioners</w:t>
      </w:r>
    </w:p>
    <w:p w:rsidR="00351009" w:rsidRDefault="0040354A" w:rsidP="00351009">
      <w:pPr>
        <w:spacing w:after="0" w:line="240" w:lineRule="auto"/>
        <w:jc w:val="both"/>
        <w:rPr>
          <w:rFonts w:ascii="Times New Roman" w:hAnsi="Times New Roman"/>
          <w:sz w:val="24"/>
          <w:szCs w:val="24"/>
        </w:rPr>
      </w:pPr>
      <w:r>
        <w:rPr>
          <w:rFonts w:ascii="Times New Roman" w:hAnsi="Times New Roman"/>
          <w:i/>
          <w:sz w:val="24"/>
          <w:szCs w:val="24"/>
        </w:rPr>
        <w:t>Kantor &amp; Immerman</w:t>
      </w:r>
      <w:r w:rsidR="00351009" w:rsidRPr="00521F8B">
        <w:rPr>
          <w:rFonts w:ascii="Times New Roman" w:hAnsi="Times New Roman"/>
          <w:sz w:val="24"/>
          <w:szCs w:val="24"/>
        </w:rPr>
        <w:t>,</w:t>
      </w:r>
      <w:r w:rsidR="00351009">
        <w:rPr>
          <w:rFonts w:ascii="Times New Roman" w:hAnsi="Times New Roman"/>
          <w:sz w:val="24"/>
          <w:szCs w:val="24"/>
        </w:rPr>
        <w:t xml:space="preserve"> </w:t>
      </w:r>
      <w:r>
        <w:rPr>
          <w:rFonts w:ascii="Times New Roman" w:hAnsi="Times New Roman"/>
          <w:sz w:val="24"/>
          <w:szCs w:val="24"/>
        </w:rPr>
        <w:t>responde</w:t>
      </w:r>
      <w:r w:rsidR="00351009">
        <w:rPr>
          <w:rFonts w:ascii="Times New Roman" w:hAnsi="Times New Roman"/>
          <w:sz w:val="24"/>
          <w:szCs w:val="24"/>
        </w:rPr>
        <w:t>nt</w:t>
      </w:r>
      <w:r>
        <w:rPr>
          <w:rFonts w:ascii="Times New Roman" w:hAnsi="Times New Roman"/>
          <w:sz w:val="24"/>
          <w:szCs w:val="24"/>
        </w:rPr>
        <w:t xml:space="preserve">’s </w:t>
      </w:r>
      <w:r w:rsidR="00351009">
        <w:rPr>
          <w:rFonts w:ascii="Times New Roman" w:hAnsi="Times New Roman"/>
          <w:sz w:val="24"/>
          <w:szCs w:val="24"/>
        </w:rPr>
        <w:t xml:space="preserve">legal practitioners </w:t>
      </w:r>
    </w:p>
    <w:p w:rsidR="00351009" w:rsidRPr="00795242" w:rsidRDefault="00351009" w:rsidP="00351009">
      <w:pPr>
        <w:spacing w:line="360" w:lineRule="auto"/>
        <w:ind w:left="720" w:hanging="720"/>
        <w:jc w:val="both"/>
        <w:rPr>
          <w:rFonts w:ascii="Times New Roman" w:hAnsi="Times New Roman" w:cs="Times New Roman"/>
          <w:sz w:val="24"/>
          <w:szCs w:val="24"/>
        </w:rPr>
      </w:pPr>
    </w:p>
    <w:sectPr w:rsidR="00351009" w:rsidRPr="0079524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C05" w:rsidRDefault="00150C05" w:rsidP="00F41936">
      <w:pPr>
        <w:spacing w:after="0" w:line="240" w:lineRule="auto"/>
      </w:pPr>
      <w:r>
        <w:separator/>
      </w:r>
    </w:p>
  </w:endnote>
  <w:endnote w:type="continuationSeparator" w:id="0">
    <w:p w:rsidR="00150C05" w:rsidRDefault="00150C05" w:rsidP="00F4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C05" w:rsidRDefault="00150C05" w:rsidP="00F41936">
      <w:pPr>
        <w:spacing w:after="0" w:line="240" w:lineRule="auto"/>
      </w:pPr>
      <w:r>
        <w:separator/>
      </w:r>
    </w:p>
  </w:footnote>
  <w:footnote w:type="continuationSeparator" w:id="0">
    <w:p w:rsidR="00150C05" w:rsidRDefault="00150C05" w:rsidP="00F41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033535042"/>
      <w:docPartObj>
        <w:docPartGallery w:val="Page Numbers (Top of Page)"/>
        <w:docPartUnique/>
      </w:docPartObj>
    </w:sdtPr>
    <w:sdtEndPr>
      <w:rPr>
        <w:b/>
        <w:bCs/>
        <w:noProof/>
        <w:color w:val="auto"/>
        <w:spacing w:val="0"/>
      </w:rPr>
    </w:sdtEndPr>
    <w:sdtContent>
      <w:p w:rsidR="00D0020B" w:rsidRDefault="00BD1EFF">
        <w:pPr>
          <w:pStyle w:val="Header"/>
          <w:pBdr>
            <w:bottom w:val="single" w:sz="4" w:space="1" w:color="D9D9D9" w:themeColor="background1" w:themeShade="D9"/>
          </w:pBdr>
          <w:jc w:val="right"/>
          <w:rPr>
            <w:b/>
            <w:bCs/>
            <w:noProof/>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B095C" w:rsidRPr="001B095C">
          <w:rPr>
            <w:b/>
            <w:bCs/>
            <w:noProof/>
          </w:rPr>
          <w:t>1</w:t>
        </w:r>
        <w:r>
          <w:rPr>
            <w:b/>
            <w:bCs/>
            <w:noProof/>
          </w:rPr>
          <w:fldChar w:fldCharType="end"/>
        </w:r>
      </w:p>
      <w:p w:rsidR="00D0020B" w:rsidRDefault="00D0020B">
        <w:pPr>
          <w:pStyle w:val="Header"/>
          <w:pBdr>
            <w:bottom w:val="single" w:sz="4" w:space="1" w:color="D9D9D9" w:themeColor="background1" w:themeShade="D9"/>
          </w:pBdr>
          <w:jc w:val="right"/>
          <w:rPr>
            <w:b/>
            <w:bCs/>
            <w:noProof/>
          </w:rPr>
        </w:pPr>
        <w:r>
          <w:rPr>
            <w:b/>
            <w:bCs/>
            <w:noProof/>
          </w:rPr>
          <w:t>HH567-25</w:t>
        </w:r>
      </w:p>
      <w:p w:rsidR="00BD1EFF" w:rsidRDefault="00D0020B">
        <w:pPr>
          <w:pStyle w:val="Header"/>
          <w:pBdr>
            <w:bottom w:val="single" w:sz="4" w:space="1" w:color="D9D9D9" w:themeColor="background1" w:themeShade="D9"/>
          </w:pBdr>
          <w:jc w:val="right"/>
          <w:rPr>
            <w:b/>
            <w:bCs/>
          </w:rPr>
        </w:pPr>
        <w:r>
          <w:rPr>
            <w:b/>
            <w:bCs/>
            <w:noProof/>
          </w:rPr>
          <w:t>Case No FA05-23</w:t>
        </w:r>
      </w:p>
    </w:sdtContent>
  </w:sdt>
  <w:p w:rsidR="002D4567" w:rsidRPr="00F41936" w:rsidRDefault="002D4567" w:rsidP="00F41936">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435"/>
    <w:multiLevelType w:val="hybridMultilevel"/>
    <w:tmpl w:val="996EB424"/>
    <w:lvl w:ilvl="0" w:tplc="CB809FB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0BFB5703"/>
    <w:multiLevelType w:val="hybridMultilevel"/>
    <w:tmpl w:val="968E4870"/>
    <w:lvl w:ilvl="0" w:tplc="695427EA">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0D0244AE"/>
    <w:multiLevelType w:val="hybridMultilevel"/>
    <w:tmpl w:val="1F4ACFEE"/>
    <w:lvl w:ilvl="0" w:tplc="89C8365E">
      <w:start w:val="1"/>
      <w:numFmt w:val="lowerRoman"/>
      <w:lvlText w:val="(%1)"/>
      <w:lvlJc w:val="left"/>
      <w:pPr>
        <w:ind w:left="2160" w:hanging="720"/>
      </w:pPr>
      <w:rPr>
        <w:rFonts w:hint="default"/>
        <w: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105D04BC"/>
    <w:multiLevelType w:val="multilevel"/>
    <w:tmpl w:val="CC56ABE6"/>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11D135E0"/>
    <w:multiLevelType w:val="hybridMultilevel"/>
    <w:tmpl w:val="359E556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013511"/>
    <w:multiLevelType w:val="multilevel"/>
    <w:tmpl w:val="3796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11246B"/>
    <w:multiLevelType w:val="multilevel"/>
    <w:tmpl w:val="C836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AC1B38"/>
    <w:multiLevelType w:val="multilevel"/>
    <w:tmpl w:val="B254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3A0678"/>
    <w:multiLevelType w:val="multilevel"/>
    <w:tmpl w:val="BF4A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0198C"/>
    <w:multiLevelType w:val="multilevel"/>
    <w:tmpl w:val="A274B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3815EE"/>
    <w:multiLevelType w:val="hybridMultilevel"/>
    <w:tmpl w:val="F9D85EA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F6F3850"/>
    <w:multiLevelType w:val="multilevel"/>
    <w:tmpl w:val="0C92895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nsid w:val="72532B59"/>
    <w:multiLevelType w:val="multilevel"/>
    <w:tmpl w:val="57E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7714DB"/>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6"/>
  </w:num>
  <w:num w:numId="4">
    <w:abstractNumId w:val="12"/>
  </w:num>
  <w:num w:numId="5">
    <w:abstractNumId w:val="5"/>
  </w:num>
  <w:num w:numId="6">
    <w:abstractNumId w:val="7"/>
  </w:num>
  <w:num w:numId="7">
    <w:abstractNumId w:val="11"/>
  </w:num>
  <w:num w:numId="8">
    <w:abstractNumId w:val="3"/>
  </w:num>
  <w:num w:numId="9">
    <w:abstractNumId w:val="13"/>
  </w:num>
  <w:num w:numId="10">
    <w:abstractNumId w:val="2"/>
  </w:num>
  <w:num w:numId="11">
    <w:abstractNumId w:val="0"/>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9E"/>
    <w:rsid w:val="00026A79"/>
    <w:rsid w:val="00052970"/>
    <w:rsid w:val="00072A22"/>
    <w:rsid w:val="0007303D"/>
    <w:rsid w:val="00087537"/>
    <w:rsid w:val="000A1CFF"/>
    <w:rsid w:val="000B3DD6"/>
    <w:rsid w:val="000D0D07"/>
    <w:rsid w:val="000E5AF2"/>
    <w:rsid w:val="00104551"/>
    <w:rsid w:val="001203B0"/>
    <w:rsid w:val="00150C05"/>
    <w:rsid w:val="00187245"/>
    <w:rsid w:val="001B095C"/>
    <w:rsid w:val="001B3BE5"/>
    <w:rsid w:val="001C7D5E"/>
    <w:rsid w:val="00201793"/>
    <w:rsid w:val="00203CA8"/>
    <w:rsid w:val="00236FEA"/>
    <w:rsid w:val="00240AC7"/>
    <w:rsid w:val="002774B2"/>
    <w:rsid w:val="002D1F01"/>
    <w:rsid w:val="002D4567"/>
    <w:rsid w:val="002E748A"/>
    <w:rsid w:val="002F2965"/>
    <w:rsid w:val="00301B84"/>
    <w:rsid w:val="00311EA0"/>
    <w:rsid w:val="0032001A"/>
    <w:rsid w:val="003326F3"/>
    <w:rsid w:val="00342A83"/>
    <w:rsid w:val="00351009"/>
    <w:rsid w:val="003812BF"/>
    <w:rsid w:val="003B4003"/>
    <w:rsid w:val="003D4DD9"/>
    <w:rsid w:val="0040354A"/>
    <w:rsid w:val="00412A97"/>
    <w:rsid w:val="00464FFD"/>
    <w:rsid w:val="00480308"/>
    <w:rsid w:val="00493BCE"/>
    <w:rsid w:val="004B3ACC"/>
    <w:rsid w:val="004E67A8"/>
    <w:rsid w:val="00502C43"/>
    <w:rsid w:val="0052116B"/>
    <w:rsid w:val="0052633B"/>
    <w:rsid w:val="00570678"/>
    <w:rsid w:val="005A6929"/>
    <w:rsid w:val="005A7A3C"/>
    <w:rsid w:val="00672E2B"/>
    <w:rsid w:val="00674176"/>
    <w:rsid w:val="006817CB"/>
    <w:rsid w:val="00693A9C"/>
    <w:rsid w:val="006A728A"/>
    <w:rsid w:val="006B1DBC"/>
    <w:rsid w:val="007167F3"/>
    <w:rsid w:val="00771C61"/>
    <w:rsid w:val="00795242"/>
    <w:rsid w:val="008105D5"/>
    <w:rsid w:val="00822A04"/>
    <w:rsid w:val="00823131"/>
    <w:rsid w:val="00837896"/>
    <w:rsid w:val="008479C5"/>
    <w:rsid w:val="008756B7"/>
    <w:rsid w:val="008827B7"/>
    <w:rsid w:val="008D0750"/>
    <w:rsid w:val="008E25EB"/>
    <w:rsid w:val="008E2E74"/>
    <w:rsid w:val="008E4744"/>
    <w:rsid w:val="009030D7"/>
    <w:rsid w:val="00906DCC"/>
    <w:rsid w:val="00910713"/>
    <w:rsid w:val="009526D7"/>
    <w:rsid w:val="00967D0E"/>
    <w:rsid w:val="0098239E"/>
    <w:rsid w:val="009E0479"/>
    <w:rsid w:val="009E0518"/>
    <w:rsid w:val="00A13E11"/>
    <w:rsid w:val="00A14411"/>
    <w:rsid w:val="00A20362"/>
    <w:rsid w:val="00A60B3C"/>
    <w:rsid w:val="00A90A3D"/>
    <w:rsid w:val="00AB437C"/>
    <w:rsid w:val="00AE310A"/>
    <w:rsid w:val="00AE6AF9"/>
    <w:rsid w:val="00AE77B9"/>
    <w:rsid w:val="00B11067"/>
    <w:rsid w:val="00B1779A"/>
    <w:rsid w:val="00B64474"/>
    <w:rsid w:val="00BC696E"/>
    <w:rsid w:val="00BD1EFF"/>
    <w:rsid w:val="00C0270F"/>
    <w:rsid w:val="00C3513D"/>
    <w:rsid w:val="00C401B3"/>
    <w:rsid w:val="00C43D6A"/>
    <w:rsid w:val="00C7203C"/>
    <w:rsid w:val="00C75637"/>
    <w:rsid w:val="00C779F8"/>
    <w:rsid w:val="00CC7103"/>
    <w:rsid w:val="00D0020B"/>
    <w:rsid w:val="00D1677A"/>
    <w:rsid w:val="00D21A42"/>
    <w:rsid w:val="00D34DA3"/>
    <w:rsid w:val="00D6646C"/>
    <w:rsid w:val="00D6663A"/>
    <w:rsid w:val="00D74944"/>
    <w:rsid w:val="00D74AF6"/>
    <w:rsid w:val="00D86A85"/>
    <w:rsid w:val="00D96E5D"/>
    <w:rsid w:val="00DA49AA"/>
    <w:rsid w:val="00E32D5B"/>
    <w:rsid w:val="00E72A80"/>
    <w:rsid w:val="00EF2F0C"/>
    <w:rsid w:val="00F06855"/>
    <w:rsid w:val="00F14DFD"/>
    <w:rsid w:val="00F41936"/>
    <w:rsid w:val="00F57E73"/>
    <w:rsid w:val="00F74F38"/>
    <w:rsid w:val="00F907FF"/>
    <w:rsid w:val="00FB71DE"/>
    <w:rsid w:val="00FD2C09"/>
    <w:rsid w:val="00FF1F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23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3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3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3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3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3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3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3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3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23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2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39E"/>
    <w:rPr>
      <w:rFonts w:eastAsiaTheme="majorEastAsia" w:cstheme="majorBidi"/>
      <w:color w:val="272727" w:themeColor="text1" w:themeTint="D8"/>
    </w:rPr>
  </w:style>
  <w:style w:type="paragraph" w:styleId="Title">
    <w:name w:val="Title"/>
    <w:basedOn w:val="Normal"/>
    <w:next w:val="Normal"/>
    <w:link w:val="TitleChar"/>
    <w:uiPriority w:val="10"/>
    <w:qFormat/>
    <w:rsid w:val="00982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39E"/>
    <w:pPr>
      <w:spacing w:before="160"/>
      <w:jc w:val="center"/>
    </w:pPr>
    <w:rPr>
      <w:i/>
      <w:iCs/>
      <w:color w:val="404040" w:themeColor="text1" w:themeTint="BF"/>
    </w:rPr>
  </w:style>
  <w:style w:type="character" w:customStyle="1" w:styleId="QuoteChar">
    <w:name w:val="Quote Char"/>
    <w:basedOn w:val="DefaultParagraphFont"/>
    <w:link w:val="Quote"/>
    <w:uiPriority w:val="29"/>
    <w:rsid w:val="0098239E"/>
    <w:rPr>
      <w:i/>
      <w:iCs/>
      <w:color w:val="404040" w:themeColor="text1" w:themeTint="BF"/>
    </w:rPr>
  </w:style>
  <w:style w:type="paragraph" w:styleId="ListParagraph">
    <w:name w:val="List Paragraph"/>
    <w:basedOn w:val="Normal"/>
    <w:uiPriority w:val="34"/>
    <w:qFormat/>
    <w:rsid w:val="0098239E"/>
    <w:pPr>
      <w:ind w:left="720"/>
      <w:contextualSpacing/>
    </w:pPr>
  </w:style>
  <w:style w:type="character" w:styleId="IntenseEmphasis">
    <w:name w:val="Intense Emphasis"/>
    <w:basedOn w:val="DefaultParagraphFont"/>
    <w:uiPriority w:val="21"/>
    <w:qFormat/>
    <w:rsid w:val="0098239E"/>
    <w:rPr>
      <w:i/>
      <w:iCs/>
      <w:color w:val="2F5496" w:themeColor="accent1" w:themeShade="BF"/>
    </w:rPr>
  </w:style>
  <w:style w:type="paragraph" w:styleId="IntenseQuote">
    <w:name w:val="Intense Quote"/>
    <w:basedOn w:val="Normal"/>
    <w:next w:val="Normal"/>
    <w:link w:val="IntenseQuoteChar"/>
    <w:uiPriority w:val="30"/>
    <w:qFormat/>
    <w:rsid w:val="00982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39E"/>
    <w:rPr>
      <w:i/>
      <w:iCs/>
      <w:color w:val="2F5496" w:themeColor="accent1" w:themeShade="BF"/>
    </w:rPr>
  </w:style>
  <w:style w:type="character" w:styleId="IntenseReference">
    <w:name w:val="Intense Reference"/>
    <w:basedOn w:val="DefaultParagraphFont"/>
    <w:uiPriority w:val="32"/>
    <w:qFormat/>
    <w:rsid w:val="0098239E"/>
    <w:rPr>
      <w:b/>
      <w:bCs/>
      <w:smallCaps/>
      <w:color w:val="2F5496" w:themeColor="accent1" w:themeShade="BF"/>
      <w:spacing w:val="5"/>
    </w:rPr>
  </w:style>
  <w:style w:type="character" w:styleId="Hyperlink">
    <w:name w:val="Hyperlink"/>
    <w:basedOn w:val="DefaultParagraphFont"/>
    <w:uiPriority w:val="99"/>
    <w:unhideWhenUsed/>
    <w:rsid w:val="0007303D"/>
    <w:rPr>
      <w:color w:val="0563C1" w:themeColor="hyperlink"/>
      <w:u w:val="single"/>
    </w:rPr>
  </w:style>
  <w:style w:type="character" w:customStyle="1" w:styleId="UnresolvedMention">
    <w:name w:val="Unresolved Mention"/>
    <w:basedOn w:val="DefaultParagraphFont"/>
    <w:uiPriority w:val="99"/>
    <w:semiHidden/>
    <w:unhideWhenUsed/>
    <w:rsid w:val="0007303D"/>
    <w:rPr>
      <w:color w:val="605E5C"/>
      <w:shd w:val="clear" w:color="auto" w:fill="E1DFDD"/>
    </w:rPr>
  </w:style>
  <w:style w:type="paragraph" w:styleId="Header">
    <w:name w:val="header"/>
    <w:basedOn w:val="Normal"/>
    <w:link w:val="HeaderChar"/>
    <w:uiPriority w:val="99"/>
    <w:unhideWhenUsed/>
    <w:rsid w:val="00F41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936"/>
  </w:style>
  <w:style w:type="paragraph" w:styleId="Footer">
    <w:name w:val="footer"/>
    <w:basedOn w:val="Normal"/>
    <w:link w:val="FooterChar"/>
    <w:uiPriority w:val="99"/>
    <w:unhideWhenUsed/>
    <w:rsid w:val="00F41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936"/>
  </w:style>
  <w:style w:type="paragraph" w:styleId="BalloonText">
    <w:name w:val="Balloon Text"/>
    <w:basedOn w:val="Normal"/>
    <w:link w:val="BalloonTextChar"/>
    <w:uiPriority w:val="99"/>
    <w:semiHidden/>
    <w:unhideWhenUsed/>
    <w:rsid w:val="00D00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2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23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3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3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3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3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3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3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3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3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23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2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39E"/>
    <w:rPr>
      <w:rFonts w:eastAsiaTheme="majorEastAsia" w:cstheme="majorBidi"/>
      <w:color w:val="272727" w:themeColor="text1" w:themeTint="D8"/>
    </w:rPr>
  </w:style>
  <w:style w:type="paragraph" w:styleId="Title">
    <w:name w:val="Title"/>
    <w:basedOn w:val="Normal"/>
    <w:next w:val="Normal"/>
    <w:link w:val="TitleChar"/>
    <w:uiPriority w:val="10"/>
    <w:qFormat/>
    <w:rsid w:val="00982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39E"/>
    <w:pPr>
      <w:spacing w:before="160"/>
      <w:jc w:val="center"/>
    </w:pPr>
    <w:rPr>
      <w:i/>
      <w:iCs/>
      <w:color w:val="404040" w:themeColor="text1" w:themeTint="BF"/>
    </w:rPr>
  </w:style>
  <w:style w:type="character" w:customStyle="1" w:styleId="QuoteChar">
    <w:name w:val="Quote Char"/>
    <w:basedOn w:val="DefaultParagraphFont"/>
    <w:link w:val="Quote"/>
    <w:uiPriority w:val="29"/>
    <w:rsid w:val="0098239E"/>
    <w:rPr>
      <w:i/>
      <w:iCs/>
      <w:color w:val="404040" w:themeColor="text1" w:themeTint="BF"/>
    </w:rPr>
  </w:style>
  <w:style w:type="paragraph" w:styleId="ListParagraph">
    <w:name w:val="List Paragraph"/>
    <w:basedOn w:val="Normal"/>
    <w:uiPriority w:val="34"/>
    <w:qFormat/>
    <w:rsid w:val="0098239E"/>
    <w:pPr>
      <w:ind w:left="720"/>
      <w:contextualSpacing/>
    </w:pPr>
  </w:style>
  <w:style w:type="character" w:styleId="IntenseEmphasis">
    <w:name w:val="Intense Emphasis"/>
    <w:basedOn w:val="DefaultParagraphFont"/>
    <w:uiPriority w:val="21"/>
    <w:qFormat/>
    <w:rsid w:val="0098239E"/>
    <w:rPr>
      <w:i/>
      <w:iCs/>
      <w:color w:val="2F5496" w:themeColor="accent1" w:themeShade="BF"/>
    </w:rPr>
  </w:style>
  <w:style w:type="paragraph" w:styleId="IntenseQuote">
    <w:name w:val="Intense Quote"/>
    <w:basedOn w:val="Normal"/>
    <w:next w:val="Normal"/>
    <w:link w:val="IntenseQuoteChar"/>
    <w:uiPriority w:val="30"/>
    <w:qFormat/>
    <w:rsid w:val="00982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39E"/>
    <w:rPr>
      <w:i/>
      <w:iCs/>
      <w:color w:val="2F5496" w:themeColor="accent1" w:themeShade="BF"/>
    </w:rPr>
  </w:style>
  <w:style w:type="character" w:styleId="IntenseReference">
    <w:name w:val="Intense Reference"/>
    <w:basedOn w:val="DefaultParagraphFont"/>
    <w:uiPriority w:val="32"/>
    <w:qFormat/>
    <w:rsid w:val="0098239E"/>
    <w:rPr>
      <w:b/>
      <w:bCs/>
      <w:smallCaps/>
      <w:color w:val="2F5496" w:themeColor="accent1" w:themeShade="BF"/>
      <w:spacing w:val="5"/>
    </w:rPr>
  </w:style>
  <w:style w:type="character" w:styleId="Hyperlink">
    <w:name w:val="Hyperlink"/>
    <w:basedOn w:val="DefaultParagraphFont"/>
    <w:uiPriority w:val="99"/>
    <w:unhideWhenUsed/>
    <w:rsid w:val="0007303D"/>
    <w:rPr>
      <w:color w:val="0563C1" w:themeColor="hyperlink"/>
      <w:u w:val="single"/>
    </w:rPr>
  </w:style>
  <w:style w:type="character" w:customStyle="1" w:styleId="UnresolvedMention">
    <w:name w:val="Unresolved Mention"/>
    <w:basedOn w:val="DefaultParagraphFont"/>
    <w:uiPriority w:val="99"/>
    <w:semiHidden/>
    <w:unhideWhenUsed/>
    <w:rsid w:val="0007303D"/>
    <w:rPr>
      <w:color w:val="605E5C"/>
      <w:shd w:val="clear" w:color="auto" w:fill="E1DFDD"/>
    </w:rPr>
  </w:style>
  <w:style w:type="paragraph" w:styleId="Header">
    <w:name w:val="header"/>
    <w:basedOn w:val="Normal"/>
    <w:link w:val="HeaderChar"/>
    <w:uiPriority w:val="99"/>
    <w:unhideWhenUsed/>
    <w:rsid w:val="00F41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936"/>
  </w:style>
  <w:style w:type="paragraph" w:styleId="Footer">
    <w:name w:val="footer"/>
    <w:basedOn w:val="Normal"/>
    <w:link w:val="FooterChar"/>
    <w:uiPriority w:val="99"/>
    <w:unhideWhenUsed/>
    <w:rsid w:val="00F41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936"/>
  </w:style>
  <w:style w:type="paragraph" w:styleId="BalloonText">
    <w:name w:val="Balloon Text"/>
    <w:basedOn w:val="Normal"/>
    <w:link w:val="BalloonTextChar"/>
    <w:uiPriority w:val="99"/>
    <w:semiHidden/>
    <w:unhideWhenUsed/>
    <w:rsid w:val="00D00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2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796887">
      <w:bodyDiv w:val="1"/>
      <w:marLeft w:val="0"/>
      <w:marRight w:val="0"/>
      <w:marTop w:val="0"/>
      <w:marBottom w:val="0"/>
      <w:divBdr>
        <w:top w:val="none" w:sz="0" w:space="0" w:color="auto"/>
        <w:left w:val="none" w:sz="0" w:space="0" w:color="auto"/>
        <w:bottom w:val="none" w:sz="0" w:space="0" w:color="auto"/>
        <w:right w:val="none" w:sz="0" w:space="0" w:color="auto"/>
      </w:divBdr>
    </w:div>
    <w:div w:id="1038622898">
      <w:bodyDiv w:val="1"/>
      <w:marLeft w:val="0"/>
      <w:marRight w:val="0"/>
      <w:marTop w:val="0"/>
      <w:marBottom w:val="0"/>
      <w:divBdr>
        <w:top w:val="none" w:sz="0" w:space="0" w:color="auto"/>
        <w:left w:val="none" w:sz="0" w:space="0" w:color="auto"/>
        <w:bottom w:val="none" w:sz="0" w:space="0" w:color="auto"/>
        <w:right w:val="none" w:sz="0" w:space="0" w:color="auto"/>
      </w:divBdr>
    </w:div>
    <w:div w:id="1556623814">
      <w:bodyDiv w:val="1"/>
      <w:marLeft w:val="0"/>
      <w:marRight w:val="0"/>
      <w:marTop w:val="0"/>
      <w:marBottom w:val="0"/>
      <w:divBdr>
        <w:top w:val="none" w:sz="0" w:space="0" w:color="auto"/>
        <w:left w:val="none" w:sz="0" w:space="0" w:color="auto"/>
        <w:bottom w:val="none" w:sz="0" w:space="0" w:color="auto"/>
        <w:right w:val="none" w:sz="0" w:space="0" w:color="auto"/>
      </w:divBdr>
    </w:div>
    <w:div w:id="1612322327">
      <w:bodyDiv w:val="1"/>
      <w:marLeft w:val="0"/>
      <w:marRight w:val="0"/>
      <w:marTop w:val="0"/>
      <w:marBottom w:val="0"/>
      <w:divBdr>
        <w:top w:val="none" w:sz="0" w:space="0" w:color="auto"/>
        <w:left w:val="none" w:sz="0" w:space="0" w:color="auto"/>
        <w:bottom w:val="none" w:sz="0" w:space="0" w:color="auto"/>
        <w:right w:val="none" w:sz="0" w:space="0" w:color="auto"/>
      </w:divBdr>
    </w:div>
    <w:div w:id="167526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D9294-518F-4FE7-A857-0C164A88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Rumbidzai Kangai</dc:creator>
  <cp:lastModifiedBy>User</cp:lastModifiedBy>
  <cp:revision>2</cp:revision>
  <cp:lastPrinted>2025-10-02T11:34:00Z</cp:lastPrinted>
  <dcterms:created xsi:type="dcterms:W3CDTF">2025-10-03T09:59:00Z</dcterms:created>
  <dcterms:modified xsi:type="dcterms:W3CDTF">2025-10-03T09:59:00Z</dcterms:modified>
</cp:coreProperties>
</file>