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580" w:rsidRDefault="008D0580" w:rsidP="008D0580">
      <w:pPr>
        <w:spacing w:line="360" w:lineRule="auto"/>
        <w:jc w:val="both"/>
        <w:rPr>
          <w:b/>
        </w:rPr>
      </w:pPr>
      <w:bookmarkStart w:id="0" w:name="_GoBack"/>
      <w:bookmarkEnd w:id="0"/>
      <w:r w:rsidRPr="00047C13">
        <w:rPr>
          <w:b/>
        </w:rPr>
        <w:t>IN T</w:t>
      </w:r>
      <w:r>
        <w:rPr>
          <w:b/>
        </w:rPr>
        <w:t>HE LABOUR COURT OF ZIMBABWE      JUDGMENT NO. LC/H/</w:t>
      </w:r>
      <w:r w:rsidR="00F47E83">
        <w:rPr>
          <w:b/>
        </w:rPr>
        <w:t>782</w:t>
      </w:r>
      <w:r>
        <w:rPr>
          <w:b/>
        </w:rPr>
        <w:t>/2014</w:t>
      </w:r>
    </w:p>
    <w:p w:rsidR="008D0580" w:rsidRDefault="008D0580" w:rsidP="008D0580">
      <w:pPr>
        <w:spacing w:line="360" w:lineRule="auto"/>
        <w:jc w:val="both"/>
        <w:rPr>
          <w:b/>
        </w:rPr>
      </w:pPr>
      <w:r w:rsidRPr="00047C13">
        <w:rPr>
          <w:b/>
        </w:rPr>
        <w:t xml:space="preserve">HARARE, </w:t>
      </w:r>
      <w:r>
        <w:rPr>
          <w:b/>
        </w:rPr>
        <w:t>04</w:t>
      </w:r>
      <w:r w:rsidR="0040411F">
        <w:rPr>
          <w:b/>
        </w:rPr>
        <w:t xml:space="preserve"> &amp; 21</w:t>
      </w:r>
      <w:r>
        <w:rPr>
          <w:b/>
        </w:rPr>
        <w:t xml:space="preserve"> NOVEMBER 2014</w:t>
      </w:r>
      <w:r>
        <w:rPr>
          <w:b/>
        </w:rPr>
        <w:tab/>
      </w:r>
      <w:r>
        <w:rPr>
          <w:b/>
        </w:rPr>
        <w:tab/>
      </w:r>
      <w:r>
        <w:rPr>
          <w:b/>
        </w:rPr>
        <w:tab/>
        <w:t xml:space="preserve">  </w:t>
      </w:r>
      <w:r w:rsidRPr="00047C13">
        <w:rPr>
          <w:b/>
        </w:rPr>
        <w:t xml:space="preserve"> </w:t>
      </w:r>
      <w:r w:rsidR="0040411F">
        <w:rPr>
          <w:b/>
        </w:rPr>
        <w:t xml:space="preserve">  </w:t>
      </w:r>
      <w:r w:rsidRPr="00047C13">
        <w:rPr>
          <w:b/>
        </w:rPr>
        <w:t>CASE NO. LC/H/</w:t>
      </w:r>
      <w:r>
        <w:rPr>
          <w:b/>
        </w:rPr>
        <w:t>24/14</w:t>
      </w:r>
    </w:p>
    <w:p w:rsidR="008D0580" w:rsidRPr="00047C13" w:rsidRDefault="008D0580" w:rsidP="008D0580">
      <w:pPr>
        <w:spacing w:line="360" w:lineRule="auto"/>
        <w:jc w:val="both"/>
      </w:pPr>
      <w:r w:rsidRPr="00047C13">
        <w:t>In the matter between</w:t>
      </w:r>
      <w:r>
        <w:t>:-</w:t>
      </w:r>
    </w:p>
    <w:p w:rsidR="008D0580" w:rsidRPr="00047C13" w:rsidRDefault="008D0580" w:rsidP="00930C93">
      <w:pPr>
        <w:jc w:val="both"/>
      </w:pPr>
    </w:p>
    <w:p w:rsidR="008D0580" w:rsidRPr="00CC1741" w:rsidRDefault="008D0580" w:rsidP="008D0580">
      <w:pPr>
        <w:spacing w:line="360" w:lineRule="auto"/>
        <w:jc w:val="both"/>
        <w:rPr>
          <w:b/>
        </w:rPr>
      </w:pPr>
      <w:r>
        <w:rPr>
          <w:b/>
        </w:rPr>
        <w:t>GRAPHTEC COMMUNICATION</w:t>
      </w:r>
      <w:r>
        <w:rPr>
          <w:b/>
        </w:rPr>
        <w:tab/>
      </w:r>
      <w:r>
        <w:rPr>
          <w:b/>
        </w:rPr>
        <w:tab/>
      </w:r>
      <w:r>
        <w:rPr>
          <w:b/>
        </w:rPr>
        <w:tab/>
      </w:r>
      <w:r>
        <w:rPr>
          <w:b/>
        </w:rPr>
        <w:tab/>
      </w:r>
      <w:r>
        <w:rPr>
          <w:b/>
        </w:rPr>
        <w:tab/>
        <w:t xml:space="preserve">Appellant </w:t>
      </w:r>
    </w:p>
    <w:p w:rsidR="008D0580" w:rsidRDefault="008D0580" w:rsidP="008D0580">
      <w:pPr>
        <w:spacing w:line="360" w:lineRule="auto"/>
        <w:jc w:val="both"/>
      </w:pPr>
      <w:r>
        <w:t>And</w:t>
      </w:r>
    </w:p>
    <w:p w:rsidR="008D0580" w:rsidRPr="00E4649E" w:rsidRDefault="008D0580" w:rsidP="008D0580">
      <w:pPr>
        <w:spacing w:line="360" w:lineRule="auto"/>
        <w:jc w:val="both"/>
        <w:rPr>
          <w:b/>
        </w:rPr>
      </w:pPr>
      <w:r>
        <w:rPr>
          <w:b/>
        </w:rPr>
        <w:t>NEDSON BALAKA</w:t>
      </w:r>
      <w:r>
        <w:rPr>
          <w:b/>
        </w:rPr>
        <w:tab/>
      </w:r>
      <w:r>
        <w:rPr>
          <w:b/>
        </w:rPr>
        <w:tab/>
      </w:r>
      <w:r>
        <w:rPr>
          <w:b/>
        </w:rPr>
        <w:tab/>
      </w:r>
      <w:r>
        <w:rPr>
          <w:b/>
        </w:rPr>
        <w:tab/>
      </w:r>
      <w:r>
        <w:rPr>
          <w:b/>
        </w:rPr>
        <w:tab/>
      </w:r>
      <w:r>
        <w:rPr>
          <w:b/>
        </w:rPr>
        <w:tab/>
      </w:r>
      <w:r>
        <w:rPr>
          <w:b/>
        </w:rPr>
        <w:tab/>
        <w:t>Respondent</w:t>
      </w:r>
    </w:p>
    <w:p w:rsidR="008D0580" w:rsidRPr="00047C13" w:rsidRDefault="008D0580" w:rsidP="00930C93">
      <w:pPr>
        <w:jc w:val="both"/>
        <w:rPr>
          <w:b/>
        </w:rPr>
      </w:pPr>
    </w:p>
    <w:p w:rsidR="008D0580" w:rsidRPr="00047C13" w:rsidRDefault="008D0580" w:rsidP="008D0580">
      <w:pPr>
        <w:spacing w:line="360" w:lineRule="auto"/>
        <w:jc w:val="both"/>
      </w:pPr>
      <w:r>
        <w:t xml:space="preserve">Before </w:t>
      </w:r>
      <w:r w:rsidRPr="00047C13">
        <w:t>Honourable</w:t>
      </w:r>
      <w:r>
        <w:t xml:space="preserve"> R. Manyangadze, J:</w:t>
      </w:r>
    </w:p>
    <w:p w:rsidR="008D0580" w:rsidRPr="00047C13" w:rsidRDefault="008D0580" w:rsidP="00930C93">
      <w:pPr>
        <w:jc w:val="both"/>
      </w:pPr>
      <w:r w:rsidRPr="00047C13">
        <w:tab/>
      </w:r>
      <w:r w:rsidRPr="00047C13">
        <w:tab/>
      </w:r>
      <w:r w:rsidRPr="00047C13">
        <w:tab/>
      </w:r>
    </w:p>
    <w:p w:rsidR="008D0580" w:rsidRDefault="008D0580" w:rsidP="008D0580">
      <w:pPr>
        <w:spacing w:line="360" w:lineRule="auto"/>
        <w:jc w:val="both"/>
        <w:rPr>
          <w:b/>
        </w:rPr>
      </w:pPr>
      <w:r>
        <w:rPr>
          <w:b/>
        </w:rPr>
        <w:t>For Appellant</w:t>
      </w:r>
      <w:r w:rsidRPr="00047C13">
        <w:rPr>
          <w:b/>
        </w:rPr>
        <w:tab/>
      </w:r>
      <w:r>
        <w:rPr>
          <w:b/>
        </w:rPr>
        <w:tab/>
      </w:r>
      <w:r w:rsidRPr="00047C13">
        <w:rPr>
          <w:b/>
        </w:rPr>
        <w:t>-</w:t>
      </w:r>
      <w:r w:rsidRPr="00047C13">
        <w:rPr>
          <w:b/>
        </w:rPr>
        <w:tab/>
      </w:r>
      <w:r>
        <w:rPr>
          <w:b/>
        </w:rPr>
        <w:t>M. Kamdefwere (Legal Practitioner)</w:t>
      </w:r>
    </w:p>
    <w:p w:rsidR="008D0580" w:rsidRDefault="008D0580" w:rsidP="00930C93">
      <w:pPr>
        <w:jc w:val="both"/>
        <w:rPr>
          <w:b/>
        </w:rPr>
      </w:pPr>
    </w:p>
    <w:p w:rsidR="008D0580" w:rsidRDefault="008D0580" w:rsidP="008D0580">
      <w:pPr>
        <w:pStyle w:val="NoSpacing"/>
        <w:spacing w:line="360" w:lineRule="auto"/>
        <w:jc w:val="both"/>
        <w:rPr>
          <w:b/>
        </w:rPr>
      </w:pPr>
      <w:r w:rsidRPr="00494C95">
        <w:rPr>
          <w:b/>
        </w:rPr>
        <w:t>For Respondent</w:t>
      </w:r>
      <w:r>
        <w:tab/>
      </w:r>
      <w:r>
        <w:tab/>
        <w:t>-</w:t>
      </w:r>
      <w:r>
        <w:tab/>
      </w:r>
      <w:r>
        <w:rPr>
          <w:b/>
        </w:rPr>
        <w:t>N. Mangidza (Legal Practitioner)</w:t>
      </w:r>
    </w:p>
    <w:p w:rsidR="008D0580" w:rsidRPr="00CF1210" w:rsidRDefault="008D0580" w:rsidP="00930C93">
      <w:pPr>
        <w:pStyle w:val="NoSpacing"/>
        <w:jc w:val="both"/>
        <w:rPr>
          <w:b/>
        </w:rPr>
      </w:pPr>
    </w:p>
    <w:p w:rsidR="008D0580" w:rsidRDefault="008D0580" w:rsidP="008D0580">
      <w:pPr>
        <w:spacing w:line="360" w:lineRule="auto"/>
        <w:jc w:val="both"/>
        <w:rPr>
          <w:b/>
        </w:rPr>
      </w:pPr>
      <w:r>
        <w:rPr>
          <w:b/>
        </w:rPr>
        <w:t>MANYANGADZE, J:</w:t>
      </w:r>
    </w:p>
    <w:p w:rsidR="003C4620" w:rsidRDefault="003C4620" w:rsidP="008D0580">
      <w:pPr>
        <w:spacing w:line="360" w:lineRule="auto"/>
        <w:jc w:val="both"/>
      </w:pPr>
    </w:p>
    <w:p w:rsidR="008D0580" w:rsidRDefault="008D0580" w:rsidP="008D0580">
      <w:pPr>
        <w:spacing w:line="360" w:lineRule="auto"/>
        <w:jc w:val="both"/>
      </w:pPr>
      <w:r>
        <w:tab/>
        <w:t xml:space="preserve">This is an appeal against the decision of the National Employment Council for the </w:t>
      </w:r>
      <w:r w:rsidR="00926F40">
        <w:t>Printing</w:t>
      </w:r>
      <w:r>
        <w:t xml:space="preserve"> and Newspaper Industry Appeals Committee. (Appeals Committee).</w:t>
      </w:r>
    </w:p>
    <w:p w:rsidR="008D0580" w:rsidRDefault="008D0580" w:rsidP="00930C93">
      <w:pPr>
        <w:jc w:val="both"/>
      </w:pPr>
    </w:p>
    <w:p w:rsidR="008D0580" w:rsidRDefault="008D0580" w:rsidP="008D0580">
      <w:pPr>
        <w:spacing w:line="360" w:lineRule="auto"/>
        <w:jc w:val="both"/>
      </w:pPr>
      <w:r>
        <w:tab/>
        <w:t>The Appeals Committee set aside the dismissal of the respondent that had been imposed by the appellant’s Disciplinary Committee.  The Disciplinary Committee had found the respondent guilty</w:t>
      </w:r>
      <w:r w:rsidR="000C4A3C">
        <w:t xml:space="preserve"> of misconduct in terms of the P</w:t>
      </w:r>
      <w:r>
        <w:t xml:space="preserve">rinting, </w:t>
      </w:r>
      <w:r w:rsidR="000C4A3C">
        <w:t>Packaging</w:t>
      </w:r>
      <w:r w:rsidR="00F97E7B">
        <w:t xml:space="preserve"> and Newspaper Industry Code of Conduct.  The charge was one of Theft/Fraud, the particulars of which were that he carried out two private jobs which were not recorded in the company</w:t>
      </w:r>
      <w:r w:rsidR="000C4A3C">
        <w:t>’s</w:t>
      </w:r>
      <w:r w:rsidR="00F97E7B">
        <w:t xml:space="preserve"> official record, to the prejudice of the company.</w:t>
      </w:r>
    </w:p>
    <w:p w:rsidR="00F97E7B" w:rsidRDefault="00F97E7B" w:rsidP="00930C93">
      <w:pPr>
        <w:jc w:val="both"/>
      </w:pPr>
    </w:p>
    <w:p w:rsidR="00F97E7B" w:rsidRDefault="00F97E7B" w:rsidP="008D0580">
      <w:pPr>
        <w:spacing w:line="360" w:lineRule="auto"/>
        <w:jc w:val="both"/>
      </w:pPr>
      <w:r>
        <w:tab/>
        <w:t>The Appeals Committee set aside the dismissal, ordered the respondent’s re</w:t>
      </w:r>
      <w:r w:rsidR="000C4A3C">
        <w:t>instatement and issued a F</w:t>
      </w:r>
      <w:r w:rsidR="00CD40D4">
        <w:t xml:space="preserve">inal </w:t>
      </w:r>
      <w:r w:rsidR="000C4A3C">
        <w:t>W</w:t>
      </w:r>
      <w:r w:rsidR="00DC74FC">
        <w:t xml:space="preserve">ritten </w:t>
      </w:r>
      <w:r w:rsidR="000C4A3C">
        <w:t>W</w:t>
      </w:r>
      <w:r w:rsidR="00DC74FC">
        <w:t>arning.</w:t>
      </w:r>
    </w:p>
    <w:p w:rsidR="00DC74FC" w:rsidRDefault="00DC74FC" w:rsidP="00930C93">
      <w:pPr>
        <w:jc w:val="both"/>
      </w:pPr>
    </w:p>
    <w:p w:rsidR="00DC74FC" w:rsidRDefault="00DC74FC" w:rsidP="008D0580">
      <w:pPr>
        <w:spacing w:line="360" w:lineRule="auto"/>
        <w:jc w:val="both"/>
      </w:pPr>
      <w:r>
        <w:tab/>
        <w:t xml:space="preserve">Aggrieved by the Appeals Committee’s decision, the appellant </w:t>
      </w:r>
      <w:r w:rsidR="000C4A3C">
        <w:t>lodge</w:t>
      </w:r>
      <w:r w:rsidR="0040411F">
        <w:t>d</w:t>
      </w:r>
      <w:r>
        <w:t xml:space="preserve"> an appeal with this court.</w:t>
      </w:r>
    </w:p>
    <w:p w:rsidR="00DC74FC" w:rsidRDefault="00DC74FC" w:rsidP="008D0580">
      <w:pPr>
        <w:spacing w:line="360" w:lineRule="auto"/>
        <w:jc w:val="both"/>
      </w:pPr>
    </w:p>
    <w:p w:rsidR="00DC74FC" w:rsidRDefault="00DC74FC" w:rsidP="008D0580">
      <w:pPr>
        <w:spacing w:line="360" w:lineRule="auto"/>
        <w:jc w:val="both"/>
      </w:pPr>
      <w:r>
        <w:tab/>
        <w:t>The Appeals Committee</w:t>
      </w:r>
      <w:r w:rsidR="000C4A3C">
        <w:t>’s</w:t>
      </w:r>
      <w:r>
        <w:t xml:space="preserve"> decision is contained in a rat</w:t>
      </w:r>
      <w:r w:rsidR="000C4A3C">
        <w:t>her ter</w:t>
      </w:r>
      <w:r>
        <w:t xml:space="preserve">se letter to the appellant’s Chief Executive Officer, dated 28 November 2012.  It advises the </w:t>
      </w:r>
      <w:r w:rsidR="00926F40">
        <w:lastRenderedPageBreak/>
        <w:t>appellant</w:t>
      </w:r>
      <w:r>
        <w:t xml:space="preserve"> of its “determination to reinstate the employee effective today”.  The reinstatement i</w:t>
      </w:r>
      <w:r w:rsidR="00224387">
        <w:t xml:space="preserve">s </w:t>
      </w:r>
      <w:r>
        <w:t xml:space="preserve">with loss of pay and benefits up to the date of reinstatement. </w:t>
      </w:r>
    </w:p>
    <w:p w:rsidR="00857343" w:rsidRDefault="00857343" w:rsidP="00930C93">
      <w:pPr>
        <w:jc w:val="both"/>
      </w:pPr>
    </w:p>
    <w:p w:rsidR="00857343" w:rsidRDefault="00857343" w:rsidP="008D0580">
      <w:pPr>
        <w:spacing w:line="360" w:lineRule="auto"/>
        <w:jc w:val="both"/>
      </w:pPr>
      <w:r>
        <w:tab/>
        <w:t>The Appeals Committee went on to determine “t</w:t>
      </w:r>
      <w:r w:rsidR="00926F40">
        <w:t>hat the employee be issued with</w:t>
      </w:r>
      <w:r>
        <w:t xml:space="preserve"> a </w:t>
      </w:r>
      <w:r w:rsidRPr="00926F40">
        <w:rPr>
          <w:u w:val="single"/>
        </w:rPr>
        <w:t>Final Written Warning</w:t>
      </w:r>
      <w:r>
        <w:t xml:space="preserve"> </w:t>
      </w:r>
      <w:r w:rsidR="00926F40">
        <w:t>that</w:t>
      </w:r>
      <w:r>
        <w:t xml:space="preserve"> is val</w:t>
      </w:r>
      <w:r w:rsidR="002D1EFF">
        <w:t>id for 12 months</w:t>
      </w:r>
      <w:r w:rsidR="0040411F">
        <w:t>”</w:t>
      </w:r>
      <w:r w:rsidR="002D1EFF">
        <w:t xml:space="preserve">.  </w:t>
      </w:r>
      <w:r w:rsidR="00926F40">
        <w:t>It concluded</w:t>
      </w:r>
      <w:r w:rsidR="002D1EFF">
        <w:t xml:space="preserve"> its determination by stating that t</w:t>
      </w:r>
      <w:r w:rsidR="00926F40">
        <w:t>he employer “is also advised to t</w:t>
      </w:r>
      <w:r w:rsidR="002D1EFF">
        <w:t>ighten their security system to avoid loopholes that may continue to prejudice the organization”</w:t>
      </w:r>
    </w:p>
    <w:p w:rsidR="002D1EFF" w:rsidRDefault="002D1EFF" w:rsidP="00930C93">
      <w:pPr>
        <w:jc w:val="both"/>
      </w:pPr>
    </w:p>
    <w:p w:rsidR="002D1EFF" w:rsidRDefault="002D1EFF" w:rsidP="008D0580">
      <w:pPr>
        <w:spacing w:line="360" w:lineRule="auto"/>
        <w:jc w:val="both"/>
      </w:pPr>
      <w:r>
        <w:tab/>
        <w:t xml:space="preserve">One has to infer, from a reading of the determination, that the Appeals Committee upheld the </w:t>
      </w:r>
      <w:r w:rsidR="00926F40">
        <w:t xml:space="preserve">conviction </w:t>
      </w:r>
      <w:r>
        <w:t>, but substituted the penal</w:t>
      </w:r>
      <w:r w:rsidR="00926F40">
        <w:t>ty of dismissal with that of a f</w:t>
      </w:r>
      <w:r>
        <w:t xml:space="preserve">inal written </w:t>
      </w:r>
      <w:r w:rsidR="00926F40">
        <w:t>warning</w:t>
      </w:r>
      <w:r>
        <w:t>.  Th</w:t>
      </w:r>
      <w:r w:rsidR="00926F40">
        <w:t>e determination is not word</w:t>
      </w:r>
      <w:r>
        <w:t>ed in language that clearly pronounces and distinguishes the aspect</w:t>
      </w:r>
      <w:r w:rsidR="00926F40">
        <w:t>s</w:t>
      </w:r>
      <w:r>
        <w:t xml:space="preserve"> of conviction and penalty.</w:t>
      </w:r>
    </w:p>
    <w:p w:rsidR="002D1EFF" w:rsidRDefault="002D1EFF" w:rsidP="00930C93">
      <w:pPr>
        <w:jc w:val="both"/>
      </w:pPr>
    </w:p>
    <w:p w:rsidR="002D1EFF" w:rsidRDefault="002D1EFF" w:rsidP="008D0580">
      <w:pPr>
        <w:spacing w:line="360" w:lineRule="auto"/>
        <w:jc w:val="both"/>
      </w:pPr>
      <w:r>
        <w:tab/>
        <w:t>The matter was however clarified during oral submissions.  Counsel made it clear that the issue was on penalty, not conviction.  Indeed, there was no cross-appeal from the respondent</w:t>
      </w:r>
      <w:r w:rsidR="00C768BB">
        <w:t>, contesting the conviction.</w:t>
      </w:r>
    </w:p>
    <w:p w:rsidR="00C768BB" w:rsidRDefault="00C768BB" w:rsidP="00930C93">
      <w:pPr>
        <w:jc w:val="both"/>
      </w:pPr>
    </w:p>
    <w:p w:rsidR="00C768BB" w:rsidRDefault="00C768BB" w:rsidP="008D0580">
      <w:pPr>
        <w:spacing w:line="360" w:lineRule="auto"/>
        <w:jc w:val="both"/>
      </w:pPr>
      <w:r>
        <w:tab/>
        <w:t>Therefore, the issue before this court, essentially, is</w:t>
      </w:r>
      <w:r w:rsidR="00926F40">
        <w:t xml:space="preserve"> whether</w:t>
      </w:r>
      <w:r>
        <w:t xml:space="preserve"> the NEC Appeals Committee exercised its discretion properly when it substituted the Disciplinary Committee’s penalty of dismissal with that of</w:t>
      </w:r>
      <w:r w:rsidR="00926F40">
        <w:t xml:space="preserve"> a</w:t>
      </w:r>
      <w:r>
        <w:t xml:space="preserve"> Final Written Warning.</w:t>
      </w:r>
    </w:p>
    <w:p w:rsidR="00C768BB" w:rsidRDefault="00C768BB" w:rsidP="00930C93">
      <w:pPr>
        <w:jc w:val="both"/>
      </w:pPr>
    </w:p>
    <w:p w:rsidR="00C768BB" w:rsidRDefault="00C768BB" w:rsidP="008D0580">
      <w:pPr>
        <w:spacing w:line="360" w:lineRule="auto"/>
        <w:jc w:val="both"/>
      </w:pPr>
      <w:r>
        <w:tab/>
        <w:t>The appellant averred that the misconduct, which involved theft/fraud, was one of dishonesty.  As such, it went to the root of the employment relationship.  The employer was entitled to dismiss</w:t>
      </w:r>
      <w:r w:rsidR="00926F40">
        <w:t xml:space="preserve"> the employee</w:t>
      </w:r>
      <w:r>
        <w:t xml:space="preserve">.  The appellant referred the court to a number of cases, among them that of </w:t>
      </w:r>
      <w:r w:rsidRPr="00930C93">
        <w:rPr>
          <w:i/>
        </w:rPr>
        <w:t>Standard Bank Zimbabwe</w:t>
      </w:r>
      <w:r w:rsidR="00930C93">
        <w:t xml:space="preserve"> vs </w:t>
      </w:r>
      <w:r w:rsidR="00930C93" w:rsidRPr="00930C93">
        <w:rPr>
          <w:i/>
        </w:rPr>
        <w:t>Chapuka</w:t>
      </w:r>
      <w:r w:rsidRPr="00930C93">
        <w:rPr>
          <w:i/>
        </w:rPr>
        <w:t xml:space="preserve"> </w:t>
      </w:r>
      <w:r>
        <w:t>S-125-04 .</w:t>
      </w:r>
    </w:p>
    <w:p w:rsidR="00C768BB" w:rsidRDefault="00C768BB" w:rsidP="00930C93">
      <w:pPr>
        <w:jc w:val="both"/>
      </w:pPr>
    </w:p>
    <w:p w:rsidR="00C05236" w:rsidRDefault="00930C93" w:rsidP="008D0580">
      <w:pPr>
        <w:spacing w:line="360" w:lineRule="auto"/>
        <w:jc w:val="both"/>
      </w:pPr>
      <w:r>
        <w:tab/>
        <w:t xml:space="preserve">In the </w:t>
      </w:r>
      <w:r w:rsidRPr="00926F40">
        <w:rPr>
          <w:i/>
        </w:rPr>
        <w:t>Chapuka</w:t>
      </w:r>
      <w:r w:rsidR="00C768BB">
        <w:t xml:space="preserve"> case, there was a strong element of dishonesty.  The employee altered </w:t>
      </w:r>
      <w:r w:rsidR="00C05236">
        <w:t xml:space="preserve">cheques that </w:t>
      </w:r>
      <w:r w:rsidR="00926F40">
        <w:t>were</w:t>
      </w:r>
      <w:r w:rsidR="00C05236">
        <w:t xml:space="preserve"> supposed to be drawn in favour of suppliers of building materials, and made them payable to his wife, subsequently</w:t>
      </w:r>
      <w:r w:rsidR="00C768BB">
        <w:t xml:space="preserve"> </w:t>
      </w:r>
      <w:r w:rsidR="00C05236">
        <w:t>making withdrawals and depositing them into his own account. Although this was a loan that had been granted for</w:t>
      </w:r>
      <w:r w:rsidR="00926F40">
        <w:t xml:space="preserve"> building a dwelling house, the</w:t>
      </w:r>
      <w:r w:rsidR="00C05236">
        <w:t xml:space="preserve"> method of its withdrawal was inconsistent with the express or </w:t>
      </w:r>
      <w:r w:rsidR="00926F40">
        <w:t>implied</w:t>
      </w:r>
      <w:r w:rsidR="00C05236">
        <w:t xml:space="preserve"> terms and conditions of his </w:t>
      </w:r>
      <w:r w:rsidR="00CE27A2">
        <w:t>employment contract.  MALABA JA (as he then was) had this to say:</w:t>
      </w:r>
    </w:p>
    <w:p w:rsidR="00CE27A2" w:rsidRDefault="00CE27A2" w:rsidP="00930C93">
      <w:pPr>
        <w:jc w:val="both"/>
      </w:pPr>
    </w:p>
    <w:p w:rsidR="00CE27A2" w:rsidRPr="00930C93" w:rsidRDefault="00CE27A2" w:rsidP="00930C93">
      <w:pPr>
        <w:spacing w:line="276" w:lineRule="auto"/>
        <w:ind w:left="720"/>
        <w:jc w:val="both"/>
        <w:rPr>
          <w:sz w:val="22"/>
          <w:szCs w:val="22"/>
        </w:rPr>
      </w:pPr>
      <w:r w:rsidRPr="00930C93">
        <w:rPr>
          <w:sz w:val="22"/>
          <w:szCs w:val="22"/>
        </w:rPr>
        <w:t xml:space="preserve">“The relationship between Standard Chartered and Chapuka was one based upon </w:t>
      </w:r>
      <w:r w:rsidR="00F234AF" w:rsidRPr="00930C93">
        <w:rPr>
          <w:sz w:val="22"/>
          <w:szCs w:val="22"/>
        </w:rPr>
        <w:t xml:space="preserve">trust and confidence.  It is sufficient that in dismissing Chapuka from employment Standard Chartered felt that as a result of his own acts of misconduct it could not continue in future to repose in him the trust and confidence that he would perform his duties as a senior member of staff with a high degree of honesty.  It was also sufficient that any reasonable employer in the position of Standard Chartered would on </w:t>
      </w:r>
      <w:r w:rsidR="00930C93">
        <w:rPr>
          <w:sz w:val="22"/>
          <w:szCs w:val="22"/>
        </w:rPr>
        <w:t>the facts have dismissed Chapuka</w:t>
      </w:r>
      <w:r w:rsidR="00F234AF" w:rsidRPr="00930C93">
        <w:rPr>
          <w:sz w:val="22"/>
          <w:szCs w:val="22"/>
        </w:rPr>
        <w:t xml:space="preserve"> for what he did.”</w:t>
      </w:r>
    </w:p>
    <w:p w:rsidR="00F234AF" w:rsidRDefault="00F234AF" w:rsidP="00930C93">
      <w:pPr>
        <w:jc w:val="both"/>
      </w:pPr>
    </w:p>
    <w:p w:rsidR="00F234AF" w:rsidRDefault="00F234AF" w:rsidP="008D0580">
      <w:pPr>
        <w:spacing w:line="360" w:lineRule="auto"/>
        <w:jc w:val="both"/>
      </w:pPr>
      <w:r>
        <w:tab/>
        <w:t>The Appeals Committee</w:t>
      </w:r>
      <w:r w:rsidR="00926F40">
        <w:t>’s</w:t>
      </w:r>
      <w:r>
        <w:t xml:space="preserve"> determination does not con</w:t>
      </w:r>
      <w:r w:rsidR="00926F40">
        <w:t>tain</w:t>
      </w:r>
      <w:r>
        <w:t xml:space="preserve"> reasons </w:t>
      </w:r>
      <w:r w:rsidR="00926F40">
        <w:t>why</w:t>
      </w:r>
      <w:r>
        <w:t xml:space="preserve"> the penalty of dismissal was substituted with reinstatement and a warning.  It could only have </w:t>
      </w:r>
      <w:r w:rsidR="00926F40">
        <w:t>interfered</w:t>
      </w:r>
      <w:r>
        <w:t xml:space="preserve"> with the tribunal</w:t>
      </w:r>
      <w:r w:rsidR="00926F40">
        <w:t xml:space="preserve"> </w:t>
      </w:r>
      <w:r w:rsidR="00926F40" w:rsidRPr="0040411F">
        <w:rPr>
          <w:i/>
        </w:rPr>
        <w:t>a</w:t>
      </w:r>
      <w:r w:rsidRPr="0040411F">
        <w:rPr>
          <w:i/>
        </w:rPr>
        <w:t xml:space="preserve"> quo’s</w:t>
      </w:r>
      <w:r>
        <w:t xml:space="preserve"> penalty if the latter grossly misdirected itself.  The Appeals Committee</w:t>
      </w:r>
      <w:r w:rsidR="00926F40">
        <w:t xml:space="preserve">’s </w:t>
      </w:r>
      <w:r>
        <w:t xml:space="preserve"> decision doe</w:t>
      </w:r>
      <w:r w:rsidR="00926F40">
        <w:t>s not show the gross misdirection, or any misdirection</w:t>
      </w:r>
      <w:r>
        <w:t xml:space="preserve"> at all</w:t>
      </w:r>
      <w:r w:rsidR="00926F40">
        <w:t>,</w:t>
      </w:r>
      <w:r>
        <w:t xml:space="preserve"> on the part of the Disciplinary Committee, to warrant interference with its decision.</w:t>
      </w:r>
    </w:p>
    <w:p w:rsidR="00F234AF" w:rsidRDefault="00F234AF" w:rsidP="00930C93">
      <w:pPr>
        <w:jc w:val="both"/>
      </w:pPr>
    </w:p>
    <w:p w:rsidR="00F234AF" w:rsidRDefault="00F234AF" w:rsidP="008D0580">
      <w:pPr>
        <w:spacing w:line="360" w:lineRule="auto"/>
        <w:jc w:val="both"/>
      </w:pPr>
      <w:r>
        <w:tab/>
      </w:r>
      <w:r w:rsidR="008A6AD8">
        <w:t xml:space="preserve">In </w:t>
      </w:r>
      <w:r w:rsidR="008A6AD8" w:rsidRPr="00930C93">
        <w:rPr>
          <w:i/>
        </w:rPr>
        <w:t>Mashonaland Turf Club</w:t>
      </w:r>
      <w:r w:rsidR="008A6AD8">
        <w:t xml:space="preserve"> v </w:t>
      </w:r>
      <w:r w:rsidR="008A6AD8" w:rsidRPr="00930C93">
        <w:rPr>
          <w:i/>
        </w:rPr>
        <w:t>George Mutangadura</w:t>
      </w:r>
      <w:r w:rsidR="008A6AD8">
        <w:t xml:space="preserve"> SC-5-12 ZIYAMBI JA stated:</w:t>
      </w:r>
    </w:p>
    <w:p w:rsidR="006F455C" w:rsidRDefault="006F455C" w:rsidP="00930C93">
      <w:pPr>
        <w:jc w:val="both"/>
      </w:pPr>
    </w:p>
    <w:p w:rsidR="006F455C" w:rsidRPr="00930C93" w:rsidRDefault="006F455C" w:rsidP="00930C93">
      <w:pPr>
        <w:spacing w:line="276" w:lineRule="auto"/>
        <w:ind w:left="720"/>
        <w:jc w:val="both"/>
        <w:rPr>
          <w:sz w:val="22"/>
          <w:szCs w:val="22"/>
        </w:rPr>
      </w:pPr>
      <w:r w:rsidRPr="00930C93">
        <w:rPr>
          <w:sz w:val="22"/>
          <w:szCs w:val="22"/>
        </w:rPr>
        <w:t xml:space="preserve">“In the exercise of their powers in terms of Section 12 B of the Labour Act, the Labour Court and arbitrators must be reminded that the section does not confer upon them an </w:t>
      </w:r>
      <w:r w:rsidR="00926F40">
        <w:rPr>
          <w:sz w:val="22"/>
          <w:szCs w:val="22"/>
        </w:rPr>
        <w:t>unbounded</w:t>
      </w:r>
      <w:r w:rsidRPr="00930C93">
        <w:rPr>
          <w:sz w:val="22"/>
          <w:szCs w:val="22"/>
        </w:rPr>
        <w:t xml:space="preserve"> power to </w:t>
      </w:r>
      <w:r w:rsidR="00926F40">
        <w:rPr>
          <w:sz w:val="22"/>
          <w:szCs w:val="22"/>
        </w:rPr>
        <w:t>alter</w:t>
      </w:r>
      <w:r w:rsidRPr="00930C93">
        <w:rPr>
          <w:sz w:val="22"/>
          <w:szCs w:val="22"/>
        </w:rPr>
        <w:t xml:space="preserve"> a penalty of dismissal imposed by an employer just because they disagree with it.  </w:t>
      </w:r>
      <w:r w:rsidR="00926F40">
        <w:rPr>
          <w:sz w:val="22"/>
          <w:szCs w:val="22"/>
        </w:rPr>
        <w:t>In the absence of a misdirection</w:t>
      </w:r>
      <w:r w:rsidRPr="00930C93">
        <w:rPr>
          <w:sz w:val="22"/>
          <w:szCs w:val="22"/>
        </w:rPr>
        <w:t xml:space="preserve"> or unreasonableness on the part of the employer in arriving at the decision to dismiss an employee, an appeal court will generally not interfere with the exercise of the employer’s discretion to dismiss an employee found guilty of a misconduct which goes to the root of the contract of employment</w:t>
      </w:r>
      <w:r w:rsidR="00D73E8A" w:rsidRPr="00930C93">
        <w:rPr>
          <w:sz w:val="22"/>
          <w:szCs w:val="22"/>
        </w:rPr>
        <w:t>.”</w:t>
      </w:r>
    </w:p>
    <w:p w:rsidR="00D73E8A" w:rsidRDefault="00D73E8A" w:rsidP="00930C93">
      <w:pPr>
        <w:jc w:val="both"/>
      </w:pPr>
    </w:p>
    <w:p w:rsidR="00D73E8A" w:rsidRDefault="00D73E8A" w:rsidP="008D0580">
      <w:pPr>
        <w:spacing w:line="360" w:lineRule="auto"/>
        <w:jc w:val="both"/>
      </w:pPr>
      <w:r>
        <w:tab/>
        <w:t xml:space="preserve">In </w:t>
      </w:r>
      <w:r w:rsidRPr="00930C93">
        <w:rPr>
          <w:i/>
        </w:rPr>
        <w:t>casu</w:t>
      </w:r>
      <w:r>
        <w:t xml:space="preserve">, the respondent furthered his </w:t>
      </w:r>
      <w:r w:rsidR="00926F40">
        <w:t xml:space="preserve">interests </w:t>
      </w:r>
      <w:r w:rsidR="0040411F">
        <w:t>at</w:t>
      </w:r>
      <w:r>
        <w:t xml:space="preserve"> the expense of the employer.  He carried out private jobs that were not part of the company’s </w:t>
      </w:r>
      <w:r w:rsidR="0040411F">
        <w:t>assignments to</w:t>
      </w:r>
      <w:r>
        <w:t xml:space="preserve"> him.  The jobs were not recorded in the official register.  To </w:t>
      </w:r>
      <w:r w:rsidR="00926F40">
        <w:t>cover</w:t>
      </w:r>
      <w:r>
        <w:t xml:space="preserve"> his </w:t>
      </w:r>
      <w:r w:rsidR="00926F40">
        <w:t>tracks</w:t>
      </w:r>
      <w:r>
        <w:t xml:space="preserve"> he </w:t>
      </w:r>
      <w:r w:rsidR="00926F40">
        <w:t>deleted</w:t>
      </w:r>
      <w:r>
        <w:t xml:space="preserve"> the jobs from the system, as they were not part of the company’s output.  The dishonesty reflected went to the root of the employment relationship</w:t>
      </w:r>
      <w:r w:rsidR="00926F40">
        <w:t>. T</w:t>
      </w:r>
      <w:r>
        <w:t>he Disciplinary Committee did not misdirect itself when it imposed a pena</w:t>
      </w:r>
      <w:r w:rsidR="00926F40">
        <w:t>lty of dismissal.  It is the NEC</w:t>
      </w:r>
      <w:r>
        <w:t xml:space="preserve"> Appeals Committee which misdirected itself when it interfered with that penalty, without showing why it so interfered.</w:t>
      </w:r>
    </w:p>
    <w:p w:rsidR="00D73E8A" w:rsidRDefault="00D73E8A" w:rsidP="00930C93">
      <w:pPr>
        <w:jc w:val="both"/>
      </w:pPr>
    </w:p>
    <w:p w:rsidR="00D73E8A" w:rsidRDefault="00D73E8A" w:rsidP="008D0580">
      <w:pPr>
        <w:spacing w:line="360" w:lineRule="auto"/>
        <w:jc w:val="both"/>
      </w:pPr>
      <w:r>
        <w:tab/>
        <w:t xml:space="preserve">The appeal must succeed in the </w:t>
      </w:r>
      <w:r w:rsidR="00930C93">
        <w:t>circumstances.  It is accordingly ordered that:</w:t>
      </w:r>
    </w:p>
    <w:p w:rsidR="00930C93" w:rsidRDefault="00930C93" w:rsidP="00930C93">
      <w:pPr>
        <w:jc w:val="both"/>
      </w:pPr>
    </w:p>
    <w:p w:rsidR="00930C93" w:rsidRDefault="00930C93" w:rsidP="00930C93">
      <w:pPr>
        <w:pStyle w:val="ListParagraph"/>
        <w:numPr>
          <w:ilvl w:val="0"/>
          <w:numId w:val="1"/>
        </w:numPr>
        <w:spacing w:line="360" w:lineRule="auto"/>
        <w:jc w:val="both"/>
      </w:pPr>
      <w:r>
        <w:t>The appeal be and is hereby allowed with costs.</w:t>
      </w:r>
    </w:p>
    <w:p w:rsidR="00930C93" w:rsidRDefault="00930C93" w:rsidP="00930C93">
      <w:pPr>
        <w:pStyle w:val="ListParagraph"/>
        <w:numPr>
          <w:ilvl w:val="0"/>
          <w:numId w:val="1"/>
        </w:numPr>
        <w:spacing w:line="360" w:lineRule="auto"/>
        <w:jc w:val="both"/>
      </w:pPr>
      <w:r>
        <w:t>The decision of</w:t>
      </w:r>
      <w:r w:rsidR="00926F40">
        <w:t xml:space="preserve"> the</w:t>
      </w:r>
      <w:r>
        <w:t xml:space="preserve"> National Employment Council Appeals Committee be and is hereby set aside.</w:t>
      </w:r>
    </w:p>
    <w:p w:rsidR="00930C93" w:rsidRDefault="00930C93" w:rsidP="00930C93">
      <w:pPr>
        <w:pStyle w:val="ListParagraph"/>
        <w:numPr>
          <w:ilvl w:val="0"/>
          <w:numId w:val="1"/>
        </w:numPr>
        <w:spacing w:line="360" w:lineRule="auto"/>
        <w:jc w:val="both"/>
      </w:pPr>
      <w:r>
        <w:t>The decision of the respondent’s Disciplinary Committee be and is hereby upheld.</w:t>
      </w:r>
    </w:p>
    <w:p w:rsidR="00930C93" w:rsidRDefault="00930C93" w:rsidP="00930C93">
      <w:pPr>
        <w:spacing w:line="360" w:lineRule="auto"/>
        <w:jc w:val="both"/>
      </w:pPr>
    </w:p>
    <w:p w:rsidR="00930C93" w:rsidRDefault="00930C93" w:rsidP="00930C93">
      <w:pPr>
        <w:spacing w:line="360" w:lineRule="auto"/>
        <w:jc w:val="both"/>
      </w:pPr>
    </w:p>
    <w:p w:rsidR="00930C93" w:rsidRDefault="00930C93" w:rsidP="00930C93">
      <w:pPr>
        <w:spacing w:line="360" w:lineRule="auto"/>
        <w:jc w:val="both"/>
      </w:pPr>
    </w:p>
    <w:p w:rsidR="00930C93" w:rsidRDefault="00930C93" w:rsidP="00930C93">
      <w:pPr>
        <w:spacing w:line="360" w:lineRule="auto"/>
        <w:jc w:val="both"/>
      </w:pPr>
      <w:r w:rsidRPr="00930C93">
        <w:rPr>
          <w:b/>
          <w:i/>
        </w:rPr>
        <w:t>MURINGI KAMDEFWERE</w:t>
      </w:r>
      <w:r>
        <w:t>, Appellant’s legal practitioners</w:t>
      </w:r>
    </w:p>
    <w:p w:rsidR="00930C93" w:rsidRDefault="00930C93" w:rsidP="00930C93">
      <w:pPr>
        <w:spacing w:line="360" w:lineRule="auto"/>
        <w:jc w:val="both"/>
      </w:pPr>
    </w:p>
    <w:p w:rsidR="008A6AD8" w:rsidRDefault="008A6AD8" w:rsidP="008D0580">
      <w:pPr>
        <w:spacing w:line="360" w:lineRule="auto"/>
        <w:jc w:val="both"/>
      </w:pPr>
    </w:p>
    <w:p w:rsidR="008A6AD8" w:rsidRDefault="008A6AD8" w:rsidP="008D0580">
      <w:pPr>
        <w:spacing w:line="360" w:lineRule="auto"/>
        <w:jc w:val="both"/>
      </w:pPr>
    </w:p>
    <w:p w:rsidR="00F234AF" w:rsidRDefault="00F234AF" w:rsidP="008D0580">
      <w:pPr>
        <w:spacing w:line="360" w:lineRule="auto"/>
        <w:jc w:val="both"/>
      </w:pPr>
    </w:p>
    <w:p w:rsidR="00F234AF" w:rsidRDefault="00F234AF" w:rsidP="008D0580">
      <w:pPr>
        <w:spacing w:line="360" w:lineRule="auto"/>
        <w:jc w:val="both"/>
      </w:pPr>
      <w:r>
        <w:tab/>
      </w:r>
    </w:p>
    <w:p w:rsidR="00DC74FC" w:rsidRDefault="00DC74FC" w:rsidP="008D0580">
      <w:pPr>
        <w:spacing w:line="360" w:lineRule="auto"/>
        <w:jc w:val="both"/>
      </w:pPr>
    </w:p>
    <w:p w:rsidR="00DC74FC" w:rsidRDefault="00DC74FC" w:rsidP="008D0580">
      <w:pPr>
        <w:spacing w:line="360" w:lineRule="auto"/>
        <w:jc w:val="both"/>
      </w:pPr>
    </w:p>
    <w:p w:rsidR="00DC74FC" w:rsidRDefault="00DC74FC" w:rsidP="008D0580">
      <w:pPr>
        <w:spacing w:line="360" w:lineRule="auto"/>
        <w:jc w:val="both"/>
      </w:pPr>
    </w:p>
    <w:sectPr w:rsidR="00DC74FC" w:rsidSect="000C1218">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F17" w:rsidRDefault="00630F17" w:rsidP="000C1218">
      <w:r>
        <w:separator/>
      </w:r>
    </w:p>
  </w:endnote>
  <w:endnote w:type="continuationSeparator" w:id="0">
    <w:p w:rsidR="00630F17" w:rsidRDefault="00630F17" w:rsidP="000C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5634"/>
      <w:docPartObj>
        <w:docPartGallery w:val="Page Numbers (Bottom of Page)"/>
        <w:docPartUnique/>
      </w:docPartObj>
    </w:sdtPr>
    <w:sdtEndPr/>
    <w:sdtContent>
      <w:p w:rsidR="00D73E8A" w:rsidRDefault="00630F17">
        <w:pPr>
          <w:pStyle w:val="Footer"/>
          <w:jc w:val="center"/>
        </w:pPr>
        <w:r>
          <w:fldChar w:fldCharType="begin"/>
        </w:r>
        <w:r>
          <w:instrText xml:space="preserve"> PAGE   \* MERGEFORMAT </w:instrText>
        </w:r>
        <w:r>
          <w:fldChar w:fldCharType="separate"/>
        </w:r>
        <w:r w:rsidR="0024710D">
          <w:rPr>
            <w:noProof/>
          </w:rPr>
          <w:t>4</w:t>
        </w:r>
        <w:r>
          <w:rPr>
            <w:noProof/>
          </w:rPr>
          <w:fldChar w:fldCharType="end"/>
        </w:r>
      </w:p>
    </w:sdtContent>
  </w:sdt>
  <w:p w:rsidR="00D73E8A" w:rsidRDefault="00D73E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F17" w:rsidRDefault="00630F17" w:rsidP="000C1218">
      <w:r>
        <w:separator/>
      </w:r>
    </w:p>
  </w:footnote>
  <w:footnote w:type="continuationSeparator" w:id="0">
    <w:p w:rsidR="00630F17" w:rsidRDefault="00630F17" w:rsidP="000C1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E8A" w:rsidRDefault="00D73E8A">
    <w:pPr>
      <w:pStyle w:val="Header"/>
    </w:pPr>
    <w:r>
      <w:tab/>
    </w:r>
    <w:r>
      <w:tab/>
      <w:t>JUDGMENT NO. LC/H/</w:t>
    </w:r>
    <w:r w:rsidR="00F47E83">
      <w:t>782</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6652F"/>
    <w:multiLevelType w:val="hybridMultilevel"/>
    <w:tmpl w:val="FCF87B6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580"/>
    <w:rsid w:val="000C1218"/>
    <w:rsid w:val="000C4A3C"/>
    <w:rsid w:val="000E7B1F"/>
    <w:rsid w:val="0021491A"/>
    <w:rsid w:val="00224387"/>
    <w:rsid w:val="00242769"/>
    <w:rsid w:val="0024710D"/>
    <w:rsid w:val="002B78AD"/>
    <w:rsid w:val="002D1EFF"/>
    <w:rsid w:val="00366437"/>
    <w:rsid w:val="003C4620"/>
    <w:rsid w:val="0040411F"/>
    <w:rsid w:val="004273EF"/>
    <w:rsid w:val="00627714"/>
    <w:rsid w:val="00630F17"/>
    <w:rsid w:val="00677FEF"/>
    <w:rsid w:val="006C0372"/>
    <w:rsid w:val="006F455C"/>
    <w:rsid w:val="006F4720"/>
    <w:rsid w:val="00745E74"/>
    <w:rsid w:val="007A4B1D"/>
    <w:rsid w:val="007F3AC4"/>
    <w:rsid w:val="00836B8C"/>
    <w:rsid w:val="00857343"/>
    <w:rsid w:val="00857932"/>
    <w:rsid w:val="008A6AD8"/>
    <w:rsid w:val="008D0580"/>
    <w:rsid w:val="008D4D8C"/>
    <w:rsid w:val="008E790D"/>
    <w:rsid w:val="008F78FA"/>
    <w:rsid w:val="00916822"/>
    <w:rsid w:val="00926F40"/>
    <w:rsid w:val="00930C93"/>
    <w:rsid w:val="009A44B8"/>
    <w:rsid w:val="009C1AC7"/>
    <w:rsid w:val="00A62717"/>
    <w:rsid w:val="00AA123D"/>
    <w:rsid w:val="00C05236"/>
    <w:rsid w:val="00C768BB"/>
    <w:rsid w:val="00CD40D4"/>
    <w:rsid w:val="00CE27A2"/>
    <w:rsid w:val="00D475D6"/>
    <w:rsid w:val="00D73E8A"/>
    <w:rsid w:val="00DC74FC"/>
    <w:rsid w:val="00DF04CB"/>
    <w:rsid w:val="00F234AF"/>
    <w:rsid w:val="00F47E83"/>
    <w:rsid w:val="00F97E7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58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580"/>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0C1218"/>
    <w:pPr>
      <w:tabs>
        <w:tab w:val="center" w:pos="4513"/>
        <w:tab w:val="right" w:pos="9026"/>
      </w:tabs>
    </w:pPr>
  </w:style>
  <w:style w:type="character" w:customStyle="1" w:styleId="HeaderChar">
    <w:name w:val="Header Char"/>
    <w:basedOn w:val="DefaultParagraphFont"/>
    <w:link w:val="Header"/>
    <w:uiPriority w:val="99"/>
    <w:semiHidden/>
    <w:rsid w:val="000C1218"/>
    <w:rPr>
      <w:rFonts w:ascii="Tahoma" w:eastAsia="Times New Roman" w:hAnsi="Tahoma" w:cs="Times New Roman"/>
      <w:sz w:val="24"/>
      <w:szCs w:val="24"/>
      <w:lang w:val="en-US"/>
    </w:rPr>
  </w:style>
  <w:style w:type="paragraph" w:styleId="Footer">
    <w:name w:val="footer"/>
    <w:basedOn w:val="Normal"/>
    <w:link w:val="FooterChar"/>
    <w:uiPriority w:val="99"/>
    <w:unhideWhenUsed/>
    <w:rsid w:val="000C1218"/>
    <w:pPr>
      <w:tabs>
        <w:tab w:val="center" w:pos="4513"/>
        <w:tab w:val="right" w:pos="9026"/>
      </w:tabs>
    </w:pPr>
  </w:style>
  <w:style w:type="character" w:customStyle="1" w:styleId="FooterChar">
    <w:name w:val="Footer Char"/>
    <w:basedOn w:val="DefaultParagraphFont"/>
    <w:link w:val="Footer"/>
    <w:uiPriority w:val="99"/>
    <w:rsid w:val="000C1218"/>
    <w:rPr>
      <w:rFonts w:ascii="Tahoma" w:eastAsia="Times New Roman" w:hAnsi="Tahoma" w:cs="Times New Roman"/>
      <w:sz w:val="24"/>
      <w:szCs w:val="24"/>
      <w:lang w:val="en-US"/>
    </w:rPr>
  </w:style>
  <w:style w:type="paragraph" w:styleId="ListParagraph">
    <w:name w:val="List Paragraph"/>
    <w:basedOn w:val="Normal"/>
    <w:uiPriority w:val="34"/>
    <w:qFormat/>
    <w:rsid w:val="00930C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580"/>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580"/>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0C1218"/>
    <w:pPr>
      <w:tabs>
        <w:tab w:val="center" w:pos="4513"/>
        <w:tab w:val="right" w:pos="9026"/>
      </w:tabs>
    </w:pPr>
  </w:style>
  <w:style w:type="character" w:customStyle="1" w:styleId="HeaderChar">
    <w:name w:val="Header Char"/>
    <w:basedOn w:val="DefaultParagraphFont"/>
    <w:link w:val="Header"/>
    <w:uiPriority w:val="99"/>
    <w:semiHidden/>
    <w:rsid w:val="000C1218"/>
    <w:rPr>
      <w:rFonts w:ascii="Tahoma" w:eastAsia="Times New Roman" w:hAnsi="Tahoma" w:cs="Times New Roman"/>
      <w:sz w:val="24"/>
      <w:szCs w:val="24"/>
      <w:lang w:val="en-US"/>
    </w:rPr>
  </w:style>
  <w:style w:type="paragraph" w:styleId="Footer">
    <w:name w:val="footer"/>
    <w:basedOn w:val="Normal"/>
    <w:link w:val="FooterChar"/>
    <w:uiPriority w:val="99"/>
    <w:unhideWhenUsed/>
    <w:rsid w:val="000C1218"/>
    <w:pPr>
      <w:tabs>
        <w:tab w:val="center" w:pos="4513"/>
        <w:tab w:val="right" w:pos="9026"/>
      </w:tabs>
    </w:pPr>
  </w:style>
  <w:style w:type="character" w:customStyle="1" w:styleId="FooterChar">
    <w:name w:val="Footer Char"/>
    <w:basedOn w:val="DefaultParagraphFont"/>
    <w:link w:val="Footer"/>
    <w:uiPriority w:val="99"/>
    <w:rsid w:val="000C1218"/>
    <w:rPr>
      <w:rFonts w:ascii="Tahoma" w:eastAsia="Times New Roman" w:hAnsi="Tahoma" w:cs="Times New Roman"/>
      <w:sz w:val="24"/>
      <w:szCs w:val="24"/>
      <w:lang w:val="en-US"/>
    </w:rPr>
  </w:style>
  <w:style w:type="paragraph" w:styleId="ListParagraph">
    <w:name w:val="List Paragraph"/>
    <w:basedOn w:val="Normal"/>
    <w:uiPriority w:val="34"/>
    <w:qFormat/>
    <w:rsid w:val="00930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0B648-AF3E-4336-94B9-540652FA6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2014-11-17T14:33:00Z</cp:lastPrinted>
  <dcterms:created xsi:type="dcterms:W3CDTF">2017-04-06T09:52:00Z</dcterms:created>
  <dcterms:modified xsi:type="dcterms:W3CDTF">2017-04-06T09:52:00Z</dcterms:modified>
</cp:coreProperties>
</file>