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46854" w14:textId="44CF4CC6" w:rsidR="00592993" w:rsidRPr="002B2533" w:rsidRDefault="00BB3B63" w:rsidP="002B2533">
      <w:pPr>
        <w:rPr>
          <w:b/>
        </w:rPr>
      </w:pPr>
      <w:bookmarkStart w:id="0" w:name="_GoBack"/>
      <w:bookmarkEnd w:id="0"/>
      <w:r w:rsidRPr="002B2533">
        <w:rPr>
          <w:b/>
          <w:u w:val="thick"/>
        </w:rPr>
        <w:t>REPORTABLE</w:t>
      </w:r>
      <w:r w:rsidRPr="00BB3B63">
        <w:rPr>
          <w:b/>
        </w:rPr>
        <w:t xml:space="preserve"> (</w:t>
      </w:r>
      <w:r>
        <w:rPr>
          <w:b/>
        </w:rPr>
        <w:t>103</w:t>
      </w:r>
      <w:r w:rsidR="002B2533" w:rsidRPr="002B2533">
        <w:rPr>
          <w:b/>
        </w:rPr>
        <w:t>)</w:t>
      </w:r>
    </w:p>
    <w:p w14:paraId="13232E2B" w14:textId="77777777" w:rsidR="00592993" w:rsidRDefault="00592993" w:rsidP="004110BE">
      <w:pPr>
        <w:spacing w:after="0" w:line="240" w:lineRule="auto"/>
        <w:rPr>
          <w:b/>
        </w:rPr>
      </w:pPr>
    </w:p>
    <w:p w14:paraId="47AEDE52" w14:textId="77777777" w:rsidR="00592993" w:rsidRPr="002B2533" w:rsidRDefault="00702CFF" w:rsidP="002B2533">
      <w:pPr>
        <w:pStyle w:val="ListParagraph"/>
        <w:numPr>
          <w:ilvl w:val="0"/>
          <w:numId w:val="4"/>
        </w:numPr>
        <w:spacing w:after="0" w:line="240" w:lineRule="auto"/>
        <w:jc w:val="center"/>
        <w:rPr>
          <w:b/>
        </w:rPr>
      </w:pPr>
      <w:r>
        <w:rPr>
          <w:b/>
        </w:rPr>
        <w:t xml:space="preserve">    </w:t>
      </w:r>
      <w:r w:rsidR="00592993" w:rsidRPr="00592993">
        <w:rPr>
          <w:b/>
        </w:rPr>
        <w:t xml:space="preserve">GRACE </w:t>
      </w:r>
      <w:r w:rsidR="002B2533">
        <w:rPr>
          <w:b/>
        </w:rPr>
        <w:t xml:space="preserve">    </w:t>
      </w:r>
      <w:r w:rsidR="00592993" w:rsidRPr="00592993">
        <w:rPr>
          <w:b/>
        </w:rPr>
        <w:t xml:space="preserve">LILIAN </w:t>
      </w:r>
      <w:r w:rsidR="002B2533">
        <w:rPr>
          <w:b/>
        </w:rPr>
        <w:t xml:space="preserve">    </w:t>
      </w:r>
      <w:r w:rsidR="00592993" w:rsidRPr="00592993">
        <w:rPr>
          <w:b/>
        </w:rPr>
        <w:t>SIMBANEGAVI</w:t>
      </w:r>
      <w:r w:rsidR="002B2533">
        <w:rPr>
          <w:b/>
        </w:rPr>
        <w:t xml:space="preserve">     (2)     </w:t>
      </w:r>
      <w:r w:rsidR="00592993" w:rsidRPr="002B2533">
        <w:rPr>
          <w:b/>
        </w:rPr>
        <w:t xml:space="preserve">ANNA </w:t>
      </w:r>
      <w:r w:rsidR="002B2533">
        <w:rPr>
          <w:b/>
        </w:rPr>
        <w:t xml:space="preserve">    </w:t>
      </w:r>
      <w:r w:rsidR="00592993" w:rsidRPr="002B2533">
        <w:rPr>
          <w:b/>
        </w:rPr>
        <w:t>MUCHENJE</w:t>
      </w:r>
    </w:p>
    <w:p w14:paraId="1A93BA32" w14:textId="77777777" w:rsidR="00592993" w:rsidRDefault="00592993" w:rsidP="002B2533">
      <w:pPr>
        <w:spacing w:after="0" w:line="240" w:lineRule="auto"/>
        <w:jc w:val="center"/>
        <w:rPr>
          <w:b/>
        </w:rPr>
      </w:pPr>
      <w:proofErr w:type="gramStart"/>
      <w:r>
        <w:rPr>
          <w:b/>
        </w:rPr>
        <w:t>v</w:t>
      </w:r>
      <w:proofErr w:type="gramEnd"/>
    </w:p>
    <w:p w14:paraId="305AD1CD" w14:textId="77777777" w:rsidR="00592993" w:rsidRPr="002B2533" w:rsidRDefault="00796A53" w:rsidP="002B2533">
      <w:pPr>
        <w:pStyle w:val="ListParagraph"/>
        <w:numPr>
          <w:ilvl w:val="0"/>
          <w:numId w:val="5"/>
        </w:numPr>
        <w:spacing w:after="0" w:line="240" w:lineRule="auto"/>
        <w:jc w:val="center"/>
        <w:rPr>
          <w:b/>
        </w:rPr>
      </w:pPr>
      <w:r>
        <w:rPr>
          <w:b/>
        </w:rPr>
        <w:t xml:space="preserve">    </w:t>
      </w:r>
      <w:r w:rsidR="002B2533">
        <w:rPr>
          <w:b/>
        </w:rPr>
        <w:t xml:space="preserve">MICHAEL     T.     </w:t>
      </w:r>
      <w:r>
        <w:rPr>
          <w:b/>
        </w:rPr>
        <w:t xml:space="preserve">JUMO    </w:t>
      </w:r>
      <w:r w:rsidR="00592993" w:rsidRPr="00592993">
        <w:rPr>
          <w:b/>
        </w:rPr>
        <w:t>(</w:t>
      </w:r>
      <w:r w:rsidR="00592993" w:rsidRPr="002B2533">
        <w:t xml:space="preserve">In his capacity as the executor of the estate of the late Godfrey </w:t>
      </w:r>
      <w:proofErr w:type="spellStart"/>
      <w:r w:rsidR="00592993" w:rsidRPr="002B2533">
        <w:t>Gundani</w:t>
      </w:r>
      <w:proofErr w:type="spellEnd"/>
      <w:r w:rsidR="00592993" w:rsidRPr="002B2533">
        <w:t xml:space="preserve"> DR MS181/22</w:t>
      </w:r>
      <w:r w:rsidR="00592993" w:rsidRPr="00592993">
        <w:rPr>
          <w:b/>
        </w:rPr>
        <w:t>)</w:t>
      </w:r>
      <w:r w:rsidR="002B2533">
        <w:rPr>
          <w:b/>
        </w:rPr>
        <w:t xml:space="preserve">     (2)     </w:t>
      </w:r>
      <w:r w:rsidR="00592993" w:rsidRPr="002B2533">
        <w:rPr>
          <w:b/>
        </w:rPr>
        <w:t xml:space="preserve">MASTER </w:t>
      </w:r>
      <w:r w:rsidR="00AA1EDB">
        <w:rPr>
          <w:b/>
        </w:rPr>
        <w:t xml:space="preserve">    </w:t>
      </w:r>
      <w:r w:rsidR="00592993" w:rsidRPr="002B2533">
        <w:rPr>
          <w:b/>
        </w:rPr>
        <w:t xml:space="preserve">OF </w:t>
      </w:r>
      <w:r w:rsidR="00AA1EDB">
        <w:rPr>
          <w:b/>
        </w:rPr>
        <w:t xml:space="preserve">    </w:t>
      </w:r>
      <w:r w:rsidR="00592993" w:rsidRPr="002B2533">
        <w:rPr>
          <w:b/>
        </w:rPr>
        <w:t xml:space="preserve">THE </w:t>
      </w:r>
      <w:r w:rsidR="00AA1EDB">
        <w:rPr>
          <w:b/>
        </w:rPr>
        <w:t xml:space="preserve">    </w:t>
      </w:r>
      <w:r w:rsidR="00592993" w:rsidRPr="002B2533">
        <w:rPr>
          <w:b/>
        </w:rPr>
        <w:t xml:space="preserve">HIGH </w:t>
      </w:r>
      <w:r w:rsidR="00AA1EDB">
        <w:rPr>
          <w:b/>
        </w:rPr>
        <w:t xml:space="preserve">    </w:t>
      </w:r>
      <w:r w:rsidR="00592993" w:rsidRPr="002B2533">
        <w:rPr>
          <w:b/>
        </w:rPr>
        <w:t>COURT</w:t>
      </w:r>
    </w:p>
    <w:p w14:paraId="272F83CF" w14:textId="77777777" w:rsidR="00592993" w:rsidRDefault="00592993" w:rsidP="00592993">
      <w:pPr>
        <w:pStyle w:val="ListParagraph"/>
        <w:ind w:left="345" w:firstLine="0"/>
        <w:rPr>
          <w:b/>
        </w:rPr>
      </w:pPr>
    </w:p>
    <w:p w14:paraId="64E069F9" w14:textId="77777777" w:rsidR="00592993" w:rsidRDefault="00592993" w:rsidP="00592993">
      <w:pPr>
        <w:pStyle w:val="ListParagraph"/>
        <w:ind w:left="345" w:firstLine="0"/>
        <w:rPr>
          <w:b/>
        </w:rPr>
      </w:pPr>
    </w:p>
    <w:p w14:paraId="104E6421" w14:textId="77777777" w:rsidR="00592993" w:rsidRDefault="00592993" w:rsidP="002B2533">
      <w:pPr>
        <w:pStyle w:val="ListParagraph"/>
        <w:spacing w:after="0" w:line="240" w:lineRule="auto"/>
        <w:ind w:left="0" w:firstLine="0"/>
        <w:rPr>
          <w:b/>
        </w:rPr>
      </w:pPr>
      <w:r>
        <w:rPr>
          <w:b/>
        </w:rPr>
        <w:t>SUPREME COURT OF ZIMBABWE</w:t>
      </w:r>
    </w:p>
    <w:p w14:paraId="2A640455" w14:textId="77777777" w:rsidR="00592993" w:rsidRDefault="002B2533" w:rsidP="002B2533">
      <w:pPr>
        <w:pStyle w:val="ListParagraph"/>
        <w:spacing w:after="0" w:line="240" w:lineRule="auto"/>
        <w:ind w:left="345" w:hanging="345"/>
        <w:rPr>
          <w:b/>
        </w:rPr>
      </w:pPr>
      <w:r>
        <w:rPr>
          <w:b/>
        </w:rPr>
        <w:t>MAVANGIRA JA, CHIWESHE JA &amp;</w:t>
      </w:r>
      <w:r w:rsidR="004A49A2">
        <w:rPr>
          <w:b/>
        </w:rPr>
        <w:t xml:space="preserve"> </w:t>
      </w:r>
      <w:r>
        <w:rPr>
          <w:b/>
        </w:rPr>
        <w:t>MUSAKWA JA</w:t>
      </w:r>
    </w:p>
    <w:p w14:paraId="5A06E926" w14:textId="7D38D3EE" w:rsidR="002B2533" w:rsidRDefault="002B2533" w:rsidP="002B2533">
      <w:pPr>
        <w:spacing w:line="240" w:lineRule="auto"/>
        <w:rPr>
          <w:b/>
        </w:rPr>
      </w:pPr>
      <w:r w:rsidRPr="002B2533">
        <w:rPr>
          <w:b/>
        </w:rPr>
        <w:t>HARARE</w:t>
      </w:r>
      <w:r w:rsidR="00796A53">
        <w:rPr>
          <w:b/>
        </w:rPr>
        <w:t>:</w:t>
      </w:r>
      <w:r w:rsidRPr="002B2533">
        <w:rPr>
          <w:b/>
        </w:rPr>
        <w:t xml:space="preserve"> 29 SEPTEMBER 2025</w:t>
      </w:r>
      <w:r>
        <w:rPr>
          <w:b/>
        </w:rPr>
        <w:t xml:space="preserve"> &amp;</w:t>
      </w:r>
      <w:r w:rsidR="00210023">
        <w:rPr>
          <w:b/>
        </w:rPr>
        <w:t xml:space="preserve"> 6</w:t>
      </w:r>
      <w:r>
        <w:rPr>
          <w:b/>
        </w:rPr>
        <w:t xml:space="preserve"> </w:t>
      </w:r>
      <w:r w:rsidR="00210023">
        <w:rPr>
          <w:b/>
        </w:rPr>
        <w:t>N</w:t>
      </w:r>
      <w:r>
        <w:rPr>
          <w:b/>
        </w:rPr>
        <w:t>O</w:t>
      </w:r>
      <w:r w:rsidR="00210023">
        <w:rPr>
          <w:b/>
        </w:rPr>
        <w:t>VEM</w:t>
      </w:r>
      <w:r>
        <w:rPr>
          <w:b/>
        </w:rPr>
        <w:t xml:space="preserve">BER 2025 </w:t>
      </w:r>
    </w:p>
    <w:p w14:paraId="562B4074" w14:textId="77777777" w:rsidR="002B2533" w:rsidRDefault="00592993" w:rsidP="002B2533">
      <w:pPr>
        <w:spacing w:after="0" w:line="240" w:lineRule="auto"/>
        <w:rPr>
          <w:i/>
        </w:rPr>
      </w:pPr>
      <w:r>
        <w:rPr>
          <w:i/>
        </w:rPr>
        <w:t xml:space="preserve"> </w:t>
      </w:r>
    </w:p>
    <w:p w14:paraId="54548053" w14:textId="1DF0E2AF" w:rsidR="00592993" w:rsidRDefault="00DE5CDA" w:rsidP="004A49A2">
      <w:pPr>
        <w:spacing w:after="0" w:line="480" w:lineRule="auto"/>
        <w:rPr>
          <w:i/>
        </w:rPr>
      </w:pPr>
      <w:r>
        <w:rPr>
          <w:i/>
        </w:rPr>
        <w:t xml:space="preserve">M. </w:t>
      </w:r>
      <w:proofErr w:type="spellStart"/>
      <w:r w:rsidR="00592993">
        <w:rPr>
          <w:i/>
        </w:rPr>
        <w:t>Mavhiringidze</w:t>
      </w:r>
      <w:proofErr w:type="spellEnd"/>
      <w:r w:rsidR="00592993">
        <w:rPr>
          <w:i/>
        </w:rPr>
        <w:t>,</w:t>
      </w:r>
      <w:r w:rsidR="00592993" w:rsidRPr="00592993">
        <w:t xml:space="preserve"> for the appellants</w:t>
      </w:r>
    </w:p>
    <w:p w14:paraId="4EEB319B" w14:textId="428CB8CA" w:rsidR="006556B8" w:rsidRPr="00592993" w:rsidRDefault="00592993" w:rsidP="00C2057C">
      <w:pPr>
        <w:spacing w:after="0" w:line="480" w:lineRule="auto"/>
      </w:pPr>
      <w:r w:rsidRPr="002B2533">
        <w:rPr>
          <w:i/>
        </w:rPr>
        <w:t xml:space="preserve">G. </w:t>
      </w:r>
      <w:proofErr w:type="spellStart"/>
      <w:r w:rsidRPr="002B2533">
        <w:rPr>
          <w:i/>
        </w:rPr>
        <w:t>Madzoka</w:t>
      </w:r>
      <w:proofErr w:type="spellEnd"/>
      <w:r>
        <w:t>, for the first respondent</w:t>
      </w:r>
    </w:p>
    <w:p w14:paraId="2FDAEB44" w14:textId="77777777" w:rsidR="002B2533" w:rsidRDefault="00592993" w:rsidP="00796A53">
      <w:pPr>
        <w:spacing w:after="0" w:line="240" w:lineRule="auto"/>
      </w:pPr>
      <w:r>
        <w:tab/>
      </w:r>
      <w:r w:rsidR="002B2533">
        <w:tab/>
      </w:r>
    </w:p>
    <w:p w14:paraId="7C804F04" w14:textId="77777777" w:rsidR="00592993" w:rsidRDefault="00592993" w:rsidP="00796A53">
      <w:pPr>
        <w:spacing w:after="0"/>
        <w:rPr>
          <w:b/>
        </w:rPr>
      </w:pPr>
      <w:r>
        <w:rPr>
          <w:b/>
        </w:rPr>
        <w:t>MAVANGIRA JA</w:t>
      </w:r>
      <w:r w:rsidR="00EB7C7A">
        <w:rPr>
          <w:b/>
        </w:rPr>
        <w:t>:</w:t>
      </w:r>
    </w:p>
    <w:p w14:paraId="616438F3" w14:textId="04989EE2" w:rsidR="00EB7C7A" w:rsidRDefault="00796A53" w:rsidP="00796A53">
      <w:pPr>
        <w:tabs>
          <w:tab w:val="left" w:pos="709"/>
        </w:tabs>
        <w:spacing w:line="480" w:lineRule="auto"/>
        <w:ind w:left="426" w:hanging="441"/>
      </w:pPr>
      <w:r>
        <w:t xml:space="preserve">[1]   </w:t>
      </w:r>
      <w:r w:rsidR="00EB7C7A">
        <w:t xml:space="preserve">This is an appeal against the whole judgment of the High Court (the court </w:t>
      </w:r>
      <w:r w:rsidR="00EB7C7A" w:rsidRPr="00796A53">
        <w:rPr>
          <w:i/>
        </w:rPr>
        <w:t>a quo</w:t>
      </w:r>
      <w:r w:rsidR="00EB7C7A">
        <w:t>) dismissing the</w:t>
      </w:r>
      <w:r w:rsidR="00210023">
        <w:t xml:space="preserve"> appellants’</w:t>
      </w:r>
      <w:r w:rsidR="00EB7C7A">
        <w:t xml:space="preserve"> claim for an order declaring the </w:t>
      </w:r>
      <w:r w:rsidR="00DE5CDA">
        <w:t>W</w:t>
      </w:r>
      <w:r w:rsidR="00EB7C7A">
        <w:t xml:space="preserve">ill of the late Godfrey </w:t>
      </w:r>
      <w:proofErr w:type="spellStart"/>
      <w:r w:rsidR="00EB7C7A">
        <w:t>Gundani</w:t>
      </w:r>
      <w:proofErr w:type="spellEnd"/>
      <w:r w:rsidR="00514ED8">
        <w:t xml:space="preserve"> </w:t>
      </w:r>
      <w:r w:rsidR="00C2057C">
        <w:t xml:space="preserve">                          </w:t>
      </w:r>
      <w:r w:rsidR="00514ED8">
        <w:t>(the deceased)</w:t>
      </w:r>
      <w:r w:rsidR="00EB7C7A">
        <w:t xml:space="preserve"> null and void on the basis that it contravene</w:t>
      </w:r>
      <w:r w:rsidR="00DE5CDA">
        <w:t>s</w:t>
      </w:r>
      <w:r w:rsidR="00EB7C7A">
        <w:t xml:space="preserve"> the law,</w:t>
      </w:r>
      <w:r w:rsidR="00DE5CDA">
        <w:t xml:space="preserve"> infringes</w:t>
      </w:r>
      <w:r w:rsidR="00EB7C7A">
        <w:t xml:space="preserve"> their respective property rights and</w:t>
      </w:r>
      <w:r w:rsidR="00DE5CDA">
        <w:t xml:space="preserve"> is </w:t>
      </w:r>
      <w:r w:rsidR="00EB7C7A">
        <w:t>contrary to public policy.</w:t>
      </w:r>
    </w:p>
    <w:p w14:paraId="5CE99CB7" w14:textId="77777777" w:rsidR="001B38E4" w:rsidRDefault="00924571" w:rsidP="00924571">
      <w:pPr>
        <w:tabs>
          <w:tab w:val="left" w:pos="426"/>
        </w:tabs>
        <w:spacing w:line="480" w:lineRule="auto"/>
        <w:ind w:left="426" w:hanging="441"/>
      </w:pPr>
      <w:r>
        <w:t xml:space="preserve">[2]   </w:t>
      </w:r>
      <w:r w:rsidR="00F7483E">
        <w:t>At the centre of the controversy are two women</w:t>
      </w:r>
      <w:r w:rsidR="00EB7C7A">
        <w:t>, the two appellants,</w:t>
      </w:r>
      <w:r w:rsidR="00F7483E">
        <w:t xml:space="preserve"> who both lay claim to recognition and protection under the law as surviving spouses.</w:t>
      </w:r>
    </w:p>
    <w:p w14:paraId="092DFB8A" w14:textId="4DDDE676" w:rsidR="00F7483E" w:rsidRDefault="00924571" w:rsidP="00C2057C">
      <w:pPr>
        <w:tabs>
          <w:tab w:val="left" w:pos="426"/>
        </w:tabs>
        <w:spacing w:line="480" w:lineRule="auto"/>
        <w:ind w:left="426" w:hanging="441"/>
      </w:pPr>
      <w:r>
        <w:t>[3]  The</w:t>
      </w:r>
      <w:r w:rsidR="001B38E4">
        <w:t xml:space="preserve"> first appellant </w:t>
      </w:r>
      <w:r w:rsidR="00612EBB">
        <w:t xml:space="preserve">was the deceased’s first wife.  </w:t>
      </w:r>
      <w:r w:rsidR="001B38E4">
        <w:t xml:space="preserve">They got </w:t>
      </w:r>
      <w:r w:rsidR="00F7483E">
        <w:t>married customarily in 1993</w:t>
      </w:r>
      <w:r w:rsidR="001B38E4">
        <w:t>.</w:t>
      </w:r>
      <w:r w:rsidR="00F7483E">
        <w:t xml:space="preserve"> </w:t>
      </w:r>
      <w:r>
        <w:t xml:space="preserve"> </w:t>
      </w:r>
      <w:r w:rsidR="002A0F1F">
        <w:t>I</w:t>
      </w:r>
      <w:r w:rsidR="00F7483E">
        <w:t>n 2009 the union was solemnised under the Marriages Act [</w:t>
      </w:r>
      <w:r w:rsidR="00F7483E" w:rsidRPr="00924571">
        <w:rPr>
          <w:i/>
        </w:rPr>
        <w:t>Chapter 5:11</w:t>
      </w:r>
      <w:r w:rsidR="00F7483E">
        <w:t xml:space="preserve">]. </w:t>
      </w:r>
      <w:r w:rsidR="00612EBB">
        <w:t xml:space="preserve"> </w:t>
      </w:r>
      <w:r w:rsidR="00F7483E">
        <w:t>During the course of this marriage, the couple acquired an immovable property at No. 7 Ll</w:t>
      </w:r>
      <w:r w:rsidR="002A0F1F">
        <w:t xml:space="preserve">ewellyn Road, </w:t>
      </w:r>
      <w:proofErr w:type="spellStart"/>
      <w:r w:rsidR="002A0F1F">
        <w:t>Lundi</w:t>
      </w:r>
      <w:proofErr w:type="spellEnd"/>
      <w:r w:rsidR="002A0F1F">
        <w:t xml:space="preserve"> Park, Gweru</w:t>
      </w:r>
      <w:r w:rsidR="00BD464A">
        <w:t xml:space="preserve"> (the </w:t>
      </w:r>
      <w:proofErr w:type="spellStart"/>
      <w:r w:rsidR="00BD464A">
        <w:t>Lundi</w:t>
      </w:r>
      <w:proofErr w:type="spellEnd"/>
      <w:r w:rsidR="00BD464A">
        <w:t xml:space="preserve"> Park property)</w:t>
      </w:r>
      <w:r w:rsidR="002A0F1F">
        <w:t xml:space="preserve">. </w:t>
      </w:r>
      <w:r>
        <w:t xml:space="preserve"> </w:t>
      </w:r>
      <w:r w:rsidR="002A0F1F">
        <w:t>The property was</w:t>
      </w:r>
      <w:r w:rsidR="00F7483E">
        <w:t xml:space="preserve"> registered solely in the deceased’s name</w:t>
      </w:r>
      <w:r w:rsidR="002A0F1F">
        <w:t>.</w:t>
      </w:r>
      <w:r w:rsidR="00612EBB">
        <w:t xml:space="preserve">  </w:t>
      </w:r>
      <w:r w:rsidR="002A0F1F">
        <w:t xml:space="preserve">The first </w:t>
      </w:r>
      <w:r w:rsidR="00A63655">
        <w:t>appella</w:t>
      </w:r>
      <w:r w:rsidR="002A0F1F">
        <w:t>nt</w:t>
      </w:r>
      <w:r w:rsidR="00A63655">
        <w:t xml:space="preserve"> claimed to</w:t>
      </w:r>
      <w:r w:rsidR="002A0F1F">
        <w:t xml:space="preserve"> </w:t>
      </w:r>
      <w:r w:rsidR="00F7483E">
        <w:t>have</w:t>
      </w:r>
      <w:r w:rsidR="00A63655">
        <w:t xml:space="preserve"> contributed directly and indirectly to the acquisition of the said immovable property</w:t>
      </w:r>
      <w:r w:rsidR="00F7483E">
        <w:t xml:space="preserve">. </w:t>
      </w:r>
      <w:r>
        <w:t xml:space="preserve"> </w:t>
      </w:r>
      <w:r w:rsidR="00F7483E">
        <w:t xml:space="preserve">She considers it </w:t>
      </w:r>
      <w:r w:rsidR="00A63655">
        <w:t xml:space="preserve">as </w:t>
      </w:r>
      <w:r w:rsidR="00F7483E">
        <w:t xml:space="preserve">their </w:t>
      </w:r>
      <w:r w:rsidR="00F7483E">
        <w:lastRenderedPageBreak/>
        <w:t>matrimonial home, al</w:t>
      </w:r>
      <w:r w:rsidR="00DE5CDA">
        <w:t>though</w:t>
      </w:r>
      <w:r w:rsidR="00F7483E">
        <w:t xml:space="preserve"> by the time of the deceased’s death, she had relocated to the United Kingdom. </w:t>
      </w:r>
    </w:p>
    <w:p w14:paraId="4417958E" w14:textId="54DF0D30" w:rsidR="00F7483E" w:rsidRDefault="00924571" w:rsidP="00924571">
      <w:pPr>
        <w:spacing w:line="480" w:lineRule="auto"/>
        <w:ind w:left="426" w:hanging="441"/>
      </w:pPr>
      <w:r>
        <w:t xml:space="preserve">[4]  </w:t>
      </w:r>
      <w:r w:rsidR="00F7483E">
        <w:t>In 2012, notwi</w:t>
      </w:r>
      <w:r w:rsidR="00BD464A">
        <w:t xml:space="preserve">thstanding the subsistence of </w:t>
      </w:r>
      <w:r w:rsidR="00F7483E">
        <w:t>his civil marriage</w:t>
      </w:r>
      <w:r w:rsidR="00BD464A">
        <w:t xml:space="preserve"> to the first appellant</w:t>
      </w:r>
      <w:r w:rsidR="00F7483E">
        <w:t>, the deceased entered into a customary marriage with the se</w:t>
      </w:r>
      <w:r w:rsidR="00612EBB">
        <w:t xml:space="preserve">cond appellant.  </w:t>
      </w:r>
      <w:r w:rsidR="00F7483E">
        <w:t xml:space="preserve">Together they purchased and registered in both their names </w:t>
      </w:r>
      <w:r w:rsidR="00BD464A">
        <w:t>the immovable</w:t>
      </w:r>
      <w:r w:rsidR="00F7483E">
        <w:t xml:space="preserve"> property, Stand 201 Tynwald 15 of Lot 13A Tynwald, Harare, commonly known as 17 </w:t>
      </w:r>
      <w:proofErr w:type="spellStart"/>
      <w:r w:rsidR="00F7483E">
        <w:t>Danum</w:t>
      </w:r>
      <w:proofErr w:type="spellEnd"/>
      <w:r w:rsidR="00F7483E">
        <w:t xml:space="preserve"> Road, Ashdown Park</w:t>
      </w:r>
      <w:r w:rsidR="00BD464A">
        <w:t xml:space="preserve"> (the Ashdown Park property)</w:t>
      </w:r>
      <w:r w:rsidR="00F7483E">
        <w:t xml:space="preserve">. </w:t>
      </w:r>
      <w:r w:rsidR="00B33627">
        <w:t xml:space="preserve"> </w:t>
      </w:r>
      <w:r w:rsidR="00BD464A">
        <w:t xml:space="preserve">The second appellant is </w:t>
      </w:r>
      <w:r w:rsidR="00F7483E">
        <w:t>therefore</w:t>
      </w:r>
      <w:r w:rsidR="00BD464A">
        <w:t xml:space="preserve"> a registered </w:t>
      </w:r>
      <w:r w:rsidR="00F7483E">
        <w:t xml:space="preserve">co-owner </w:t>
      </w:r>
      <w:r w:rsidR="00BD464A">
        <w:t xml:space="preserve">of </w:t>
      </w:r>
      <w:r w:rsidR="001674C9">
        <w:t xml:space="preserve">an undivided half share </w:t>
      </w:r>
      <w:r w:rsidR="00F7483E">
        <w:t xml:space="preserve">in this property. </w:t>
      </w:r>
    </w:p>
    <w:p w14:paraId="57D139CF" w14:textId="71DD79DF" w:rsidR="00D129A3" w:rsidRDefault="00BB3B63" w:rsidP="00924571">
      <w:pPr>
        <w:spacing w:line="480" w:lineRule="auto"/>
        <w:ind w:left="426" w:hanging="441"/>
      </w:pPr>
      <w:r>
        <w:t xml:space="preserve">[5]  </w:t>
      </w:r>
      <w:r w:rsidR="00F7483E">
        <w:t>On 30 August 2017, the deceased execut</w:t>
      </w:r>
      <w:r w:rsidR="00F0063A">
        <w:t xml:space="preserve">ed his Last Will and Testament.  </w:t>
      </w:r>
      <w:r w:rsidR="00F7483E">
        <w:t xml:space="preserve">The contents of this </w:t>
      </w:r>
      <w:r w:rsidR="00F0063A">
        <w:t>W</w:t>
      </w:r>
      <w:r w:rsidR="00F7483E">
        <w:t>ill became the so</w:t>
      </w:r>
      <w:r w:rsidR="00F0063A">
        <w:t xml:space="preserve">urce of the present litigation.  </w:t>
      </w:r>
      <w:r w:rsidR="00F7483E">
        <w:t xml:space="preserve">In it, the deceased bequeathed the </w:t>
      </w:r>
      <w:proofErr w:type="spellStart"/>
      <w:r w:rsidR="00C809A2">
        <w:t>Lundi</w:t>
      </w:r>
      <w:proofErr w:type="spellEnd"/>
      <w:r w:rsidR="00C809A2">
        <w:t xml:space="preserve"> Park property</w:t>
      </w:r>
      <w:r w:rsidR="00F7483E">
        <w:t xml:space="preserve"> </w:t>
      </w:r>
      <w:r w:rsidR="00C809A2">
        <w:t xml:space="preserve">to </w:t>
      </w:r>
      <w:r w:rsidR="00F7483E">
        <w:t xml:space="preserve">his “wife”, Lorraine </w:t>
      </w:r>
      <w:proofErr w:type="spellStart"/>
      <w:r w:rsidR="00F7483E">
        <w:t>Ncube</w:t>
      </w:r>
      <w:proofErr w:type="spellEnd"/>
      <w:r w:rsidR="00F7483E">
        <w:t xml:space="preserve">, expressly excluding Grace. </w:t>
      </w:r>
      <w:r w:rsidR="00924571">
        <w:t xml:space="preserve"> </w:t>
      </w:r>
      <w:r w:rsidR="00F7483E">
        <w:t>He also bequeathed the Ashdown Park property to his son and nephews,</w:t>
      </w:r>
      <w:r w:rsidR="00C809A2">
        <w:t xml:space="preserve"> and purported</w:t>
      </w:r>
      <w:r w:rsidR="00F7483E">
        <w:t xml:space="preserve"> to pass on the entirety of the property without recognising </w:t>
      </w:r>
      <w:r w:rsidR="00C809A2">
        <w:t xml:space="preserve">the second </w:t>
      </w:r>
      <w:r w:rsidR="00DE5CDA">
        <w:t>appellant’s</w:t>
      </w:r>
      <w:r w:rsidR="00F7483E">
        <w:t xml:space="preserve"> half-share</w:t>
      </w:r>
      <w:r w:rsidR="00C809A2">
        <w:t xml:space="preserve"> in it</w:t>
      </w:r>
      <w:r w:rsidR="00F7483E">
        <w:t>.</w:t>
      </w:r>
    </w:p>
    <w:p w14:paraId="10A39025" w14:textId="1B03F3E7" w:rsidR="00F7483E" w:rsidRDefault="00924571" w:rsidP="00924571">
      <w:pPr>
        <w:spacing w:line="480" w:lineRule="auto"/>
        <w:ind w:left="426" w:hanging="441"/>
      </w:pPr>
      <w:r>
        <w:t xml:space="preserve">[6]  </w:t>
      </w:r>
      <w:r w:rsidR="00F7483E">
        <w:t xml:space="preserve">The </w:t>
      </w:r>
      <w:r w:rsidR="00F0063A">
        <w:t>W</w:t>
      </w:r>
      <w:r w:rsidR="00F7483E">
        <w:t>ill was lodged with the Master of the High Court</w:t>
      </w:r>
      <w:r w:rsidR="00D129A3">
        <w:t xml:space="preserve"> (the second respondent)</w:t>
      </w:r>
      <w:r w:rsidR="00F7483E">
        <w:t>, who accepted it for</w:t>
      </w:r>
      <w:r w:rsidR="00D129A3">
        <w:t xml:space="preserve"> purposes of the</w:t>
      </w:r>
      <w:r w:rsidR="00F7483E">
        <w:t xml:space="preserve"> administration</w:t>
      </w:r>
      <w:r w:rsidR="00D129A3">
        <w:t xml:space="preserve"> of the deceased’s estate</w:t>
      </w:r>
      <w:r w:rsidR="00F7483E">
        <w:t xml:space="preserve"> and </w:t>
      </w:r>
      <w:r w:rsidR="00705BBA">
        <w:t>issu</w:t>
      </w:r>
      <w:r w:rsidR="00F7483E">
        <w:t>ed</w:t>
      </w:r>
      <w:r w:rsidR="00F0063A">
        <w:t xml:space="preserve"> Letters of A</w:t>
      </w:r>
      <w:r w:rsidR="00705BBA">
        <w:t>dministration to</w:t>
      </w:r>
      <w:r w:rsidR="00F7483E">
        <w:t xml:space="preserve"> Michael </w:t>
      </w:r>
      <w:proofErr w:type="spellStart"/>
      <w:r w:rsidR="00F7483E">
        <w:t>Toindepi</w:t>
      </w:r>
      <w:proofErr w:type="spellEnd"/>
      <w:r w:rsidR="00F7483E">
        <w:t xml:space="preserve"> </w:t>
      </w:r>
      <w:proofErr w:type="spellStart"/>
      <w:r w:rsidR="00F7483E">
        <w:t>Jumo</w:t>
      </w:r>
      <w:proofErr w:type="spellEnd"/>
      <w:r w:rsidR="00D129A3">
        <w:t xml:space="preserve"> (the first respondent)</w:t>
      </w:r>
      <w:r w:rsidR="00F7483E">
        <w:t xml:space="preserve"> as </w:t>
      </w:r>
      <w:r w:rsidR="00705BBA">
        <w:t>the testamentary executor.</w:t>
      </w:r>
      <w:r w:rsidR="00F0063A">
        <w:t xml:space="preserve">  </w:t>
      </w:r>
      <w:r w:rsidR="00D129A3">
        <w:t>A</w:t>
      </w:r>
      <w:r w:rsidR="00F7483E">
        <w:t>ggrieved</w:t>
      </w:r>
      <w:r w:rsidR="00D129A3">
        <w:t xml:space="preserve"> by the contents of the </w:t>
      </w:r>
      <w:r w:rsidR="00F0063A">
        <w:t>W</w:t>
      </w:r>
      <w:r w:rsidR="00D129A3">
        <w:t>ill</w:t>
      </w:r>
      <w:r w:rsidR="00F7483E">
        <w:t xml:space="preserve">, </w:t>
      </w:r>
      <w:r w:rsidR="00D129A3">
        <w:t xml:space="preserve">the two </w:t>
      </w:r>
      <w:r>
        <w:t>appellants</w:t>
      </w:r>
      <w:r w:rsidR="00D129A3">
        <w:t xml:space="preserve"> </w:t>
      </w:r>
      <w:r w:rsidR="00F7483E">
        <w:t>filed summons in the High Court at Harare under case number HCH 6118/23 on 11 September 2023</w:t>
      </w:r>
      <w:r w:rsidR="00D129A3">
        <w:t>.</w:t>
      </w:r>
      <w:r w:rsidR="00F7483E">
        <w:t xml:space="preserve"> </w:t>
      </w:r>
      <w:r>
        <w:t xml:space="preserve"> </w:t>
      </w:r>
      <w:r w:rsidR="00F7483E">
        <w:t>The</w:t>
      </w:r>
      <w:r w:rsidR="00D129A3">
        <w:t xml:space="preserve">y </w:t>
      </w:r>
      <w:r w:rsidR="00424E85">
        <w:t>prayed for:</w:t>
      </w:r>
      <w:r w:rsidR="00F7483E">
        <w:t xml:space="preserve"> </w:t>
      </w:r>
      <w:r w:rsidR="00424E85">
        <w:t>“(a) An order</w:t>
      </w:r>
      <w:r w:rsidR="00F7483E">
        <w:t xml:space="preserve"> declarin</w:t>
      </w:r>
      <w:r w:rsidR="00424E85">
        <w:t>g</w:t>
      </w:r>
      <w:r w:rsidR="00F7483E">
        <w:t xml:space="preserve"> the</w:t>
      </w:r>
      <w:r w:rsidR="00D129A3">
        <w:t xml:space="preserve"> </w:t>
      </w:r>
      <w:r w:rsidR="00424E85">
        <w:t xml:space="preserve">last </w:t>
      </w:r>
      <w:r w:rsidR="00F0063A">
        <w:t>W</w:t>
      </w:r>
      <w:r w:rsidR="00424E85">
        <w:t xml:space="preserve">ill and </w:t>
      </w:r>
      <w:r w:rsidR="00F0063A">
        <w:t>T</w:t>
      </w:r>
      <w:r w:rsidR="00424E85">
        <w:t xml:space="preserve">estament of the deceased to be null and void.” </w:t>
      </w:r>
      <w:r w:rsidR="00F7483E">
        <w:t>They</w:t>
      </w:r>
      <w:r w:rsidR="00424E85">
        <w:t xml:space="preserve"> also</w:t>
      </w:r>
      <w:r w:rsidR="00F7483E">
        <w:t xml:space="preserve"> prayed</w:t>
      </w:r>
      <w:r w:rsidR="00424E85">
        <w:t xml:space="preserve"> for: “(b) An order declaring that the estate of the late Godfrey </w:t>
      </w:r>
      <w:proofErr w:type="spellStart"/>
      <w:r w:rsidR="00424E85">
        <w:t>Gundani</w:t>
      </w:r>
      <w:proofErr w:type="spellEnd"/>
      <w:r w:rsidR="00F7483E">
        <w:t xml:space="preserve"> be</w:t>
      </w:r>
      <w:r w:rsidR="00FB518E">
        <w:t xml:space="preserve"> </w:t>
      </w:r>
      <w:r w:rsidR="00424E85">
        <w:t>disposed intestate in terms of the provisions of the Administration of Estates Act [</w:t>
      </w:r>
      <w:r w:rsidR="00424E85" w:rsidRPr="00F0063A">
        <w:rPr>
          <w:i/>
        </w:rPr>
        <w:t>6:01</w:t>
      </w:r>
      <w:r w:rsidR="00424E85">
        <w:t xml:space="preserve">]” </w:t>
      </w:r>
      <w:r w:rsidR="001674C9">
        <w:t>(</w:t>
      </w:r>
      <w:r w:rsidR="001674C9">
        <w:rPr>
          <w:i/>
          <w:iCs/>
        </w:rPr>
        <w:t>sic</w:t>
      </w:r>
      <w:r w:rsidR="001674C9">
        <w:t xml:space="preserve">) </w:t>
      </w:r>
      <w:r w:rsidR="00424E85">
        <w:t>and: (c) an order of costs on a legal practitioner and client scale.</w:t>
      </w:r>
      <w:r w:rsidR="00F7483E">
        <w:t xml:space="preserve"> </w:t>
      </w:r>
    </w:p>
    <w:p w14:paraId="6DDD9C07" w14:textId="0E878B93" w:rsidR="00F7483E" w:rsidRDefault="00924571" w:rsidP="0075576E">
      <w:pPr>
        <w:spacing w:line="480" w:lineRule="auto"/>
        <w:ind w:left="450" w:hanging="460"/>
      </w:pPr>
      <w:r>
        <w:lastRenderedPageBreak/>
        <w:t>[7</w:t>
      </w:r>
      <w:r w:rsidR="004655F9">
        <w:t xml:space="preserve">]  </w:t>
      </w:r>
      <w:r w:rsidR="00432523">
        <w:t>The</w:t>
      </w:r>
      <w:r w:rsidR="00F7483E">
        <w:t xml:space="preserve"> executor opposed the claim. </w:t>
      </w:r>
      <w:r w:rsidR="0075576E">
        <w:t xml:space="preserve"> </w:t>
      </w:r>
      <w:r w:rsidR="00F7483E">
        <w:t>The m</w:t>
      </w:r>
      <w:r w:rsidR="00FB518E">
        <w:t>atter proceeded to trial,</w:t>
      </w:r>
      <w:r w:rsidR="00F7483E">
        <w:t xml:space="preserve"> with the appellants insisting that the deceased had no right to exclude them</w:t>
      </w:r>
      <w:r w:rsidR="00FB518E">
        <w:t xml:space="preserve"> from his </w:t>
      </w:r>
      <w:r w:rsidR="00DE5CDA">
        <w:t>W</w:t>
      </w:r>
      <w:r w:rsidR="00FB518E">
        <w:t>ill</w:t>
      </w:r>
      <w:r w:rsidR="00F7483E">
        <w:t xml:space="preserve"> and to dispose of property in which they held rights. </w:t>
      </w:r>
      <w:r w:rsidR="003C5750">
        <w:t xml:space="preserve"> </w:t>
      </w:r>
      <w:r w:rsidR="00F7483E">
        <w:t xml:space="preserve">The executor countered that the deceased acted within the ambit of testamentary freedom, that the </w:t>
      </w:r>
      <w:proofErr w:type="spellStart"/>
      <w:r w:rsidR="00FB518E">
        <w:t>Lundi</w:t>
      </w:r>
      <w:proofErr w:type="spellEnd"/>
      <w:r w:rsidR="00FB518E">
        <w:t xml:space="preserve"> Park</w:t>
      </w:r>
      <w:r w:rsidR="00F7483E">
        <w:t xml:space="preserve"> property was acquired in his sole name before the solemnisation of the civil marriage, and that the Ashdown Park bequest extended only to his undivided half-share. </w:t>
      </w:r>
    </w:p>
    <w:p w14:paraId="69B7A869" w14:textId="55543E14" w:rsidR="003C5750" w:rsidRDefault="003C5750" w:rsidP="003C5750">
      <w:pPr>
        <w:spacing w:line="480" w:lineRule="auto"/>
        <w:ind w:left="426" w:hanging="441"/>
      </w:pPr>
      <w:r>
        <w:t xml:space="preserve">[8]  </w:t>
      </w:r>
      <w:r w:rsidR="00F7483E">
        <w:t>At trial</w:t>
      </w:r>
      <w:r w:rsidR="00F07FBD">
        <w:t>, the appellants led evidence relating to</w:t>
      </w:r>
      <w:r w:rsidR="00F7483E">
        <w:t xml:space="preserve"> their </w:t>
      </w:r>
      <w:r w:rsidR="00F07FBD">
        <w:t>respective marriages to the deceased</w:t>
      </w:r>
      <w:r w:rsidR="00F7483E">
        <w:t xml:space="preserve">, their contributions to the disputed properties, and the legal restrictions they argued applied to the </w:t>
      </w:r>
      <w:r>
        <w:t xml:space="preserve">deceased’s testamentary powers.  </w:t>
      </w:r>
      <w:r w:rsidR="00F7483E">
        <w:t>The</w:t>
      </w:r>
      <w:r w:rsidR="00200692">
        <w:t xml:space="preserve"> appellants’ respective </w:t>
      </w:r>
      <w:r w:rsidR="00DE5CDA">
        <w:t>positions</w:t>
      </w:r>
      <w:r w:rsidR="00200692">
        <w:t xml:space="preserve"> were that</w:t>
      </w:r>
      <w:r w:rsidR="00F7483E">
        <w:t xml:space="preserve"> the bequest to Lorraine </w:t>
      </w:r>
      <w:proofErr w:type="spellStart"/>
      <w:r w:rsidR="00F7483E">
        <w:t>Ncube</w:t>
      </w:r>
      <w:proofErr w:type="spellEnd"/>
      <w:r w:rsidR="00F7483E">
        <w:t xml:space="preserve"> was unlawful as it undermined the exclusivity of a civil marriage, that the </w:t>
      </w:r>
      <w:proofErr w:type="spellStart"/>
      <w:r w:rsidR="00200692">
        <w:t>Lundi</w:t>
      </w:r>
      <w:proofErr w:type="spellEnd"/>
      <w:r w:rsidR="00200692">
        <w:t xml:space="preserve"> Park</w:t>
      </w:r>
      <w:r w:rsidR="00F7483E">
        <w:t xml:space="preserve"> prope</w:t>
      </w:r>
      <w:r w:rsidR="00200692">
        <w:t>rty had been acquired during the subsistence of the marriage to the first appellant and was the</w:t>
      </w:r>
      <w:r w:rsidR="00F7483E">
        <w:t xml:space="preserve"> matrimonial</w:t>
      </w:r>
      <w:r w:rsidR="00200692">
        <w:t xml:space="preserve"> home</w:t>
      </w:r>
      <w:r w:rsidR="00F7483E">
        <w:t xml:space="preserve">, and that the Ashdown Park property could not lawfully be disposed of in its entirety. </w:t>
      </w:r>
      <w:r>
        <w:t xml:space="preserve"> </w:t>
      </w:r>
      <w:r w:rsidR="00F7483E">
        <w:t xml:space="preserve">They further contended that the </w:t>
      </w:r>
      <w:r w:rsidR="00DE5CDA">
        <w:t>W</w:t>
      </w:r>
      <w:r w:rsidR="00F7483E">
        <w:t xml:space="preserve">ill’s express denial of any obligations towards them was both misleading and indicative of an intent to defeat their rights. </w:t>
      </w:r>
    </w:p>
    <w:p w14:paraId="45C4A554" w14:textId="67A98474" w:rsidR="00F7483E" w:rsidRDefault="003C5750" w:rsidP="003C5750">
      <w:pPr>
        <w:spacing w:line="480" w:lineRule="auto"/>
        <w:ind w:left="426" w:hanging="441"/>
      </w:pPr>
      <w:r>
        <w:t>[9</w:t>
      </w:r>
      <w:r w:rsidR="004655F9">
        <w:t>]  The</w:t>
      </w:r>
      <w:r w:rsidR="00F7483E">
        <w:t xml:space="preserve"> </w:t>
      </w:r>
      <w:r w:rsidR="00200692">
        <w:t>first respondent</w:t>
      </w:r>
      <w:r w:rsidR="00F7483E">
        <w:t xml:space="preserve">, supported by the </w:t>
      </w:r>
      <w:r w:rsidR="00200692">
        <w:t>second respondent</w:t>
      </w:r>
      <w:r w:rsidR="00F7483E">
        <w:t xml:space="preserve">, countered that the </w:t>
      </w:r>
      <w:r w:rsidR="00DE5CDA">
        <w:t>W</w:t>
      </w:r>
      <w:r w:rsidR="00F7483E">
        <w:t xml:space="preserve">ill was valid in all respects. </w:t>
      </w:r>
      <w:r>
        <w:t xml:space="preserve"> </w:t>
      </w:r>
      <w:r w:rsidR="00F7483E">
        <w:t xml:space="preserve">He argued that the deceased had purchased the </w:t>
      </w:r>
      <w:proofErr w:type="spellStart"/>
      <w:r w:rsidR="00200692">
        <w:t>Lundi</w:t>
      </w:r>
      <w:proofErr w:type="spellEnd"/>
      <w:r w:rsidR="00200692">
        <w:t xml:space="preserve"> Park</w:t>
      </w:r>
      <w:r w:rsidR="00F7483E">
        <w:t xml:space="preserve"> property in 2008, prior to solemnisation of the civil marriage, and solely from his own reso</w:t>
      </w:r>
      <w:r w:rsidR="00E44ABF">
        <w:t xml:space="preserve">urces.  </w:t>
      </w:r>
      <w:r w:rsidR="00F7483E">
        <w:t>He fu</w:t>
      </w:r>
      <w:r w:rsidR="0010637F">
        <w:t xml:space="preserve">rther maintained that the first </w:t>
      </w:r>
      <w:r w:rsidR="00F7483E">
        <w:t xml:space="preserve">appellant had deserted the deceased, and </w:t>
      </w:r>
      <w:r w:rsidR="0010637F">
        <w:t>had gone</w:t>
      </w:r>
      <w:r w:rsidR="00F7483E">
        <w:t xml:space="preserve"> to reside permanently in the United Kingdom</w:t>
      </w:r>
      <w:r w:rsidR="002265CD">
        <w:t xml:space="preserve">.  </w:t>
      </w:r>
      <w:r w:rsidR="0010637F">
        <w:t>Furthermore, that she</w:t>
      </w:r>
      <w:r w:rsidR="00F7483E">
        <w:t xml:space="preserve"> had even instituted divorce proceedings in 2014, thereby forfeiting any claim to matrimonial rights.</w:t>
      </w:r>
      <w:r w:rsidR="0010637F">
        <w:t xml:space="preserve"> </w:t>
      </w:r>
      <w:r>
        <w:t xml:space="preserve"> </w:t>
      </w:r>
      <w:r w:rsidR="0010637F">
        <w:t>Note may be taken at this stage that the divorce proceedings were abandoned and were not pursued to the finality of a decree of divorce being granted by the courts.</w:t>
      </w:r>
      <w:r>
        <w:t xml:space="preserve">  </w:t>
      </w:r>
      <w:r w:rsidR="00F7483E">
        <w:t xml:space="preserve">On the Ashdown Park property, the </w:t>
      </w:r>
      <w:r w:rsidR="0010637F">
        <w:t>first respondent</w:t>
      </w:r>
      <w:r w:rsidR="00F7483E">
        <w:t xml:space="preserve"> contended that the deceased had only bequeathed his </w:t>
      </w:r>
      <w:r w:rsidR="00F7483E">
        <w:lastRenderedPageBreak/>
        <w:t xml:space="preserve">undivided half-share, leaving intact </w:t>
      </w:r>
      <w:r w:rsidR="0010637F">
        <w:t>the second appellant</w:t>
      </w:r>
      <w:r w:rsidR="00F7483E">
        <w:t>’s</w:t>
      </w:r>
      <w:r w:rsidR="0010637F">
        <w:t xml:space="preserve"> undivided half share</w:t>
      </w:r>
      <w:r w:rsidR="00F7483E">
        <w:t xml:space="preserve">. </w:t>
      </w:r>
      <w:r>
        <w:t xml:space="preserve"> </w:t>
      </w:r>
      <w:r w:rsidR="00F7483E">
        <w:t xml:space="preserve">He also submitted that public policy does not prohibit bequests to third parties, even where the testator was in an extra-marital relationship. </w:t>
      </w:r>
    </w:p>
    <w:p w14:paraId="2407518C" w14:textId="786082CD" w:rsidR="000741D0" w:rsidRDefault="004655F9" w:rsidP="004655F9">
      <w:pPr>
        <w:pStyle w:val="ListParagraph"/>
        <w:spacing w:line="480" w:lineRule="auto"/>
        <w:ind w:left="567" w:hanging="567"/>
      </w:pPr>
      <w:r>
        <w:t xml:space="preserve">[10] </w:t>
      </w:r>
      <w:r w:rsidR="003C5750">
        <w:t>On</w:t>
      </w:r>
      <w:r w:rsidR="00F7483E">
        <w:t xml:space="preserve"> 9 April 2025, the court </w:t>
      </w:r>
      <w:r w:rsidR="00F7483E" w:rsidRPr="0010637F">
        <w:rPr>
          <w:i/>
        </w:rPr>
        <w:t>a quo</w:t>
      </w:r>
      <w:r w:rsidR="00F7483E">
        <w:t xml:space="preserve"> delivered an </w:t>
      </w:r>
      <w:r w:rsidR="00F7483E" w:rsidRPr="0010637F">
        <w:rPr>
          <w:i/>
        </w:rPr>
        <w:t>ex tempore</w:t>
      </w:r>
      <w:r w:rsidR="00F7483E">
        <w:t xml:space="preserve"> judgment dismissing the appell</w:t>
      </w:r>
      <w:r w:rsidR="003C5750">
        <w:t xml:space="preserve">ants’ claims in their entirety.  </w:t>
      </w:r>
      <w:r w:rsidR="00F7483E">
        <w:t xml:space="preserve">The court </w:t>
      </w:r>
      <w:r w:rsidR="00F7483E" w:rsidRPr="0010637F">
        <w:rPr>
          <w:i/>
        </w:rPr>
        <w:t>a quo</w:t>
      </w:r>
      <w:r w:rsidR="00F7483E">
        <w:t xml:space="preserve"> held that testamentary freedom is a cardi</w:t>
      </w:r>
      <w:r w:rsidR="0010637F">
        <w:t>nal principle of succession law</w:t>
      </w:r>
      <w:r w:rsidR="00F7483E">
        <w:t xml:space="preserve"> and that the deceased was entitled to dispose of his estate as he pleased, provided </w:t>
      </w:r>
      <w:r w:rsidR="0010637F">
        <w:t xml:space="preserve">that </w:t>
      </w:r>
      <w:r w:rsidR="00F7483E">
        <w:t>he was not purporting to bequeath property</w:t>
      </w:r>
      <w:r w:rsidR="0010637F">
        <w:t xml:space="preserve"> that</w:t>
      </w:r>
      <w:r w:rsidR="00E44ABF">
        <w:t xml:space="preserve"> he did not own.  </w:t>
      </w:r>
      <w:r w:rsidR="00F7483E">
        <w:t xml:space="preserve">The court </w:t>
      </w:r>
      <w:r w:rsidR="00F7483E" w:rsidRPr="0010637F">
        <w:rPr>
          <w:i/>
        </w:rPr>
        <w:t>a quo</w:t>
      </w:r>
      <w:r w:rsidR="00F7483E">
        <w:t xml:space="preserve"> found that the </w:t>
      </w:r>
      <w:proofErr w:type="spellStart"/>
      <w:r w:rsidR="0010637F">
        <w:t>Lundi</w:t>
      </w:r>
      <w:proofErr w:type="spellEnd"/>
      <w:r w:rsidR="0010637F">
        <w:t xml:space="preserve"> Park</w:t>
      </w:r>
      <w:r w:rsidR="00F7483E">
        <w:t xml:space="preserve"> property had been acquired solely by the deceased before the solemnisation of the civil marriage and that there was no credible evidence of contribution by </w:t>
      </w:r>
      <w:r w:rsidR="000741D0">
        <w:t>the first appellant</w:t>
      </w:r>
      <w:r w:rsidR="00F7483E">
        <w:t xml:space="preserve">. </w:t>
      </w:r>
      <w:r w:rsidR="005E52B3">
        <w:t xml:space="preserve"> </w:t>
      </w:r>
      <w:r w:rsidR="00F7483E">
        <w:t>With respect to the Ashdown Park property, the court</w:t>
      </w:r>
      <w:r w:rsidR="00F07FBD">
        <w:t xml:space="preserve"> </w:t>
      </w:r>
      <w:r w:rsidR="00F07FBD">
        <w:rPr>
          <w:i/>
        </w:rPr>
        <w:t>a quo</w:t>
      </w:r>
      <w:r w:rsidR="00F7483E">
        <w:t xml:space="preserve"> accepted the executor’s submission that the deceased only bequeathed his undivided half-share, which he was entitled to do, and thus found no basis to invalidate that provision.</w:t>
      </w:r>
    </w:p>
    <w:p w14:paraId="47D02D05" w14:textId="77777777" w:rsidR="005E52B3" w:rsidRDefault="005E52B3" w:rsidP="005E52B3">
      <w:pPr>
        <w:pStyle w:val="ListParagraph"/>
        <w:spacing w:after="0" w:line="240" w:lineRule="auto"/>
        <w:ind w:left="426" w:hanging="426"/>
      </w:pPr>
    </w:p>
    <w:p w14:paraId="185BE565" w14:textId="3AA38639" w:rsidR="00F7483E" w:rsidRDefault="005E52B3" w:rsidP="00602861">
      <w:pPr>
        <w:pStyle w:val="ListParagraph"/>
        <w:spacing w:after="0" w:line="480" w:lineRule="auto"/>
        <w:ind w:left="567" w:hanging="567"/>
      </w:pPr>
      <w:r>
        <w:t xml:space="preserve">[11] </w:t>
      </w:r>
      <w:r w:rsidR="00E44ABF">
        <w:t xml:space="preserve"> </w:t>
      </w:r>
      <w:r w:rsidR="00F7483E">
        <w:t xml:space="preserve">On the allegation that the bequest to a girlfriend was unlawful and contrary to public policy, the </w:t>
      </w:r>
      <w:r w:rsidR="004655F9">
        <w:t>c</w:t>
      </w:r>
      <w:r w:rsidR="00F7483E">
        <w:t>ourt reasoned that while the relationship may have been extra-marital, the law does not forbid a testator from leaving property to any beneficiary of his choice, including a mistre</w:t>
      </w:r>
      <w:r w:rsidR="00B60345">
        <w:t xml:space="preserve">ss or partner outside marriage.  </w:t>
      </w:r>
      <w:r w:rsidR="00F7483E">
        <w:t>It stressed that moral disapproval of adultery does not translate into legal invali</w:t>
      </w:r>
      <w:r w:rsidR="00E44ABF">
        <w:t xml:space="preserve">dity of a testamentary bequest.  </w:t>
      </w:r>
      <w:r w:rsidR="00F7483E">
        <w:t xml:space="preserve">The court </w:t>
      </w:r>
      <w:r w:rsidR="00B60345">
        <w:t xml:space="preserve">                         </w:t>
      </w:r>
      <w:r w:rsidR="00F7483E" w:rsidRPr="000741D0">
        <w:rPr>
          <w:i/>
        </w:rPr>
        <w:t>a quo</w:t>
      </w:r>
      <w:r w:rsidR="00F7483E">
        <w:t xml:space="preserve"> further held that the statement in the </w:t>
      </w:r>
      <w:r w:rsidR="00E44ABF">
        <w:t>W</w:t>
      </w:r>
      <w:r w:rsidR="00F7483E">
        <w:t>ill denying any obligation to former spouses was legally inconsequential, as rights in property are determined by law, not by the declarations of a testator.</w:t>
      </w:r>
    </w:p>
    <w:p w14:paraId="57948D06" w14:textId="77777777" w:rsidR="00602861" w:rsidRDefault="00602861" w:rsidP="00602861">
      <w:pPr>
        <w:pStyle w:val="ListParagraph"/>
        <w:spacing w:after="0" w:line="240" w:lineRule="auto"/>
        <w:ind w:left="567" w:hanging="567"/>
      </w:pPr>
    </w:p>
    <w:p w14:paraId="6CD4E421" w14:textId="50570003" w:rsidR="00F7483E" w:rsidRDefault="00B60345" w:rsidP="00602861">
      <w:pPr>
        <w:pStyle w:val="ListParagraph"/>
        <w:tabs>
          <w:tab w:val="left" w:pos="567"/>
        </w:tabs>
        <w:spacing w:after="0" w:line="480" w:lineRule="auto"/>
        <w:ind w:left="567" w:hanging="567"/>
      </w:pPr>
      <w:r>
        <w:t>[12</w:t>
      </w:r>
      <w:proofErr w:type="gramStart"/>
      <w:r w:rsidR="004655F9">
        <w:t>]  The</w:t>
      </w:r>
      <w:proofErr w:type="gramEnd"/>
      <w:r w:rsidR="00F7483E">
        <w:t xml:space="preserve"> court </w:t>
      </w:r>
      <w:r w:rsidR="00F7483E" w:rsidRPr="000741D0">
        <w:rPr>
          <w:i/>
        </w:rPr>
        <w:t xml:space="preserve">a quo </w:t>
      </w:r>
      <w:r w:rsidR="000741D0">
        <w:t xml:space="preserve">made an </w:t>
      </w:r>
      <w:r w:rsidR="00F7483E">
        <w:t>award</w:t>
      </w:r>
      <w:r w:rsidR="000741D0">
        <w:t xml:space="preserve"> of</w:t>
      </w:r>
      <w:r w:rsidR="00F7483E">
        <w:t xml:space="preserve"> costs on the legal practitioner and client scale against the appellants, </w:t>
      </w:r>
      <w:r w:rsidR="000741D0">
        <w:t>on the basis</w:t>
      </w:r>
      <w:r w:rsidR="00F7483E">
        <w:t xml:space="preserve"> that their claims lacked merit and that their attempt to impugn a </w:t>
      </w:r>
      <w:r w:rsidR="000741D0">
        <w:t xml:space="preserve">valid </w:t>
      </w:r>
      <w:r w:rsidR="00B01D9F">
        <w:t>W</w:t>
      </w:r>
      <w:r w:rsidR="000741D0">
        <w:t>ill was an abuse of the c</w:t>
      </w:r>
      <w:r w:rsidR="00F7483E">
        <w:t xml:space="preserve">ourt’s time. </w:t>
      </w:r>
    </w:p>
    <w:p w14:paraId="55D2199E" w14:textId="77777777" w:rsidR="000741D0" w:rsidRDefault="00B60345" w:rsidP="00D7419B">
      <w:pPr>
        <w:pStyle w:val="ListParagraph"/>
        <w:spacing w:after="0" w:line="480" w:lineRule="auto"/>
        <w:ind w:left="567" w:hanging="562"/>
      </w:pPr>
      <w:r>
        <w:lastRenderedPageBreak/>
        <w:t xml:space="preserve">[13]  </w:t>
      </w:r>
      <w:r w:rsidR="008A5D37">
        <w:t xml:space="preserve"> </w:t>
      </w:r>
      <w:r w:rsidR="000741D0">
        <w:t xml:space="preserve">Aggrieved by the decision of the court </w:t>
      </w:r>
      <w:r w:rsidR="000741D0" w:rsidRPr="000741D0">
        <w:rPr>
          <w:i/>
        </w:rPr>
        <w:t>a quo,</w:t>
      </w:r>
      <w:r w:rsidR="000741D0">
        <w:t xml:space="preserve"> the</w:t>
      </w:r>
      <w:r w:rsidR="00F7483E">
        <w:t xml:space="preserve"> appellants filed </w:t>
      </w:r>
      <w:r w:rsidR="000741D0">
        <w:t>this</w:t>
      </w:r>
      <w:r w:rsidR="00F7483E">
        <w:t xml:space="preserve"> </w:t>
      </w:r>
      <w:r w:rsidR="000741D0">
        <w:t xml:space="preserve">appeal on 16 April 2025 on the following grounds: </w:t>
      </w:r>
    </w:p>
    <w:p w14:paraId="782D97F7" w14:textId="77777777" w:rsidR="00F7483E" w:rsidRPr="00D7419B" w:rsidRDefault="00E871E4" w:rsidP="008A5D37">
      <w:pPr>
        <w:pStyle w:val="ListParagraph"/>
        <w:spacing w:after="0" w:line="480" w:lineRule="auto"/>
        <w:ind w:left="855" w:firstLine="405"/>
        <w:rPr>
          <w:b/>
        </w:rPr>
      </w:pPr>
      <w:r>
        <w:t>“</w:t>
      </w:r>
      <w:r w:rsidR="00F7483E" w:rsidRPr="00D7419B">
        <w:rPr>
          <w:b/>
        </w:rPr>
        <w:t xml:space="preserve">GROUNDS OF APPEAL </w:t>
      </w:r>
    </w:p>
    <w:p w14:paraId="082BC935" w14:textId="638C6AB2" w:rsidR="00F7483E" w:rsidRDefault="00D7419B" w:rsidP="000A72F5">
      <w:pPr>
        <w:numPr>
          <w:ilvl w:val="0"/>
          <w:numId w:val="1"/>
        </w:numPr>
        <w:spacing w:after="0" w:line="480" w:lineRule="auto"/>
        <w:ind w:left="1560" w:hanging="300"/>
      </w:pPr>
      <w:r>
        <w:t>The c</w:t>
      </w:r>
      <w:r w:rsidR="00F7483E">
        <w:t xml:space="preserve">ourt </w:t>
      </w:r>
      <w:r w:rsidR="00F7483E">
        <w:rPr>
          <w:i/>
        </w:rPr>
        <w:t>a quo</w:t>
      </w:r>
      <w:r w:rsidR="00F7483E">
        <w:t xml:space="preserve"> erred at law in failing to find that the Will was invalid as    bequeathments </w:t>
      </w:r>
      <w:r w:rsidR="000741D0">
        <w:t>(</w:t>
      </w:r>
      <w:r w:rsidR="000741D0">
        <w:rPr>
          <w:i/>
        </w:rPr>
        <w:t>sic</w:t>
      </w:r>
      <w:r w:rsidR="000741D0">
        <w:t xml:space="preserve">) </w:t>
      </w:r>
      <w:r w:rsidR="00F7483E">
        <w:t xml:space="preserve">of matrimonial house and household goods to a girlfriend whilst the testator was legally married under civil marriage then </w:t>
      </w:r>
      <w:r>
        <w:t>Marriages</w:t>
      </w:r>
      <w:r w:rsidR="00E44ABF">
        <w:t xml:space="preserve"> Act </w:t>
      </w:r>
      <w:r w:rsidR="00F7483E">
        <w:t>[</w:t>
      </w:r>
      <w:r w:rsidR="00F7483E">
        <w:rPr>
          <w:i/>
        </w:rPr>
        <w:t>Chapter 5:11</w:t>
      </w:r>
      <w:r w:rsidR="00F7483E">
        <w:t xml:space="preserve">] was prohibited by law. </w:t>
      </w:r>
    </w:p>
    <w:p w14:paraId="12D2AE14" w14:textId="77777777" w:rsidR="00F7483E" w:rsidRDefault="00D7419B" w:rsidP="004655F9">
      <w:pPr>
        <w:pStyle w:val="ListParagraph"/>
        <w:numPr>
          <w:ilvl w:val="0"/>
          <w:numId w:val="1"/>
        </w:numPr>
        <w:spacing w:after="0" w:line="480" w:lineRule="auto"/>
        <w:ind w:left="1560" w:hanging="300"/>
      </w:pPr>
      <w:r>
        <w:t>The c</w:t>
      </w:r>
      <w:r w:rsidR="00F7483E">
        <w:t xml:space="preserve">ourt </w:t>
      </w:r>
      <w:r w:rsidR="00F7483E" w:rsidRPr="00D7419B">
        <w:rPr>
          <w:i/>
        </w:rPr>
        <w:t>a quo</w:t>
      </w:r>
      <w:r w:rsidR="00F7483E">
        <w:t xml:space="preserve"> erred at law by failing to find that</w:t>
      </w:r>
      <w:r>
        <w:t xml:space="preserve"> the Will was invalid because </w:t>
      </w:r>
      <w:r w:rsidR="00F7483E">
        <w:t>the testator and the beneficiary of the matrimonia</w:t>
      </w:r>
      <w:r w:rsidR="00E44ABF">
        <w:t xml:space="preserve">l house in the Will were in a </w:t>
      </w:r>
      <w:r w:rsidR="00F7483E">
        <w:t xml:space="preserve">bigamous relationship and their adultery was contrary to public policy.  </w:t>
      </w:r>
    </w:p>
    <w:p w14:paraId="376CF51B" w14:textId="77777777" w:rsidR="00F7483E" w:rsidRDefault="00F7483E" w:rsidP="00CB1D98">
      <w:pPr>
        <w:numPr>
          <w:ilvl w:val="0"/>
          <w:numId w:val="1"/>
        </w:numPr>
        <w:spacing w:after="0" w:line="480" w:lineRule="auto"/>
        <w:ind w:left="1620" w:hanging="360"/>
      </w:pPr>
      <w:r>
        <w:t>T</w:t>
      </w:r>
      <w:r w:rsidR="00D7419B">
        <w:t>he c</w:t>
      </w:r>
      <w:r>
        <w:t xml:space="preserve">ourt </w:t>
      </w:r>
      <w:r>
        <w:rPr>
          <w:i/>
        </w:rPr>
        <w:t>a quo</w:t>
      </w:r>
      <w:r>
        <w:t xml:space="preserve"> erred at law by failing to find that the Will was invalid as the   testator in the Will bequeathed property that was jointly owned in a title deed   as if it belonged wholly to the testator. </w:t>
      </w:r>
    </w:p>
    <w:p w14:paraId="6A03DD5B" w14:textId="77777777" w:rsidR="00F7483E" w:rsidRDefault="00D7419B" w:rsidP="00CB1D98">
      <w:pPr>
        <w:numPr>
          <w:ilvl w:val="0"/>
          <w:numId w:val="1"/>
        </w:numPr>
        <w:spacing w:after="0" w:line="480" w:lineRule="auto"/>
        <w:ind w:left="1620" w:hanging="360"/>
      </w:pPr>
      <w:r>
        <w:t>The c</w:t>
      </w:r>
      <w:r w:rsidR="00F7483E">
        <w:t xml:space="preserve">ourt </w:t>
      </w:r>
      <w:r w:rsidR="00F7483E">
        <w:rPr>
          <w:i/>
        </w:rPr>
        <w:t>a quo</w:t>
      </w:r>
      <w:r w:rsidR="00F7483E">
        <w:t xml:space="preserve"> erred at law in granting costs on a le</w:t>
      </w:r>
      <w:r w:rsidR="000918D8">
        <w:t xml:space="preserve">gal practitioner client scale </w:t>
      </w:r>
      <w:r w:rsidR="00F7483E">
        <w:t xml:space="preserve">against appellants in circumstances where the testator and the beneficiary of   matrimonial house Lorraine </w:t>
      </w:r>
      <w:proofErr w:type="spellStart"/>
      <w:r w:rsidR="00F7483E">
        <w:t>Ncube</w:t>
      </w:r>
      <w:proofErr w:type="spellEnd"/>
      <w:r w:rsidR="00F7483E">
        <w:t xml:space="preserve"> were acting contra </w:t>
      </w:r>
      <w:proofErr w:type="spellStart"/>
      <w:r w:rsidR="00F7483E">
        <w:rPr>
          <w:i/>
        </w:rPr>
        <w:t>bonos</w:t>
      </w:r>
      <w:proofErr w:type="spellEnd"/>
      <w:r w:rsidR="00F7483E">
        <w:rPr>
          <w:i/>
        </w:rPr>
        <w:t xml:space="preserve"> mores.</w:t>
      </w:r>
      <w:r w:rsidR="00E871E4">
        <w:t>”</w:t>
      </w:r>
      <w:r w:rsidR="00F7483E">
        <w:t xml:space="preserve">  </w:t>
      </w:r>
    </w:p>
    <w:p w14:paraId="314FD004" w14:textId="77777777" w:rsidR="00E62345" w:rsidRDefault="00E62345" w:rsidP="00E62345">
      <w:pPr>
        <w:spacing w:after="0" w:line="240" w:lineRule="auto"/>
        <w:ind w:left="1620" w:firstLine="0"/>
      </w:pPr>
    </w:p>
    <w:p w14:paraId="5DEBE8C4" w14:textId="77777777" w:rsidR="00E871E4" w:rsidRDefault="00D7419B" w:rsidP="00C2057C">
      <w:pPr>
        <w:tabs>
          <w:tab w:val="left" w:pos="567"/>
          <w:tab w:val="left" w:pos="709"/>
        </w:tabs>
        <w:spacing w:after="0"/>
      </w:pPr>
      <w:r>
        <w:t xml:space="preserve">[14]  </w:t>
      </w:r>
      <w:r w:rsidR="00E62345">
        <w:t xml:space="preserve"> </w:t>
      </w:r>
      <w:r>
        <w:t>The</w:t>
      </w:r>
      <w:r w:rsidR="00E871E4">
        <w:t xml:space="preserve"> appellants seek the following relief:</w:t>
      </w:r>
    </w:p>
    <w:p w14:paraId="3E4D93B3" w14:textId="741C6E81" w:rsidR="00F7483E" w:rsidRDefault="00B11E8A" w:rsidP="00B11E8A">
      <w:pPr>
        <w:pStyle w:val="Heading1"/>
        <w:tabs>
          <w:tab w:val="left" w:pos="1440"/>
        </w:tabs>
        <w:spacing w:after="0" w:line="240" w:lineRule="auto"/>
        <w:ind w:firstLine="1445"/>
      </w:pPr>
      <w:r>
        <w:t xml:space="preserve"> </w:t>
      </w:r>
      <w:r w:rsidR="00E871E4" w:rsidRPr="00A04CAA">
        <w:rPr>
          <w:b w:val="0"/>
        </w:rPr>
        <w:t>“</w:t>
      </w:r>
      <w:r w:rsidR="00F80566">
        <w:t>RELIEF SOUGHT.</w:t>
      </w:r>
    </w:p>
    <w:p w14:paraId="41281477" w14:textId="77777777" w:rsidR="00D7419B" w:rsidRPr="00D7419B" w:rsidRDefault="00D7419B" w:rsidP="004655F9">
      <w:pPr>
        <w:spacing w:after="0" w:line="240" w:lineRule="auto"/>
      </w:pPr>
    </w:p>
    <w:p w14:paraId="39A5FC49" w14:textId="77777777" w:rsidR="00F7483E" w:rsidRDefault="00F7483E" w:rsidP="00B11E8A">
      <w:pPr>
        <w:spacing w:after="0" w:line="240" w:lineRule="auto"/>
        <w:ind w:firstLine="1445"/>
      </w:pPr>
      <w:r w:rsidRPr="00D7419B">
        <w:rPr>
          <w:b/>
        </w:rPr>
        <w:t>WHEREFORE</w:t>
      </w:r>
      <w:r>
        <w:t xml:space="preserve">, the appellants pray for the following; </w:t>
      </w:r>
    </w:p>
    <w:p w14:paraId="2591F2F6" w14:textId="77777777" w:rsidR="002629C0" w:rsidRDefault="002629C0" w:rsidP="004655F9">
      <w:pPr>
        <w:spacing w:after="0" w:line="240" w:lineRule="auto"/>
        <w:ind w:firstLine="1281"/>
      </w:pPr>
    </w:p>
    <w:p w14:paraId="2FCC5B4E" w14:textId="77777777" w:rsidR="00F7483E" w:rsidRDefault="00F7483E" w:rsidP="00B11E8A">
      <w:pPr>
        <w:numPr>
          <w:ilvl w:val="0"/>
          <w:numId w:val="2"/>
        </w:numPr>
        <w:tabs>
          <w:tab w:val="left" w:pos="1710"/>
        </w:tabs>
        <w:spacing w:after="0" w:line="240" w:lineRule="auto"/>
      </w:pPr>
      <w:r>
        <w:t xml:space="preserve">That the appeal be allowed with costs. </w:t>
      </w:r>
    </w:p>
    <w:p w14:paraId="4DD7908F" w14:textId="77777777" w:rsidR="00F80566" w:rsidRDefault="00F80566" w:rsidP="00F80566">
      <w:pPr>
        <w:spacing w:after="0" w:line="240" w:lineRule="auto"/>
        <w:ind w:left="1560" w:firstLine="0"/>
      </w:pPr>
    </w:p>
    <w:p w14:paraId="402378C8" w14:textId="68E005AE" w:rsidR="00E469BF" w:rsidRDefault="00D7419B" w:rsidP="00340A9B">
      <w:pPr>
        <w:numPr>
          <w:ilvl w:val="0"/>
          <w:numId w:val="2"/>
        </w:numPr>
        <w:spacing w:after="0" w:line="240" w:lineRule="auto"/>
        <w:ind w:left="1701" w:hanging="283"/>
      </w:pPr>
      <w:r>
        <w:t>That the j</w:t>
      </w:r>
      <w:r w:rsidR="00F7483E">
        <w:t>udgement of the High Court sitting at Harare under HCH</w:t>
      </w:r>
      <w:r>
        <w:t xml:space="preserve"> </w:t>
      </w:r>
      <w:r w:rsidR="00F7483E">
        <w:t xml:space="preserve">6118/23   dated 9 April 2025 be set aside and in its place the following be substituted. </w:t>
      </w:r>
    </w:p>
    <w:p w14:paraId="5D44196F" w14:textId="77777777" w:rsidR="00B11E8A" w:rsidRDefault="00B11E8A" w:rsidP="00B11E8A">
      <w:pPr>
        <w:spacing w:after="0" w:line="240" w:lineRule="auto"/>
        <w:ind w:left="1701" w:firstLine="0"/>
      </w:pPr>
    </w:p>
    <w:p w14:paraId="2BDD5A2A" w14:textId="1071C5A2" w:rsidR="00F7483E" w:rsidRDefault="00F7483E" w:rsidP="00E03380">
      <w:pPr>
        <w:spacing w:after="0" w:line="240" w:lineRule="auto"/>
        <w:ind w:left="2430" w:hanging="587"/>
      </w:pPr>
      <w:r>
        <w:t xml:space="preserve"> </w:t>
      </w:r>
      <w:r w:rsidR="00B11E8A">
        <w:t>‘</w:t>
      </w:r>
      <w:r w:rsidR="00D7419B">
        <w:t>(</w:t>
      </w:r>
      <w:proofErr w:type="spellStart"/>
      <w:r w:rsidRPr="00D7419B">
        <w:t>i</w:t>
      </w:r>
      <w:proofErr w:type="spellEnd"/>
      <w:r w:rsidR="00D7419B">
        <w:t>). The l</w:t>
      </w:r>
      <w:r w:rsidRPr="00D7419B">
        <w:t xml:space="preserve">ast Will and Testament of the Late Godfrey </w:t>
      </w:r>
      <w:proofErr w:type="spellStart"/>
      <w:r w:rsidRPr="00D7419B">
        <w:t>Gundani</w:t>
      </w:r>
      <w:proofErr w:type="spellEnd"/>
      <w:r w:rsidRPr="00D7419B">
        <w:t xml:space="preserve"> dated </w:t>
      </w:r>
      <w:r w:rsidR="00340A9B">
        <w:t xml:space="preserve">                        </w:t>
      </w:r>
      <w:r w:rsidRPr="00D7419B">
        <w:t>30</w:t>
      </w:r>
      <w:r w:rsidR="00E871E4" w:rsidRPr="00D7419B">
        <w:t xml:space="preserve"> </w:t>
      </w:r>
      <w:r w:rsidRPr="00D7419B">
        <w:t xml:space="preserve">August 2017 be and is hereby declared null and void for being contrary  to law and public policy. </w:t>
      </w:r>
    </w:p>
    <w:p w14:paraId="65D8B800" w14:textId="77777777" w:rsidR="00D7419B" w:rsidRPr="00D7419B" w:rsidRDefault="00D7419B" w:rsidP="00E469BF">
      <w:pPr>
        <w:spacing w:after="0" w:line="240" w:lineRule="auto"/>
        <w:ind w:left="2410" w:hanging="567"/>
      </w:pPr>
    </w:p>
    <w:p w14:paraId="4617C16D" w14:textId="77777777" w:rsidR="00E871E4" w:rsidRDefault="00D7419B" w:rsidP="00E469BF">
      <w:pPr>
        <w:spacing w:after="0" w:line="240" w:lineRule="auto"/>
        <w:ind w:left="2552" w:hanging="567"/>
      </w:pPr>
      <w:r>
        <w:lastRenderedPageBreak/>
        <w:t xml:space="preserve">  (ii).</w:t>
      </w:r>
      <w:r w:rsidR="00E03380">
        <w:t xml:space="preserve"> </w:t>
      </w:r>
      <w:r w:rsidR="00F7483E" w:rsidRPr="00D7419B">
        <w:t xml:space="preserve">The Estate of the Late Godfrey </w:t>
      </w:r>
      <w:proofErr w:type="spellStart"/>
      <w:r w:rsidR="00F7483E" w:rsidRPr="00D7419B">
        <w:t>Gundani</w:t>
      </w:r>
      <w:proofErr w:type="spellEnd"/>
      <w:r w:rsidR="00F7483E" w:rsidRPr="00D7419B">
        <w:t xml:space="preserve"> DRMS18/22 shall be </w:t>
      </w:r>
      <w:r w:rsidRPr="00D7419B">
        <w:t>disposed in</w:t>
      </w:r>
      <w:r w:rsidR="00F7483E" w:rsidRPr="00D7419B">
        <w:t xml:space="preserve"> terms of intestate succession.   </w:t>
      </w:r>
    </w:p>
    <w:p w14:paraId="18643BE1" w14:textId="77777777" w:rsidR="00D7419B" w:rsidRPr="00D7419B" w:rsidRDefault="00D7419B" w:rsidP="00D7419B">
      <w:pPr>
        <w:spacing w:after="0" w:line="240" w:lineRule="auto"/>
        <w:ind w:left="2552" w:hanging="567"/>
      </w:pPr>
    </w:p>
    <w:p w14:paraId="5859F2F0" w14:textId="0DB11B4C" w:rsidR="00F7483E" w:rsidRDefault="00D7419B" w:rsidP="00D7419B">
      <w:pPr>
        <w:spacing w:after="289" w:line="240" w:lineRule="auto"/>
        <w:ind w:firstLine="2132"/>
      </w:pPr>
      <w:r>
        <w:t>(</w:t>
      </w:r>
      <w:r w:rsidR="00F7483E" w:rsidRPr="00D7419B">
        <w:t>iii</w:t>
      </w:r>
      <w:r>
        <w:t>)</w:t>
      </w:r>
      <w:r w:rsidR="00E03380" w:rsidRPr="00D7419B">
        <w:t xml:space="preserve">. </w:t>
      </w:r>
      <w:proofErr w:type="gramStart"/>
      <w:r w:rsidR="00D30F45">
        <w:t>Each</w:t>
      </w:r>
      <w:proofErr w:type="gramEnd"/>
      <w:r w:rsidR="00F7483E" w:rsidRPr="00D7419B">
        <w:t xml:space="preserve"> part</w:t>
      </w:r>
      <w:r w:rsidR="00E871E4" w:rsidRPr="00D7419B">
        <w:t>y</w:t>
      </w:r>
      <w:r w:rsidR="00F7483E" w:rsidRPr="00D7419B">
        <w:t xml:space="preserve"> to bear its own costs.</w:t>
      </w:r>
      <w:r w:rsidR="00B11E8A">
        <w:t>’</w:t>
      </w:r>
      <w:r w:rsidR="00F7483E" w:rsidRPr="00D7419B">
        <w:t xml:space="preserve">” </w:t>
      </w:r>
    </w:p>
    <w:p w14:paraId="0DC9D6FA" w14:textId="77777777" w:rsidR="00D7419B" w:rsidRPr="00D7419B" w:rsidRDefault="00D7419B" w:rsidP="00D7419B">
      <w:pPr>
        <w:spacing w:after="0" w:line="240" w:lineRule="auto"/>
        <w:ind w:firstLine="2132"/>
      </w:pPr>
    </w:p>
    <w:p w14:paraId="1348FCFB" w14:textId="684E946D" w:rsidR="00E871E4" w:rsidRDefault="00D7419B" w:rsidP="00340A9B">
      <w:pPr>
        <w:spacing w:after="0" w:line="480" w:lineRule="auto"/>
        <w:ind w:left="567" w:hanging="567"/>
      </w:pPr>
      <w:r>
        <w:t>[15] Counsel</w:t>
      </w:r>
      <w:r w:rsidR="00E871E4">
        <w:t xml:space="preserve"> for the appellants and for the </w:t>
      </w:r>
      <w:r w:rsidR="00545B6A">
        <w:t>first respondent addressed the c</w:t>
      </w:r>
      <w:r w:rsidR="00E871E4">
        <w:t>ourt</w:t>
      </w:r>
      <w:r w:rsidR="00BC6912">
        <w:t xml:space="preserve">. </w:t>
      </w:r>
      <w:r w:rsidR="00545B6A">
        <w:t xml:space="preserve"> </w:t>
      </w:r>
      <w:r w:rsidR="00BC6912">
        <w:t xml:space="preserve">For the purposes of this judgment it will not be necessary to set out or </w:t>
      </w:r>
      <w:r w:rsidR="00545B6A">
        <w:t xml:space="preserve">relate to the submissions made.  </w:t>
      </w:r>
      <w:r w:rsidR="00BC6912">
        <w:t>Suffice to say that</w:t>
      </w:r>
      <w:r w:rsidR="00E871E4">
        <w:t xml:space="preserve"> after</w:t>
      </w:r>
      <w:r w:rsidR="00BC6912">
        <w:t xml:space="preserve"> their submissions</w:t>
      </w:r>
      <w:r w:rsidR="00E871E4">
        <w:t xml:space="preserve"> judgment was reserved.</w:t>
      </w:r>
      <w:r w:rsidR="00545B6A">
        <w:t xml:space="preserve"> </w:t>
      </w:r>
      <w:r w:rsidR="00E871E4">
        <w:t xml:space="preserve"> In further deliberations by the court after reserving its judgment, it occurred to it that the beneficiaries of the deceased’s </w:t>
      </w:r>
      <w:r w:rsidR="00DE5CDA">
        <w:t>W</w:t>
      </w:r>
      <w:r w:rsidR="00E871E4">
        <w:t xml:space="preserve">ill had not been cited, joined or heard in the court </w:t>
      </w:r>
      <w:r w:rsidR="00E871E4" w:rsidRPr="00D7419B">
        <w:rPr>
          <w:i/>
        </w:rPr>
        <w:t>a quo</w:t>
      </w:r>
      <w:r w:rsidR="00545B6A">
        <w:t xml:space="preserve"> as well as before th</w:t>
      </w:r>
      <w:r w:rsidR="00210023">
        <w:t>is</w:t>
      </w:r>
      <w:r w:rsidR="00545B6A">
        <w:t xml:space="preserve"> </w:t>
      </w:r>
      <w:r w:rsidR="00210023">
        <w:t>C</w:t>
      </w:r>
      <w:r w:rsidR="00545B6A">
        <w:t xml:space="preserve">ourt.  </w:t>
      </w:r>
      <w:r w:rsidR="00E871E4">
        <w:t xml:space="preserve">The Registrar was immediately </w:t>
      </w:r>
      <w:r w:rsidR="00210023">
        <w:t>direc</w:t>
      </w:r>
      <w:r w:rsidR="00E871E4">
        <w:t>ted to invite counsel to make further submissions by way of supplementary heads of argument on this aspect. The Registrar’s communication was couched in the following terms:</w:t>
      </w:r>
    </w:p>
    <w:p w14:paraId="721DD996" w14:textId="77777777" w:rsidR="00D16EB6" w:rsidRDefault="00D16EB6" w:rsidP="0016622C">
      <w:pPr>
        <w:pStyle w:val="ListParagraph"/>
        <w:spacing w:after="0" w:line="240" w:lineRule="auto"/>
        <w:ind w:firstLine="414"/>
      </w:pPr>
      <w:r>
        <w:t>“</w:t>
      </w:r>
      <w:r w:rsidR="00545B6A">
        <w:t>… The c</w:t>
      </w:r>
      <w:r>
        <w:t>ourt has noted that:-</w:t>
      </w:r>
    </w:p>
    <w:p w14:paraId="7E31365E" w14:textId="77777777" w:rsidR="0016622C" w:rsidRDefault="0016622C" w:rsidP="0016622C">
      <w:pPr>
        <w:pStyle w:val="ListParagraph"/>
        <w:spacing w:after="0" w:line="240" w:lineRule="auto"/>
        <w:ind w:firstLine="414"/>
      </w:pPr>
    </w:p>
    <w:p w14:paraId="40FF9D20" w14:textId="77777777" w:rsidR="00D16EB6" w:rsidRDefault="00D16EB6" w:rsidP="00545B6A">
      <w:pPr>
        <w:pStyle w:val="ListParagraph"/>
        <w:spacing w:after="289" w:line="240" w:lineRule="auto"/>
        <w:ind w:left="1134" w:firstLine="0"/>
      </w:pPr>
      <w:r>
        <w:t xml:space="preserve">Lorraine </w:t>
      </w:r>
      <w:proofErr w:type="spellStart"/>
      <w:r>
        <w:t>Ncube</w:t>
      </w:r>
      <w:proofErr w:type="spellEnd"/>
      <w:r>
        <w:t xml:space="preserve">, Sherman </w:t>
      </w:r>
      <w:proofErr w:type="spellStart"/>
      <w:r>
        <w:t>Taonehama</w:t>
      </w:r>
      <w:proofErr w:type="spellEnd"/>
      <w:r>
        <w:t xml:space="preserve"> </w:t>
      </w:r>
      <w:proofErr w:type="spellStart"/>
      <w:r>
        <w:t>Gundani</w:t>
      </w:r>
      <w:proofErr w:type="spellEnd"/>
      <w:r>
        <w:t xml:space="preserve"> and </w:t>
      </w:r>
      <w:proofErr w:type="spellStart"/>
      <w:r>
        <w:t>Panashe</w:t>
      </w:r>
      <w:proofErr w:type="spellEnd"/>
      <w:r>
        <w:t xml:space="preserve"> </w:t>
      </w:r>
      <w:proofErr w:type="spellStart"/>
      <w:r>
        <w:t>Durdley</w:t>
      </w:r>
      <w:proofErr w:type="spellEnd"/>
      <w:r>
        <w:t xml:space="preserve"> (Junior) </w:t>
      </w:r>
      <w:proofErr w:type="spellStart"/>
      <w:r>
        <w:t>Chikumba</w:t>
      </w:r>
      <w:proofErr w:type="spellEnd"/>
      <w:r>
        <w:t xml:space="preserve">, all of whom are beneficiaries under the </w:t>
      </w:r>
      <w:r w:rsidR="0016622C">
        <w:t>W</w:t>
      </w:r>
      <w:r>
        <w:t xml:space="preserve">ill of the late Godfrey </w:t>
      </w:r>
      <w:proofErr w:type="spellStart"/>
      <w:r>
        <w:t>Gundani</w:t>
      </w:r>
      <w:proofErr w:type="spellEnd"/>
      <w:r>
        <w:t xml:space="preserve">, were not cited, joined or heard in the court </w:t>
      </w:r>
      <w:r w:rsidRPr="00721B9E">
        <w:rPr>
          <w:i/>
        </w:rPr>
        <w:t>a quo</w:t>
      </w:r>
      <w:r>
        <w:t xml:space="preserve"> o</w:t>
      </w:r>
      <w:r w:rsidR="0016622C">
        <w:t xml:space="preserve">r on appeal to this Court.  </w:t>
      </w:r>
      <w:r w:rsidR="00545B6A">
        <w:t>The c</w:t>
      </w:r>
      <w:r>
        <w:t xml:space="preserve">ourt invites both counsel to file supplementary heads of argument on the implications or effect, if any, of this, including submissions on the question whether or not the matter might need to be remitted to the court </w:t>
      </w:r>
      <w:r w:rsidRPr="00721B9E">
        <w:rPr>
          <w:i/>
        </w:rPr>
        <w:t>a quo</w:t>
      </w:r>
      <w:r>
        <w:t xml:space="preserve"> for all the affected/interested parties to be afforded th</w:t>
      </w:r>
      <w:r w:rsidR="0016622C">
        <w:t xml:space="preserve">e opportunity of being heard.  </w:t>
      </w:r>
      <w:r>
        <w:t>May counsel please submit the supplementary heads of argument by close of business on 15 October 2025.”</w:t>
      </w:r>
    </w:p>
    <w:p w14:paraId="293B9A89" w14:textId="77777777" w:rsidR="00721B9E" w:rsidRDefault="00721B9E" w:rsidP="00D16EB6">
      <w:pPr>
        <w:pStyle w:val="ListParagraph"/>
        <w:spacing w:after="289" w:line="240" w:lineRule="auto"/>
        <w:ind w:firstLine="0"/>
      </w:pPr>
    </w:p>
    <w:p w14:paraId="6EA43F4D" w14:textId="77777777" w:rsidR="00545B6A" w:rsidRPr="00E871E4" w:rsidRDefault="00545B6A" w:rsidP="00545B6A">
      <w:pPr>
        <w:pStyle w:val="ListParagraph"/>
        <w:spacing w:after="0" w:line="240" w:lineRule="auto"/>
        <w:ind w:firstLine="0"/>
      </w:pPr>
    </w:p>
    <w:p w14:paraId="2E1D5C64" w14:textId="29A0F889" w:rsidR="00F7483E" w:rsidRDefault="00545B6A" w:rsidP="00545B6A">
      <w:pPr>
        <w:spacing w:after="0" w:line="480" w:lineRule="auto"/>
        <w:ind w:left="567" w:hanging="582"/>
      </w:pPr>
      <w:r>
        <w:t>[16</w:t>
      </w:r>
      <w:r w:rsidR="00B414CD">
        <w:t>]  On</w:t>
      </w:r>
      <w:r w:rsidR="00721B9E">
        <w:t xml:space="preserve"> 14 October 2025, supplementary heads</w:t>
      </w:r>
      <w:r w:rsidR="00210023">
        <w:t xml:space="preserve"> of </w:t>
      </w:r>
      <w:r w:rsidR="00DE5CDA">
        <w:t>argument</w:t>
      </w:r>
      <w:r w:rsidR="00721B9E">
        <w:t xml:space="preserve"> were up</w:t>
      </w:r>
      <w:r>
        <w:t xml:space="preserve">loaded on the IECMS platform on </w:t>
      </w:r>
      <w:r w:rsidR="00721B9E">
        <w:t>behalf of the appel</w:t>
      </w:r>
      <w:r w:rsidR="00B414CD">
        <w:t xml:space="preserve">lants and the first respondent.  </w:t>
      </w:r>
      <w:r w:rsidR="00721B9E">
        <w:t>Para</w:t>
      </w:r>
      <w:r>
        <w:t>graph</w:t>
      </w:r>
      <w:r w:rsidR="00721B9E">
        <w:t xml:space="preserve"> 20 of the appellants’ supplementary heads of argument reads as follows:</w:t>
      </w:r>
    </w:p>
    <w:p w14:paraId="376E4610" w14:textId="77777777" w:rsidR="00721B9E" w:rsidRDefault="00721B9E" w:rsidP="00545B6A">
      <w:pPr>
        <w:pStyle w:val="ListParagraph"/>
        <w:spacing w:after="301" w:line="240" w:lineRule="auto"/>
        <w:ind w:left="1560" w:hanging="426"/>
      </w:pPr>
      <w:r>
        <w:t xml:space="preserve">“20. From </w:t>
      </w:r>
      <w:r w:rsidR="00545B6A">
        <w:t>the foregoing submissions, the a</w:t>
      </w:r>
      <w:r>
        <w:t xml:space="preserve">ppellants humbly submit that Lorraine </w:t>
      </w:r>
      <w:proofErr w:type="spellStart"/>
      <w:r>
        <w:t>Ncube</w:t>
      </w:r>
      <w:proofErr w:type="spellEnd"/>
      <w:r>
        <w:t xml:space="preserve">, Sherman </w:t>
      </w:r>
      <w:proofErr w:type="spellStart"/>
      <w:r>
        <w:t>Taonehama</w:t>
      </w:r>
      <w:proofErr w:type="spellEnd"/>
      <w:r>
        <w:t xml:space="preserve"> </w:t>
      </w:r>
      <w:proofErr w:type="spellStart"/>
      <w:r>
        <w:t>Gundani</w:t>
      </w:r>
      <w:proofErr w:type="spellEnd"/>
      <w:r>
        <w:t xml:space="preserve"> and </w:t>
      </w:r>
      <w:proofErr w:type="spellStart"/>
      <w:r>
        <w:t>Panashe</w:t>
      </w:r>
      <w:proofErr w:type="spellEnd"/>
      <w:r>
        <w:t xml:space="preserve"> </w:t>
      </w:r>
      <w:proofErr w:type="spellStart"/>
      <w:r>
        <w:t>Durdley</w:t>
      </w:r>
      <w:proofErr w:type="spellEnd"/>
      <w:r>
        <w:t xml:space="preserve"> (Junior) </w:t>
      </w:r>
      <w:proofErr w:type="spellStart"/>
      <w:r>
        <w:t>Chikumba</w:t>
      </w:r>
      <w:proofErr w:type="spellEnd"/>
      <w:r>
        <w:t xml:space="preserve"> who are beneficiaries of the estate of late Godfrey </w:t>
      </w:r>
      <w:proofErr w:type="spellStart"/>
      <w:r>
        <w:t>Gundani</w:t>
      </w:r>
      <w:proofErr w:type="spellEnd"/>
      <w:r>
        <w:t xml:space="preserve"> should have been joined in the proceedings in the court </w:t>
      </w:r>
      <w:r w:rsidRPr="00721B9E">
        <w:rPr>
          <w:i/>
        </w:rPr>
        <w:t>a quo</w:t>
      </w:r>
      <w:r>
        <w:t xml:space="preserve"> on the basis that they have substantial interest in the proceedings and the implications of non-joinder weighs against the interest of justice especially if the present appeal is upheld. (</w:t>
      </w:r>
      <w:proofErr w:type="gramStart"/>
      <w:r>
        <w:rPr>
          <w:i/>
        </w:rPr>
        <w:t>sic</w:t>
      </w:r>
      <w:proofErr w:type="gramEnd"/>
      <w:r>
        <w:t>)</w:t>
      </w:r>
      <w:r w:rsidR="00DC0B15">
        <w:t>.</w:t>
      </w:r>
      <w:r>
        <w:t xml:space="preserve"> Therefore, it is in the interest of justice if the matter is remitted to the court </w:t>
      </w:r>
      <w:r w:rsidRPr="00721B9E">
        <w:rPr>
          <w:i/>
        </w:rPr>
        <w:t>a quo</w:t>
      </w:r>
      <w:r>
        <w:t xml:space="preserve"> for all the relevant parties to be heard.</w:t>
      </w:r>
    </w:p>
    <w:p w14:paraId="1C82B692" w14:textId="77777777" w:rsidR="00545B6A" w:rsidRDefault="00545B6A" w:rsidP="00545B6A">
      <w:pPr>
        <w:pStyle w:val="ListParagraph"/>
        <w:spacing w:after="301" w:line="240" w:lineRule="auto"/>
        <w:ind w:left="1560" w:hanging="426"/>
      </w:pPr>
    </w:p>
    <w:p w14:paraId="5DA2C1F3" w14:textId="77777777" w:rsidR="00721B9E" w:rsidRDefault="00545B6A" w:rsidP="00545B6A">
      <w:pPr>
        <w:pStyle w:val="ListParagraph"/>
        <w:spacing w:after="301" w:line="240" w:lineRule="auto"/>
        <w:ind w:left="1560" w:firstLine="0"/>
      </w:pPr>
      <w:r w:rsidRPr="00545B6A">
        <w:rPr>
          <w:b/>
        </w:rPr>
        <w:lastRenderedPageBreak/>
        <w:t>WHEREFORE,</w:t>
      </w:r>
      <w:r>
        <w:t xml:space="preserve"> the a</w:t>
      </w:r>
      <w:r w:rsidR="00721B9E">
        <w:t xml:space="preserve">ppellants pray that the matter be remitted to the court </w:t>
      </w:r>
      <w:r>
        <w:t xml:space="preserve">                     </w:t>
      </w:r>
      <w:r w:rsidR="00721B9E" w:rsidRPr="00721B9E">
        <w:rPr>
          <w:i/>
        </w:rPr>
        <w:t>a quo</w:t>
      </w:r>
      <w:r w:rsidR="00721B9E">
        <w:t xml:space="preserve"> for all the affected parties to be heard.”</w:t>
      </w:r>
    </w:p>
    <w:p w14:paraId="47F768FC" w14:textId="77777777" w:rsidR="00545B6A" w:rsidRDefault="00545B6A" w:rsidP="00545B6A">
      <w:pPr>
        <w:pStyle w:val="ListParagraph"/>
        <w:spacing w:after="301" w:line="240" w:lineRule="auto"/>
        <w:ind w:left="1560" w:firstLine="0"/>
      </w:pPr>
    </w:p>
    <w:p w14:paraId="79835FFD" w14:textId="77777777" w:rsidR="00721B9E" w:rsidRDefault="00721B9E" w:rsidP="00545B6A">
      <w:pPr>
        <w:pStyle w:val="ListParagraph"/>
        <w:spacing w:after="0" w:line="240" w:lineRule="auto"/>
        <w:ind w:firstLine="0"/>
      </w:pPr>
    </w:p>
    <w:p w14:paraId="400661F3" w14:textId="74318060" w:rsidR="00721B9E" w:rsidRDefault="00545B6A" w:rsidP="00340A9B">
      <w:pPr>
        <w:tabs>
          <w:tab w:val="left" w:pos="567"/>
        </w:tabs>
        <w:spacing w:after="0" w:line="480" w:lineRule="auto"/>
        <w:ind w:left="567" w:hanging="582"/>
      </w:pPr>
      <w:r>
        <w:t xml:space="preserve">[17] </w:t>
      </w:r>
      <w:r w:rsidR="00340A9B">
        <w:t xml:space="preserve"> </w:t>
      </w:r>
      <w:r w:rsidR="00721B9E">
        <w:t>Under the heading “CONCLUSION” in the first respondent’s supplementary heads of argument, the following submissions are made:</w:t>
      </w:r>
    </w:p>
    <w:p w14:paraId="4FE876A0" w14:textId="77777777" w:rsidR="00721B9E" w:rsidRPr="00721B9E" w:rsidRDefault="00D71648" w:rsidP="00D71648">
      <w:pPr>
        <w:pStyle w:val="ListParagraph"/>
        <w:spacing w:after="0" w:line="240" w:lineRule="auto"/>
        <w:ind w:firstLine="414"/>
        <w:jc w:val="left"/>
        <w:rPr>
          <w:b/>
        </w:rPr>
      </w:pPr>
      <w:r>
        <w:t>“</w:t>
      </w:r>
      <w:r w:rsidR="00721B9E" w:rsidRPr="00D71648">
        <w:rPr>
          <w:b/>
          <w:u w:val="single"/>
        </w:rPr>
        <w:t>CONCLUSION</w:t>
      </w:r>
      <w:r>
        <w:rPr>
          <w:b/>
        </w:rPr>
        <w:t>.</w:t>
      </w:r>
    </w:p>
    <w:p w14:paraId="241BBFAE" w14:textId="77777777" w:rsidR="00721B9E" w:rsidRDefault="00721B9E" w:rsidP="00721B9E">
      <w:pPr>
        <w:pStyle w:val="ListParagraph"/>
        <w:spacing w:after="301" w:line="240" w:lineRule="auto"/>
        <w:ind w:firstLine="0"/>
        <w:jc w:val="center"/>
      </w:pPr>
    </w:p>
    <w:p w14:paraId="57952ABC" w14:textId="77777777" w:rsidR="00721B9E" w:rsidRDefault="00B26F3E" w:rsidP="00B26F3E">
      <w:pPr>
        <w:pStyle w:val="ListParagraph"/>
        <w:spacing w:after="301" w:line="240" w:lineRule="auto"/>
        <w:ind w:left="1530" w:hanging="284"/>
      </w:pPr>
      <w:r>
        <w:t>4 The</w:t>
      </w:r>
      <w:r w:rsidR="00721B9E">
        <w:t xml:space="preserve"> implications or effect of the failure to cite, join or hear the beneficiaries of the will which was the subject matter of the litigation in the proceedings in the court </w:t>
      </w:r>
      <w:r w:rsidR="00721B9E" w:rsidRPr="00E469BF">
        <w:rPr>
          <w:i/>
        </w:rPr>
        <w:t>a quo</w:t>
      </w:r>
      <w:r w:rsidR="00721B9E">
        <w:t xml:space="preserve"> was to deny them the opportunity to be heard as affected or interested parties. As beneficiaries, they have a personal and substantial interest in the outcome of the litigation. A judgment or order of the court </w:t>
      </w:r>
      <w:r w:rsidR="00721B9E" w:rsidRPr="00E469BF">
        <w:rPr>
          <w:i/>
        </w:rPr>
        <w:t>a quo</w:t>
      </w:r>
      <w:r w:rsidR="00721B9E">
        <w:t xml:space="preserve"> or of the Honourable Court could affect them. Therefore, it was necessary in the interests of justice for them to be cited, joined and heard in the proceedings </w:t>
      </w:r>
      <w:r w:rsidR="00721B9E" w:rsidRPr="00E469BF">
        <w:rPr>
          <w:i/>
        </w:rPr>
        <w:t>a quo</w:t>
      </w:r>
      <w:r w:rsidR="00721B9E">
        <w:t xml:space="preserve">. The court </w:t>
      </w:r>
      <w:r w:rsidR="00721B9E" w:rsidRPr="00E469BF">
        <w:rPr>
          <w:i/>
        </w:rPr>
        <w:t>a quo</w:t>
      </w:r>
      <w:r w:rsidR="00721B9E">
        <w:t xml:space="preserve"> should therefore (have) </w:t>
      </w:r>
      <w:proofErr w:type="spellStart"/>
      <w:r w:rsidR="00721B9E" w:rsidRPr="00E469BF">
        <w:rPr>
          <w:i/>
        </w:rPr>
        <w:t>mero</w:t>
      </w:r>
      <w:proofErr w:type="spellEnd"/>
      <w:r w:rsidR="00721B9E" w:rsidRPr="00E469BF">
        <w:rPr>
          <w:i/>
        </w:rPr>
        <w:t xml:space="preserve"> </w:t>
      </w:r>
      <w:proofErr w:type="spellStart"/>
      <w:r w:rsidR="00721B9E" w:rsidRPr="00E469BF">
        <w:rPr>
          <w:i/>
        </w:rPr>
        <w:t>motu</w:t>
      </w:r>
      <w:proofErr w:type="spellEnd"/>
      <w:r w:rsidR="00721B9E" w:rsidRPr="00E469BF">
        <w:rPr>
          <w:i/>
        </w:rPr>
        <w:t xml:space="preserve"> </w:t>
      </w:r>
      <w:r w:rsidR="00721B9E">
        <w:t>ordered their</w:t>
      </w:r>
      <w:r w:rsidR="00E469BF">
        <w:t xml:space="preserve"> joinder in terms of r </w:t>
      </w:r>
      <w:r w:rsidR="00721B9E">
        <w:t>32 (12) (b) of the High Court Rules, 2021.</w:t>
      </w:r>
    </w:p>
    <w:p w14:paraId="109554CD" w14:textId="77777777" w:rsidR="006E1669" w:rsidRDefault="006E1669" w:rsidP="00E469BF">
      <w:pPr>
        <w:pStyle w:val="ListParagraph"/>
        <w:spacing w:after="0" w:line="240" w:lineRule="auto"/>
        <w:ind w:firstLine="0"/>
      </w:pPr>
    </w:p>
    <w:p w14:paraId="4BE30288" w14:textId="592F3B3B" w:rsidR="006E1669" w:rsidRDefault="00E469BF" w:rsidP="007B4050">
      <w:pPr>
        <w:spacing w:after="301" w:line="240" w:lineRule="auto"/>
        <w:ind w:left="2410" w:hanging="430"/>
      </w:pPr>
      <w:r>
        <w:t>4.1</w:t>
      </w:r>
      <w:r w:rsidR="007B4050">
        <w:t xml:space="preserve">. </w:t>
      </w:r>
      <w:r w:rsidR="006E1669">
        <w:t xml:space="preserve">It is necessary in the circumstances for the Honourable Court to remit the matter to the court </w:t>
      </w:r>
      <w:r w:rsidR="006E1669" w:rsidRPr="00E469BF">
        <w:rPr>
          <w:i/>
        </w:rPr>
        <w:t>a quo</w:t>
      </w:r>
      <w:r w:rsidR="006E1669">
        <w:t xml:space="preserve"> so that the beneficiaries can be afforded the opportunity to be heard as interested parties with a direct, personal and substantial interest in the deceased’s will and consequently in the outcome of the litigation. The Honourable Court may remit the matter in the exercise of the </w:t>
      </w:r>
      <w:r>
        <w:t>powers vested upon it by s</w:t>
      </w:r>
      <w:r w:rsidR="006E1669">
        <w:t xml:space="preserve"> 22 (1) (b) (ix) of the Supreme Court Act [</w:t>
      </w:r>
      <w:r w:rsidR="006E1669" w:rsidRPr="00E469BF">
        <w:rPr>
          <w:i/>
        </w:rPr>
        <w:t>Chapter 7:13</w:t>
      </w:r>
      <w:r w:rsidR="006E1669">
        <w:t>] for the beneficiaries to be specifically joined and heard as regards their interest in the subject matter of the litigation.”</w:t>
      </w:r>
    </w:p>
    <w:p w14:paraId="5EE4EEE0" w14:textId="77777777" w:rsidR="006E1669" w:rsidRDefault="006E1669" w:rsidP="00E469BF">
      <w:pPr>
        <w:pStyle w:val="ListParagraph"/>
        <w:spacing w:after="0" w:line="240" w:lineRule="auto"/>
        <w:ind w:firstLine="0"/>
        <w:jc w:val="center"/>
      </w:pPr>
    </w:p>
    <w:p w14:paraId="0FACEE8E" w14:textId="77777777" w:rsidR="004D7357" w:rsidRDefault="00E469BF" w:rsidP="00340A9B">
      <w:pPr>
        <w:tabs>
          <w:tab w:val="left" w:pos="567"/>
        </w:tabs>
        <w:spacing w:after="0" w:line="480" w:lineRule="auto"/>
      </w:pPr>
      <w:r>
        <w:t xml:space="preserve">[18]  </w:t>
      </w:r>
      <w:r w:rsidR="002A7298">
        <w:t xml:space="preserve"> </w:t>
      </w:r>
      <w:r w:rsidR="00AE156C">
        <w:t>Section 22 (1) (b) (ix) of the Supreme Court Act [</w:t>
      </w:r>
      <w:r w:rsidR="00AE156C" w:rsidRPr="00E469BF">
        <w:rPr>
          <w:i/>
        </w:rPr>
        <w:t>Chapter 7:13</w:t>
      </w:r>
      <w:r w:rsidR="00AE156C">
        <w:t>] provides as follows:</w:t>
      </w:r>
    </w:p>
    <w:p w14:paraId="784875A1" w14:textId="77777777" w:rsidR="00AE156C" w:rsidRDefault="00AE156C" w:rsidP="007D5DF9">
      <w:pPr>
        <w:pStyle w:val="ListParagraph"/>
        <w:spacing w:after="0" w:line="240" w:lineRule="auto"/>
        <w:ind w:left="1440" w:hanging="306"/>
        <w:rPr>
          <w:b/>
        </w:rPr>
      </w:pPr>
      <w:r>
        <w:t>“</w:t>
      </w:r>
      <w:r>
        <w:rPr>
          <w:b/>
        </w:rPr>
        <w:t>22 Powers of Supreme Court in appeals in civil cases</w:t>
      </w:r>
      <w:r w:rsidR="007D5DF9">
        <w:rPr>
          <w:b/>
        </w:rPr>
        <w:t>.</w:t>
      </w:r>
    </w:p>
    <w:p w14:paraId="0ED59C99" w14:textId="77777777" w:rsidR="00E469BF" w:rsidRDefault="00E469BF" w:rsidP="007D5DF9">
      <w:pPr>
        <w:pStyle w:val="ListParagraph"/>
        <w:spacing w:after="0" w:line="240" w:lineRule="auto"/>
        <w:ind w:left="1440" w:hanging="306"/>
        <w:rPr>
          <w:b/>
        </w:rPr>
      </w:pPr>
    </w:p>
    <w:p w14:paraId="33E55DD8" w14:textId="77777777" w:rsidR="00AE156C" w:rsidRDefault="00AE156C" w:rsidP="007D5DF9">
      <w:pPr>
        <w:pStyle w:val="ListParagraph"/>
        <w:numPr>
          <w:ilvl w:val="0"/>
          <w:numId w:val="7"/>
        </w:numPr>
        <w:spacing w:after="0" w:line="240" w:lineRule="auto"/>
        <w:ind w:left="2127" w:hanging="426"/>
      </w:pPr>
      <w:r>
        <w:t>Subject to any other enactment, on the hearing of a civil appeal the Supreme Court-</w:t>
      </w:r>
    </w:p>
    <w:p w14:paraId="014DED28" w14:textId="3C58066C" w:rsidR="00AE156C" w:rsidRDefault="009B1AD7" w:rsidP="00E469BF">
      <w:pPr>
        <w:spacing w:after="0" w:line="240" w:lineRule="auto"/>
        <w:ind w:left="1402" w:firstLine="725"/>
      </w:pPr>
      <w:r>
        <w:t>…</w:t>
      </w:r>
    </w:p>
    <w:p w14:paraId="258FC829" w14:textId="77777777" w:rsidR="00AE156C" w:rsidRDefault="00AE156C" w:rsidP="00E469BF">
      <w:pPr>
        <w:pStyle w:val="ListParagraph"/>
        <w:spacing w:after="301" w:line="240" w:lineRule="auto"/>
        <w:ind w:left="2835" w:hanging="315"/>
      </w:pPr>
      <w:r>
        <w:t xml:space="preserve">(b) </w:t>
      </w:r>
      <w:proofErr w:type="gramStart"/>
      <w:r>
        <w:t>may</w:t>
      </w:r>
      <w:proofErr w:type="gramEnd"/>
      <w:r>
        <w:t>, if it thinks it necessary or expedient in the interests of justice-</w:t>
      </w:r>
    </w:p>
    <w:p w14:paraId="17FEA251" w14:textId="56935E42" w:rsidR="00AE156C" w:rsidRDefault="00E469BF" w:rsidP="00AE156C">
      <w:pPr>
        <w:pStyle w:val="ListParagraph"/>
        <w:spacing w:after="301" w:line="240" w:lineRule="auto"/>
        <w:ind w:left="2520" w:firstLine="0"/>
      </w:pPr>
      <w:r>
        <w:t xml:space="preserve">     …</w:t>
      </w:r>
    </w:p>
    <w:p w14:paraId="1EA5BF1A" w14:textId="17FB4011" w:rsidR="00AE156C" w:rsidRDefault="009B1AD7" w:rsidP="009B1AD7">
      <w:pPr>
        <w:pStyle w:val="ListParagraph"/>
        <w:spacing w:after="301" w:line="240" w:lineRule="auto"/>
        <w:ind w:left="3690" w:hanging="713"/>
      </w:pPr>
      <w:r>
        <w:t xml:space="preserve">     </w:t>
      </w:r>
      <w:r w:rsidR="00AE156C">
        <w:t xml:space="preserve">(ix) </w:t>
      </w:r>
      <w:proofErr w:type="gramStart"/>
      <w:r w:rsidR="00AE156C">
        <w:t>take</w:t>
      </w:r>
      <w:proofErr w:type="gramEnd"/>
      <w:r w:rsidR="00AE156C">
        <w:t xml:space="preserve"> any other course which may lead to the just, speedy and inexpensive settlement of the case.”</w:t>
      </w:r>
    </w:p>
    <w:p w14:paraId="1C3AA238" w14:textId="77777777" w:rsidR="005A74F8" w:rsidRDefault="005A74F8" w:rsidP="009B1AD7">
      <w:pPr>
        <w:pStyle w:val="ListParagraph"/>
        <w:spacing w:after="301" w:line="240" w:lineRule="auto"/>
        <w:ind w:left="3690" w:hanging="713"/>
      </w:pPr>
    </w:p>
    <w:p w14:paraId="57A11715" w14:textId="77777777" w:rsidR="002D5F98" w:rsidRDefault="002D5F98" w:rsidP="005A74F8">
      <w:pPr>
        <w:pStyle w:val="ListParagraph"/>
        <w:spacing w:after="0" w:line="240" w:lineRule="auto"/>
        <w:ind w:left="2520" w:firstLine="0"/>
      </w:pPr>
    </w:p>
    <w:p w14:paraId="59FF5F86" w14:textId="1659225E" w:rsidR="002D5F98" w:rsidRDefault="00E469BF" w:rsidP="00DD1D18">
      <w:pPr>
        <w:spacing w:after="0" w:line="480" w:lineRule="auto"/>
        <w:ind w:left="567" w:hanging="567"/>
      </w:pPr>
      <w:r>
        <w:t xml:space="preserve">[19] </w:t>
      </w:r>
      <w:r w:rsidR="00340A9B">
        <w:t xml:space="preserve"> </w:t>
      </w:r>
      <w:r w:rsidR="00454BAB">
        <w:t xml:space="preserve">The court </w:t>
      </w:r>
      <w:r w:rsidR="00454BAB" w:rsidRPr="00E469BF">
        <w:rPr>
          <w:i/>
        </w:rPr>
        <w:t>a quo</w:t>
      </w:r>
      <w:r w:rsidR="00454BAB">
        <w:t xml:space="preserve"> heard and determined a matter involving a </w:t>
      </w:r>
      <w:r w:rsidR="00DE5CDA">
        <w:t>W</w:t>
      </w:r>
      <w:r w:rsidR="00454BAB">
        <w:t xml:space="preserve">ill without affording the beneficiaries of the said </w:t>
      </w:r>
      <w:r w:rsidR="00DE5CDA">
        <w:t>W</w:t>
      </w:r>
      <w:r w:rsidR="00454BAB">
        <w:t xml:space="preserve">ill the opportunity to be heard. </w:t>
      </w:r>
      <w:r>
        <w:t xml:space="preserve"> </w:t>
      </w:r>
      <w:r w:rsidR="00454BAB">
        <w:t>It is common cause that the said beneficiaries have</w:t>
      </w:r>
      <w:r w:rsidR="00DE5CDA">
        <w:t xml:space="preserve"> a</w:t>
      </w:r>
      <w:r w:rsidR="00454BAB">
        <w:t xml:space="preserve"> real and subs</w:t>
      </w:r>
      <w:r>
        <w:t xml:space="preserve">tantial interest in the matter.  </w:t>
      </w:r>
      <w:r w:rsidR="00454BAB">
        <w:t xml:space="preserve">As this Court is not a </w:t>
      </w:r>
      <w:r w:rsidR="00454BAB">
        <w:lastRenderedPageBreak/>
        <w:t>court of first instance, it cannot, at this appeal stage</w:t>
      </w:r>
      <w:r>
        <w:t xml:space="preserve">, join them to the proceedings.  </w:t>
      </w:r>
      <w:r w:rsidR="00454BAB">
        <w:t xml:space="preserve">The court </w:t>
      </w:r>
      <w:r w:rsidR="00454BAB" w:rsidRPr="00E469BF">
        <w:rPr>
          <w:i/>
        </w:rPr>
        <w:t>a quo</w:t>
      </w:r>
      <w:r w:rsidR="00454BAB">
        <w:t xml:space="preserve"> must hear them and the matter will thus have to be accordingly remitted to </w:t>
      </w:r>
      <w:r>
        <w:t xml:space="preserve">it for that reason and purpose.  </w:t>
      </w:r>
      <w:r w:rsidR="00454BAB">
        <w:t xml:space="preserve">The submissions made in supplementary heads of argument by both sides accept and agree to this inevitable reality of the matter having to be remitted to the court </w:t>
      </w:r>
      <w:r w:rsidR="00454BAB" w:rsidRPr="00E469BF">
        <w:rPr>
          <w:i/>
        </w:rPr>
        <w:t>a quo</w:t>
      </w:r>
      <w:r w:rsidR="00454BAB">
        <w:t xml:space="preserve"> as discussed herein. </w:t>
      </w:r>
    </w:p>
    <w:p w14:paraId="073218A2" w14:textId="77777777" w:rsidR="00DD1D18" w:rsidRDefault="00DD1D18" w:rsidP="00DD1D18">
      <w:pPr>
        <w:spacing w:after="0" w:line="240" w:lineRule="auto"/>
        <w:ind w:left="567" w:hanging="567"/>
      </w:pPr>
    </w:p>
    <w:p w14:paraId="35008693" w14:textId="77777777" w:rsidR="00C833BE" w:rsidRDefault="00E469BF" w:rsidP="00DD1D18">
      <w:pPr>
        <w:tabs>
          <w:tab w:val="left" w:pos="567"/>
        </w:tabs>
        <w:spacing w:after="0" w:line="480" w:lineRule="auto"/>
      </w:pPr>
      <w:r>
        <w:t xml:space="preserve">[20] </w:t>
      </w:r>
      <w:r w:rsidR="007D5DF9">
        <w:t xml:space="preserve"> </w:t>
      </w:r>
      <w:r w:rsidR="00A25D73">
        <w:t xml:space="preserve"> </w:t>
      </w:r>
      <w:r w:rsidR="00C833BE">
        <w:t>It is accordingly ordered as follows:</w:t>
      </w:r>
    </w:p>
    <w:p w14:paraId="703788A5" w14:textId="4483A644" w:rsidR="00C833BE" w:rsidRDefault="005F5325" w:rsidP="00E469BF">
      <w:pPr>
        <w:pStyle w:val="ListParagraph"/>
        <w:numPr>
          <w:ilvl w:val="0"/>
          <w:numId w:val="8"/>
        </w:numPr>
        <w:spacing w:after="301" w:line="240" w:lineRule="auto"/>
        <w:ind w:hanging="229"/>
      </w:pPr>
      <w:r>
        <w:t xml:space="preserve">The appeal </w:t>
      </w:r>
      <w:r w:rsidR="00D855E6">
        <w:t>be and is hereby allowed.</w:t>
      </w:r>
    </w:p>
    <w:p w14:paraId="1D821A94" w14:textId="77777777" w:rsidR="00A25D73" w:rsidRDefault="00A25D73" w:rsidP="00A25D73">
      <w:pPr>
        <w:pStyle w:val="ListParagraph"/>
        <w:spacing w:after="301" w:line="240" w:lineRule="auto"/>
        <w:ind w:left="1080" w:firstLine="0"/>
      </w:pPr>
    </w:p>
    <w:p w14:paraId="23426454" w14:textId="77777777" w:rsidR="005F5325" w:rsidRDefault="005F5325" w:rsidP="00E469BF">
      <w:pPr>
        <w:pStyle w:val="ListParagraph"/>
        <w:numPr>
          <w:ilvl w:val="0"/>
          <w:numId w:val="8"/>
        </w:numPr>
        <w:spacing w:after="301" w:line="240" w:lineRule="auto"/>
        <w:ind w:hanging="229"/>
      </w:pPr>
      <w:r>
        <w:t xml:space="preserve">The judgment of the court </w:t>
      </w:r>
      <w:r w:rsidRPr="005F5325">
        <w:rPr>
          <w:i/>
        </w:rPr>
        <w:t>a quo</w:t>
      </w:r>
      <w:r>
        <w:t xml:space="preserve"> be and is hereby set aside.</w:t>
      </w:r>
    </w:p>
    <w:p w14:paraId="450FA5B6" w14:textId="77777777" w:rsidR="00A25D73" w:rsidRDefault="00A25D73" w:rsidP="00A25D73">
      <w:pPr>
        <w:pStyle w:val="ListParagraph"/>
        <w:spacing w:after="0" w:line="240" w:lineRule="auto"/>
      </w:pPr>
    </w:p>
    <w:p w14:paraId="0454FDA1" w14:textId="36EFE6C3" w:rsidR="005F5325" w:rsidRDefault="005F5325" w:rsidP="00E469BF">
      <w:pPr>
        <w:pStyle w:val="ListParagraph"/>
        <w:numPr>
          <w:ilvl w:val="0"/>
          <w:numId w:val="8"/>
        </w:numPr>
        <w:spacing w:after="301" w:line="240" w:lineRule="auto"/>
        <w:ind w:hanging="229"/>
      </w:pPr>
      <w:r>
        <w:t xml:space="preserve">The matter be and is hereby remitted to the court </w:t>
      </w:r>
      <w:r w:rsidRPr="005F5325">
        <w:rPr>
          <w:i/>
        </w:rPr>
        <w:t>a quo</w:t>
      </w:r>
      <w:r>
        <w:t xml:space="preserve"> for the interested parties to be joined to the proceedings and afforded the opportunity to be heard before a determination is made by the said </w:t>
      </w:r>
      <w:r w:rsidR="00D855E6">
        <w:t>c</w:t>
      </w:r>
      <w:r>
        <w:t>ourt.</w:t>
      </w:r>
    </w:p>
    <w:p w14:paraId="41C2CAF7" w14:textId="77777777" w:rsidR="00D855E6" w:rsidRDefault="00D855E6" w:rsidP="00DD1D18">
      <w:pPr>
        <w:pStyle w:val="ListParagraph"/>
        <w:spacing w:after="0" w:line="240" w:lineRule="auto"/>
      </w:pPr>
    </w:p>
    <w:p w14:paraId="0EA74305" w14:textId="6A26A880" w:rsidR="00D855E6" w:rsidRDefault="00D855E6" w:rsidP="00E469BF">
      <w:pPr>
        <w:pStyle w:val="ListParagraph"/>
        <w:numPr>
          <w:ilvl w:val="0"/>
          <w:numId w:val="8"/>
        </w:numPr>
        <w:spacing w:after="301" w:line="240" w:lineRule="auto"/>
        <w:ind w:hanging="229"/>
      </w:pPr>
      <w:r>
        <w:t>Each party shall bear its own costs.</w:t>
      </w:r>
    </w:p>
    <w:p w14:paraId="03EA27B7" w14:textId="77777777" w:rsidR="00436BDA" w:rsidRDefault="00436BDA" w:rsidP="00436BDA">
      <w:pPr>
        <w:pStyle w:val="ListParagraph"/>
      </w:pPr>
    </w:p>
    <w:p w14:paraId="51C4BF42" w14:textId="77777777" w:rsidR="00436BDA" w:rsidRDefault="00436BDA" w:rsidP="00436BDA">
      <w:pPr>
        <w:pStyle w:val="ListParagraph"/>
        <w:spacing w:after="301" w:line="240" w:lineRule="auto"/>
        <w:ind w:left="1080" w:firstLine="0"/>
      </w:pPr>
    </w:p>
    <w:p w14:paraId="56F80672" w14:textId="77777777" w:rsidR="00A705DA" w:rsidRDefault="00A705DA" w:rsidP="009F3AF0">
      <w:pPr>
        <w:spacing w:after="301" w:line="480" w:lineRule="auto"/>
        <w:ind w:left="0" w:firstLine="0"/>
      </w:pPr>
    </w:p>
    <w:p w14:paraId="041C2413" w14:textId="77777777" w:rsidR="00A705DA" w:rsidRPr="003D3B9D" w:rsidRDefault="00E469BF" w:rsidP="00E469BF">
      <w:pPr>
        <w:tabs>
          <w:tab w:val="left" w:pos="567"/>
        </w:tabs>
        <w:spacing w:after="301" w:line="480" w:lineRule="auto"/>
        <w:ind w:left="0" w:firstLine="0"/>
      </w:pPr>
      <w:r w:rsidRPr="00E469BF">
        <w:rPr>
          <w:b/>
        </w:rPr>
        <w:t xml:space="preserve">         </w:t>
      </w:r>
      <w:r w:rsidR="003D3B9D">
        <w:rPr>
          <w:b/>
        </w:rPr>
        <w:tab/>
      </w:r>
      <w:r w:rsidR="003D3B9D">
        <w:rPr>
          <w:b/>
        </w:rPr>
        <w:tab/>
      </w:r>
      <w:r w:rsidR="003D3B9D">
        <w:rPr>
          <w:b/>
        </w:rPr>
        <w:tab/>
      </w:r>
      <w:r w:rsidR="00A705DA" w:rsidRPr="00E469BF">
        <w:rPr>
          <w:b/>
        </w:rPr>
        <w:t>CHIWESHE JA</w:t>
      </w:r>
      <w:r w:rsidR="0015440D">
        <w:rPr>
          <w:b/>
        </w:rPr>
        <w:tab/>
      </w:r>
      <w:r w:rsidR="006B2243" w:rsidRPr="003D3B9D">
        <w:t>:</w:t>
      </w:r>
      <w:r w:rsidR="003D3B9D">
        <w:rPr>
          <w:b/>
        </w:rPr>
        <w:tab/>
      </w:r>
      <w:r w:rsidR="00A705DA" w:rsidRPr="003D3B9D">
        <w:t>I agree</w:t>
      </w:r>
    </w:p>
    <w:p w14:paraId="46A0AC84" w14:textId="77777777" w:rsidR="00A705DA" w:rsidRDefault="00A705DA" w:rsidP="003D3B9D">
      <w:pPr>
        <w:spacing w:after="0" w:line="480" w:lineRule="auto"/>
        <w:ind w:left="0" w:firstLine="0"/>
        <w:rPr>
          <w:b/>
        </w:rPr>
      </w:pPr>
    </w:p>
    <w:p w14:paraId="1D0725F6" w14:textId="77777777" w:rsidR="00A705DA" w:rsidRPr="00E469BF" w:rsidRDefault="00E469BF" w:rsidP="00E469BF">
      <w:pPr>
        <w:tabs>
          <w:tab w:val="left" w:pos="567"/>
        </w:tabs>
        <w:spacing w:after="301" w:line="480" w:lineRule="auto"/>
        <w:ind w:left="0" w:firstLine="0"/>
        <w:rPr>
          <w:b/>
        </w:rPr>
      </w:pPr>
      <w:r w:rsidRPr="00E469BF">
        <w:rPr>
          <w:b/>
        </w:rPr>
        <w:t xml:space="preserve">         </w:t>
      </w:r>
      <w:r w:rsidR="003D3B9D">
        <w:rPr>
          <w:b/>
        </w:rPr>
        <w:tab/>
      </w:r>
      <w:r w:rsidR="003D3B9D">
        <w:rPr>
          <w:b/>
        </w:rPr>
        <w:tab/>
      </w:r>
      <w:r w:rsidR="003D3B9D">
        <w:rPr>
          <w:b/>
        </w:rPr>
        <w:tab/>
      </w:r>
      <w:r w:rsidR="00A705DA" w:rsidRPr="00E469BF">
        <w:rPr>
          <w:b/>
        </w:rPr>
        <w:t xml:space="preserve">MUSAKWA JA </w:t>
      </w:r>
      <w:r w:rsidR="0015440D">
        <w:rPr>
          <w:b/>
        </w:rPr>
        <w:tab/>
      </w:r>
      <w:r w:rsidR="006B2243" w:rsidRPr="003D3B9D">
        <w:t>:</w:t>
      </w:r>
      <w:r w:rsidR="003D3B9D">
        <w:rPr>
          <w:b/>
        </w:rPr>
        <w:tab/>
      </w:r>
      <w:r w:rsidR="00A705DA" w:rsidRPr="003D3B9D">
        <w:t xml:space="preserve"> I agree</w:t>
      </w:r>
    </w:p>
    <w:p w14:paraId="36481853" w14:textId="77777777" w:rsidR="00E469BF" w:rsidRDefault="00E469BF" w:rsidP="009F3AF0">
      <w:pPr>
        <w:spacing w:after="301" w:line="480" w:lineRule="auto"/>
        <w:ind w:left="0" w:firstLine="0"/>
        <w:rPr>
          <w:i/>
        </w:rPr>
      </w:pPr>
    </w:p>
    <w:p w14:paraId="06D9E659" w14:textId="77777777" w:rsidR="009F3AF0" w:rsidRDefault="009F3AF0" w:rsidP="00A3505C">
      <w:pPr>
        <w:spacing w:after="0" w:line="480" w:lineRule="auto"/>
        <w:ind w:left="0" w:firstLine="0"/>
      </w:pPr>
      <w:proofErr w:type="spellStart"/>
      <w:r>
        <w:rPr>
          <w:i/>
        </w:rPr>
        <w:t>Mavhiringidze</w:t>
      </w:r>
      <w:proofErr w:type="spellEnd"/>
      <w:r>
        <w:rPr>
          <w:i/>
        </w:rPr>
        <w:t xml:space="preserve"> &amp; </w:t>
      </w:r>
      <w:proofErr w:type="spellStart"/>
      <w:r>
        <w:rPr>
          <w:i/>
        </w:rPr>
        <w:t>Mashanyare</w:t>
      </w:r>
      <w:proofErr w:type="spellEnd"/>
      <w:r>
        <w:rPr>
          <w:i/>
        </w:rPr>
        <w:t>,</w:t>
      </w:r>
      <w:r>
        <w:t xml:space="preserve"> appellants’ legal practitioners</w:t>
      </w:r>
      <w:r w:rsidR="00A3505C">
        <w:t>.</w:t>
      </w:r>
    </w:p>
    <w:p w14:paraId="70668EAA" w14:textId="73259700" w:rsidR="009F3AF0" w:rsidRPr="009F3AF0" w:rsidRDefault="009F3AF0" w:rsidP="00A3505C">
      <w:pPr>
        <w:spacing w:after="301" w:line="480" w:lineRule="auto"/>
        <w:ind w:left="0" w:firstLine="0"/>
      </w:pPr>
      <w:proofErr w:type="spellStart"/>
      <w:r>
        <w:rPr>
          <w:i/>
        </w:rPr>
        <w:t>Jumo</w:t>
      </w:r>
      <w:proofErr w:type="spellEnd"/>
      <w:r>
        <w:rPr>
          <w:i/>
        </w:rPr>
        <w:t xml:space="preserve">, </w:t>
      </w:r>
      <w:proofErr w:type="spellStart"/>
      <w:r>
        <w:rPr>
          <w:i/>
        </w:rPr>
        <w:t>Mashoko</w:t>
      </w:r>
      <w:proofErr w:type="spellEnd"/>
      <w:r>
        <w:rPr>
          <w:i/>
        </w:rPr>
        <w:t xml:space="preserve"> &amp; Partners,</w:t>
      </w:r>
      <w:r>
        <w:t xml:space="preserve"> </w:t>
      </w:r>
      <w:r w:rsidR="00F2771F">
        <w:t>1</w:t>
      </w:r>
      <w:r w:rsidR="00F2771F" w:rsidRPr="00F2771F">
        <w:rPr>
          <w:vertAlign w:val="superscript"/>
        </w:rPr>
        <w:t>st</w:t>
      </w:r>
      <w:r w:rsidR="00F2771F">
        <w:t xml:space="preserve"> </w:t>
      </w:r>
      <w:r>
        <w:t>respondent’s legal practitioners</w:t>
      </w:r>
      <w:r w:rsidR="00A3505C">
        <w:t>.</w:t>
      </w:r>
      <w:r>
        <w:t xml:space="preserve"> </w:t>
      </w:r>
    </w:p>
    <w:sectPr w:rsidR="009F3AF0" w:rsidRPr="009F3AF0" w:rsidSect="004D7357">
      <w:headerReference w:type="default" r:id="rId7"/>
      <w:pgSz w:w="11906" w:h="16838"/>
      <w:pgMar w:top="1445" w:right="1436" w:bottom="1446"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68EA0" w14:textId="77777777" w:rsidR="00561BCF" w:rsidRDefault="00561BCF" w:rsidP="00F7483E">
      <w:pPr>
        <w:spacing w:after="0" w:line="240" w:lineRule="auto"/>
      </w:pPr>
      <w:r>
        <w:separator/>
      </w:r>
    </w:p>
  </w:endnote>
  <w:endnote w:type="continuationSeparator" w:id="0">
    <w:p w14:paraId="3641F212" w14:textId="77777777" w:rsidR="00561BCF" w:rsidRDefault="00561BCF" w:rsidP="00F7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C5ACF" w14:textId="77777777" w:rsidR="00561BCF" w:rsidRDefault="00561BCF" w:rsidP="00F7483E">
      <w:pPr>
        <w:spacing w:after="0" w:line="240" w:lineRule="auto"/>
      </w:pPr>
      <w:r>
        <w:separator/>
      </w:r>
    </w:p>
  </w:footnote>
  <w:footnote w:type="continuationSeparator" w:id="0">
    <w:p w14:paraId="5E4C5AD1" w14:textId="77777777" w:rsidR="00561BCF" w:rsidRDefault="00561BCF" w:rsidP="00F74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0D220" w14:textId="77777777" w:rsidR="002B2533" w:rsidRDefault="002B2533">
    <w:pPr>
      <w:pStyle w:val="Header"/>
    </w:pPr>
    <w:r>
      <w:rPr>
        <w:noProof/>
      </w:rPr>
      <mc:AlternateContent>
        <mc:Choice Requires="wps">
          <w:drawing>
            <wp:anchor distT="0" distB="0" distL="114300" distR="114300" simplePos="0" relativeHeight="251660288" behindDoc="0" locked="0" layoutInCell="0" allowOverlap="1" wp14:anchorId="650B99C0" wp14:editId="09163E0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6B419" w14:textId="467FD92F" w:rsidR="002B2533" w:rsidRDefault="00BB3B63" w:rsidP="002B2533">
                          <w:pPr>
                            <w:spacing w:after="0" w:line="240" w:lineRule="auto"/>
                            <w:ind w:left="5755" w:firstLine="5"/>
                            <w:rPr>
                              <w:b/>
                            </w:rPr>
                          </w:pPr>
                          <w:r>
                            <w:rPr>
                              <w:b/>
                            </w:rPr>
                            <w:t xml:space="preserve">       Judgment No. SC 103/</w:t>
                          </w:r>
                          <w:r w:rsidR="002B2533">
                            <w:rPr>
                              <w:b/>
                            </w:rPr>
                            <w:t xml:space="preserve"> 25</w:t>
                          </w:r>
                        </w:p>
                        <w:p w14:paraId="4427FF78" w14:textId="77777777" w:rsidR="002B2533" w:rsidRDefault="002B2533" w:rsidP="002B2533">
                          <w:pPr>
                            <w:spacing w:after="0" w:line="240" w:lineRule="auto"/>
                            <w:rPr>
                              <w:b/>
                            </w:rPr>
                          </w:pPr>
                          <w:r>
                            <w:rPr>
                              <w:b/>
                            </w:rPr>
                            <w:tab/>
                          </w:r>
                          <w:r>
                            <w:rPr>
                              <w:b/>
                            </w:rPr>
                            <w:tab/>
                          </w:r>
                          <w:r>
                            <w:rPr>
                              <w:b/>
                            </w:rPr>
                            <w:tab/>
                          </w:r>
                          <w:r>
                            <w:rPr>
                              <w:b/>
                            </w:rPr>
                            <w:tab/>
                          </w:r>
                          <w:r>
                            <w:rPr>
                              <w:b/>
                            </w:rPr>
                            <w:tab/>
                          </w:r>
                          <w:r>
                            <w:rPr>
                              <w:b/>
                            </w:rPr>
                            <w:tab/>
                          </w:r>
                          <w:r>
                            <w:rPr>
                              <w:b/>
                            </w:rPr>
                            <w:tab/>
                          </w:r>
                          <w:r>
                            <w:rPr>
                              <w:b/>
                            </w:rPr>
                            <w:tab/>
                            <w:t xml:space="preserve">                           Civil Appeal No. SC 301/25</w:t>
                          </w:r>
                        </w:p>
                        <w:p w14:paraId="4D807702" w14:textId="77777777" w:rsidR="002B2533" w:rsidRDefault="002B253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50B99C0"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8B6B419" w14:textId="467FD92F" w:rsidR="002B2533" w:rsidRDefault="00BB3B63" w:rsidP="002B2533">
                    <w:pPr>
                      <w:spacing w:after="0" w:line="240" w:lineRule="auto"/>
                      <w:ind w:left="5755" w:firstLine="5"/>
                      <w:rPr>
                        <w:b/>
                      </w:rPr>
                    </w:pPr>
                    <w:r>
                      <w:rPr>
                        <w:b/>
                      </w:rPr>
                      <w:t xml:space="preserve">       Judgment No. SC 103/</w:t>
                    </w:r>
                    <w:r w:rsidR="002B2533">
                      <w:rPr>
                        <w:b/>
                      </w:rPr>
                      <w:t xml:space="preserve"> 25</w:t>
                    </w:r>
                  </w:p>
                  <w:p w14:paraId="4427FF78" w14:textId="77777777" w:rsidR="002B2533" w:rsidRDefault="002B2533" w:rsidP="002B2533">
                    <w:pPr>
                      <w:spacing w:after="0" w:line="240" w:lineRule="auto"/>
                      <w:rPr>
                        <w:b/>
                      </w:rPr>
                    </w:pPr>
                    <w:r>
                      <w:rPr>
                        <w:b/>
                      </w:rPr>
                      <w:tab/>
                    </w:r>
                    <w:r>
                      <w:rPr>
                        <w:b/>
                      </w:rPr>
                      <w:tab/>
                    </w:r>
                    <w:r>
                      <w:rPr>
                        <w:b/>
                      </w:rPr>
                      <w:tab/>
                    </w:r>
                    <w:r>
                      <w:rPr>
                        <w:b/>
                      </w:rPr>
                      <w:tab/>
                    </w:r>
                    <w:r>
                      <w:rPr>
                        <w:b/>
                      </w:rPr>
                      <w:tab/>
                    </w:r>
                    <w:r>
                      <w:rPr>
                        <w:b/>
                      </w:rPr>
                      <w:tab/>
                    </w:r>
                    <w:r>
                      <w:rPr>
                        <w:b/>
                      </w:rPr>
                      <w:tab/>
                    </w:r>
                    <w:r>
                      <w:rPr>
                        <w:b/>
                      </w:rPr>
                      <w:tab/>
                      <w:t xml:space="preserve">                           Civil Appeal No. SC 301/25</w:t>
                    </w:r>
                  </w:p>
                  <w:p w14:paraId="4D807702" w14:textId="77777777" w:rsidR="002B2533" w:rsidRDefault="002B2533">
                    <w:pPr>
                      <w:spacing w:after="0" w:line="240" w:lineRule="auto"/>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556863C" wp14:editId="536870A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F34331A" w14:textId="77777777" w:rsidR="002B2533" w:rsidRDefault="002B2533">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646154" w:rsidRPr="00646154">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556863C"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F34331A" w14:textId="77777777" w:rsidR="002B2533" w:rsidRDefault="002B2533">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646154" w:rsidRPr="00646154">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A79EB"/>
    <w:multiLevelType w:val="hybridMultilevel"/>
    <w:tmpl w:val="0BAE7EEE"/>
    <w:lvl w:ilvl="0" w:tplc="8DBA8314">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15:restartNumberingAfterBreak="0">
    <w:nsid w:val="223D33B7"/>
    <w:multiLevelType w:val="hybridMultilevel"/>
    <w:tmpl w:val="8446F724"/>
    <w:lvl w:ilvl="0" w:tplc="C53E8C2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280D72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5A6428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CA8CDEF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598C92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4712D52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3D5C7A9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8B6436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DDAC9C9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 w15:restartNumberingAfterBreak="0">
    <w:nsid w:val="27DC5AAE"/>
    <w:multiLevelType w:val="hybridMultilevel"/>
    <w:tmpl w:val="2794DDE2"/>
    <w:lvl w:ilvl="0" w:tplc="D840A130">
      <w:start w:val="1"/>
      <w:numFmt w:val="decimal"/>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3" w15:restartNumberingAfterBreak="0">
    <w:nsid w:val="2B674371"/>
    <w:multiLevelType w:val="hybridMultilevel"/>
    <w:tmpl w:val="200CBDFE"/>
    <w:lvl w:ilvl="0" w:tplc="D840A130">
      <w:start w:val="1"/>
      <w:numFmt w:val="decimal"/>
      <w:lvlText w:val="(%1)"/>
      <w:lvlJc w:val="left"/>
      <w:pPr>
        <w:ind w:left="330"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4" w15:restartNumberingAfterBreak="0">
    <w:nsid w:val="33A16627"/>
    <w:multiLevelType w:val="hybridMultilevel"/>
    <w:tmpl w:val="576AFAB6"/>
    <w:lvl w:ilvl="0" w:tplc="C9E61FC2">
      <w:start w:val="1"/>
      <w:numFmt w:val="decimal"/>
      <w:lvlText w:val="%1."/>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D2B02BE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4EAED38">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0C02252">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0BB689E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5F4BAE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47166F0E">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64A357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C258217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5" w15:restartNumberingAfterBreak="0">
    <w:nsid w:val="391E6783"/>
    <w:multiLevelType w:val="hybridMultilevel"/>
    <w:tmpl w:val="C32ADE76"/>
    <w:lvl w:ilvl="0" w:tplc="066809F2">
      <w:start w:val="1"/>
      <w:numFmt w:val="decimal"/>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6" w15:restartNumberingAfterBreak="0">
    <w:nsid w:val="75481100"/>
    <w:multiLevelType w:val="hybridMultilevel"/>
    <w:tmpl w:val="C8C0EB8E"/>
    <w:lvl w:ilvl="0" w:tplc="675EFED4">
      <w:start w:val="1"/>
      <w:numFmt w:val="decimal"/>
      <w:lvlText w:val="%1."/>
      <w:lvlJc w:val="left"/>
      <w:pPr>
        <w:ind w:left="1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BCA0F078">
      <w:start w:val="1"/>
      <w:numFmt w:val="lowerLetter"/>
      <w:lvlText w:val="%2"/>
      <w:lvlJc w:val="left"/>
      <w:pPr>
        <w:ind w:left="211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DD6C3438">
      <w:start w:val="1"/>
      <w:numFmt w:val="lowerRoman"/>
      <w:lvlText w:val="%3"/>
      <w:lvlJc w:val="left"/>
      <w:pPr>
        <w:ind w:left="283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AF725B7E">
      <w:start w:val="1"/>
      <w:numFmt w:val="decimal"/>
      <w:lvlText w:val="%4"/>
      <w:lvlJc w:val="left"/>
      <w:pPr>
        <w:ind w:left="355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4266BC04">
      <w:start w:val="1"/>
      <w:numFmt w:val="lowerLetter"/>
      <w:lvlText w:val="%5"/>
      <w:lvlJc w:val="left"/>
      <w:pPr>
        <w:ind w:left="427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5DE3FE4">
      <w:start w:val="1"/>
      <w:numFmt w:val="lowerRoman"/>
      <w:lvlText w:val="%6"/>
      <w:lvlJc w:val="left"/>
      <w:pPr>
        <w:ind w:left="499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6548462">
      <w:start w:val="1"/>
      <w:numFmt w:val="decimal"/>
      <w:lvlText w:val="%7"/>
      <w:lvlJc w:val="left"/>
      <w:pPr>
        <w:ind w:left="571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4C107D68">
      <w:start w:val="1"/>
      <w:numFmt w:val="lowerLetter"/>
      <w:lvlText w:val="%8"/>
      <w:lvlJc w:val="left"/>
      <w:pPr>
        <w:ind w:left="643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7C3C8546">
      <w:start w:val="1"/>
      <w:numFmt w:val="lowerRoman"/>
      <w:lvlText w:val="%9"/>
      <w:lvlJc w:val="left"/>
      <w:pPr>
        <w:ind w:left="715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7" w15:restartNumberingAfterBreak="0">
    <w:nsid w:val="778F6C89"/>
    <w:multiLevelType w:val="hybridMultilevel"/>
    <w:tmpl w:val="76DC3944"/>
    <w:lvl w:ilvl="0" w:tplc="CCFA44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3E"/>
    <w:rsid w:val="000741D0"/>
    <w:rsid w:val="000918D8"/>
    <w:rsid w:val="000A72F5"/>
    <w:rsid w:val="0010637F"/>
    <w:rsid w:val="001069B9"/>
    <w:rsid w:val="00144AE7"/>
    <w:rsid w:val="0015440D"/>
    <w:rsid w:val="0016622C"/>
    <w:rsid w:val="001674C9"/>
    <w:rsid w:val="00192D26"/>
    <w:rsid w:val="001B38E4"/>
    <w:rsid w:val="001D65C9"/>
    <w:rsid w:val="00200692"/>
    <w:rsid w:val="00210023"/>
    <w:rsid w:val="00220353"/>
    <w:rsid w:val="00220661"/>
    <w:rsid w:val="002265CD"/>
    <w:rsid w:val="002629C0"/>
    <w:rsid w:val="00281939"/>
    <w:rsid w:val="002A0F1F"/>
    <w:rsid w:val="002A7298"/>
    <w:rsid w:val="002B2533"/>
    <w:rsid w:val="002D5F98"/>
    <w:rsid w:val="00306DDA"/>
    <w:rsid w:val="0032735C"/>
    <w:rsid w:val="00340A9B"/>
    <w:rsid w:val="0034675C"/>
    <w:rsid w:val="003A45F0"/>
    <w:rsid w:val="003C5750"/>
    <w:rsid w:val="003D3B9D"/>
    <w:rsid w:val="003F3571"/>
    <w:rsid w:val="004110BE"/>
    <w:rsid w:val="00424E85"/>
    <w:rsid w:val="00432523"/>
    <w:rsid w:val="00436BDA"/>
    <w:rsid w:val="00454BAB"/>
    <w:rsid w:val="004655F9"/>
    <w:rsid w:val="00474CBD"/>
    <w:rsid w:val="004A49A2"/>
    <w:rsid w:val="004D7357"/>
    <w:rsid w:val="004F7513"/>
    <w:rsid w:val="00514ED8"/>
    <w:rsid w:val="00545B6A"/>
    <w:rsid w:val="00561BCF"/>
    <w:rsid w:val="00592993"/>
    <w:rsid w:val="005A74F8"/>
    <w:rsid w:val="005E52B3"/>
    <w:rsid w:val="005F5325"/>
    <w:rsid w:val="00602861"/>
    <w:rsid w:val="00612EBB"/>
    <w:rsid w:val="00646154"/>
    <w:rsid w:val="006556B8"/>
    <w:rsid w:val="006B2243"/>
    <w:rsid w:val="006E1669"/>
    <w:rsid w:val="00702CFF"/>
    <w:rsid w:val="00705BBA"/>
    <w:rsid w:val="00721B9E"/>
    <w:rsid w:val="007366B3"/>
    <w:rsid w:val="0075576E"/>
    <w:rsid w:val="00796A53"/>
    <w:rsid w:val="007B4050"/>
    <w:rsid w:val="007D5DF9"/>
    <w:rsid w:val="00807281"/>
    <w:rsid w:val="008A5D37"/>
    <w:rsid w:val="00924571"/>
    <w:rsid w:val="0098754B"/>
    <w:rsid w:val="009B1AD7"/>
    <w:rsid w:val="009F3AF0"/>
    <w:rsid w:val="00A04CAA"/>
    <w:rsid w:val="00A0769C"/>
    <w:rsid w:val="00A143F2"/>
    <w:rsid w:val="00A25D73"/>
    <w:rsid w:val="00A30712"/>
    <w:rsid w:val="00A3505C"/>
    <w:rsid w:val="00A63655"/>
    <w:rsid w:val="00A705DA"/>
    <w:rsid w:val="00A768D3"/>
    <w:rsid w:val="00AA1EDB"/>
    <w:rsid w:val="00AA6D24"/>
    <w:rsid w:val="00AE156C"/>
    <w:rsid w:val="00B01D9F"/>
    <w:rsid w:val="00B11E8A"/>
    <w:rsid w:val="00B26F3E"/>
    <w:rsid w:val="00B33627"/>
    <w:rsid w:val="00B414CD"/>
    <w:rsid w:val="00B60345"/>
    <w:rsid w:val="00B75591"/>
    <w:rsid w:val="00BB3B4C"/>
    <w:rsid w:val="00BB3B63"/>
    <w:rsid w:val="00BC6912"/>
    <w:rsid w:val="00BD464A"/>
    <w:rsid w:val="00C02B2E"/>
    <w:rsid w:val="00C2057C"/>
    <w:rsid w:val="00C754BD"/>
    <w:rsid w:val="00C809A2"/>
    <w:rsid w:val="00C833BE"/>
    <w:rsid w:val="00CB1D98"/>
    <w:rsid w:val="00CF4D2F"/>
    <w:rsid w:val="00D129A3"/>
    <w:rsid w:val="00D16EB6"/>
    <w:rsid w:val="00D30F45"/>
    <w:rsid w:val="00D71648"/>
    <w:rsid w:val="00D71E41"/>
    <w:rsid w:val="00D7419B"/>
    <w:rsid w:val="00D74C81"/>
    <w:rsid w:val="00D855E6"/>
    <w:rsid w:val="00DC0B15"/>
    <w:rsid w:val="00DC6C3A"/>
    <w:rsid w:val="00DD1D18"/>
    <w:rsid w:val="00DE5CDA"/>
    <w:rsid w:val="00DF3BAB"/>
    <w:rsid w:val="00DF649A"/>
    <w:rsid w:val="00E03380"/>
    <w:rsid w:val="00E44ABF"/>
    <w:rsid w:val="00E469BF"/>
    <w:rsid w:val="00E4748B"/>
    <w:rsid w:val="00E62345"/>
    <w:rsid w:val="00E871E4"/>
    <w:rsid w:val="00EB7C7A"/>
    <w:rsid w:val="00F0063A"/>
    <w:rsid w:val="00F07FBD"/>
    <w:rsid w:val="00F2771F"/>
    <w:rsid w:val="00F7483E"/>
    <w:rsid w:val="00F80566"/>
    <w:rsid w:val="00FB518E"/>
    <w:rsid w:val="00FE7A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59B828"/>
  <w15:chartTrackingRefBased/>
  <w15:docId w15:val="{AE21AC9A-29A2-464E-82E9-6254C935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83E"/>
    <w:pPr>
      <w:spacing w:after="302" w:line="348" w:lineRule="auto"/>
      <w:ind w:left="-5" w:hanging="10"/>
      <w:jc w:val="both"/>
    </w:pPr>
    <w:rPr>
      <w:rFonts w:ascii="Times New Roman" w:eastAsia="Times New Roman" w:hAnsi="Times New Roman" w:cs="Times New Roman"/>
      <w:color w:val="000000"/>
      <w:sz w:val="24"/>
      <w:lang w:eastAsia="en-ZW"/>
    </w:rPr>
  </w:style>
  <w:style w:type="paragraph" w:styleId="Heading1">
    <w:name w:val="heading 1"/>
    <w:next w:val="Normal"/>
    <w:link w:val="Heading1Char"/>
    <w:uiPriority w:val="9"/>
    <w:qFormat/>
    <w:rsid w:val="00F7483E"/>
    <w:pPr>
      <w:keepNext/>
      <w:keepLines/>
      <w:spacing w:after="294" w:line="244" w:lineRule="auto"/>
      <w:ind w:left="-5" w:right="-15" w:hanging="10"/>
      <w:outlineLvl w:val="0"/>
    </w:pPr>
    <w:rPr>
      <w:rFonts w:ascii="Times New Roman" w:eastAsia="Times New Roman" w:hAnsi="Times New Roman" w:cs="Times New Roman"/>
      <w:b/>
      <w:color w:val="000000"/>
      <w:sz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3E"/>
    <w:rPr>
      <w:rFonts w:ascii="Times New Roman" w:eastAsia="Times New Roman" w:hAnsi="Times New Roman" w:cs="Times New Roman"/>
      <w:b/>
      <w:color w:val="000000"/>
      <w:sz w:val="24"/>
      <w:lang w:eastAsia="en-ZW"/>
    </w:rPr>
  </w:style>
  <w:style w:type="character" w:customStyle="1" w:styleId="footnotedescriptionChar">
    <w:name w:val="footnote description Char"/>
    <w:link w:val="footnotedescription"/>
    <w:locked/>
    <w:rsid w:val="00F7483E"/>
    <w:rPr>
      <w:rFonts w:ascii="Calibri" w:eastAsia="Calibri" w:hAnsi="Calibri" w:cs="Calibri"/>
      <w:color w:val="000000"/>
      <w:sz w:val="20"/>
    </w:rPr>
  </w:style>
  <w:style w:type="paragraph" w:customStyle="1" w:styleId="footnotedescription">
    <w:name w:val="footnote description"/>
    <w:next w:val="Normal"/>
    <w:link w:val="footnotedescriptionChar"/>
    <w:rsid w:val="00F7483E"/>
    <w:pPr>
      <w:spacing w:after="32" w:line="240" w:lineRule="auto"/>
    </w:pPr>
    <w:rPr>
      <w:rFonts w:ascii="Calibri" w:eastAsia="Calibri" w:hAnsi="Calibri" w:cs="Calibri"/>
      <w:color w:val="000000"/>
      <w:sz w:val="20"/>
    </w:rPr>
  </w:style>
  <w:style w:type="character" w:customStyle="1" w:styleId="footnotemark">
    <w:name w:val="footnote mark"/>
    <w:rsid w:val="00F7483E"/>
    <w:rPr>
      <w:rFonts w:ascii="Calibri" w:eastAsia="Calibri" w:hAnsi="Calibri" w:cs="Calibri" w:hint="default"/>
      <w:color w:val="000000"/>
      <w:sz w:val="20"/>
      <w:vertAlign w:val="superscript"/>
    </w:rPr>
  </w:style>
  <w:style w:type="paragraph" w:styleId="Header">
    <w:name w:val="header"/>
    <w:basedOn w:val="Normal"/>
    <w:link w:val="HeaderChar"/>
    <w:uiPriority w:val="99"/>
    <w:unhideWhenUsed/>
    <w:rsid w:val="00DF3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BAB"/>
    <w:rPr>
      <w:rFonts w:ascii="Times New Roman" w:eastAsia="Times New Roman" w:hAnsi="Times New Roman" w:cs="Times New Roman"/>
      <w:color w:val="000000"/>
      <w:sz w:val="24"/>
      <w:lang w:eastAsia="en-ZW"/>
    </w:rPr>
  </w:style>
  <w:style w:type="paragraph" w:styleId="Footer">
    <w:name w:val="footer"/>
    <w:basedOn w:val="Normal"/>
    <w:link w:val="FooterChar"/>
    <w:uiPriority w:val="99"/>
    <w:unhideWhenUsed/>
    <w:rsid w:val="00DF3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BAB"/>
    <w:rPr>
      <w:rFonts w:ascii="Times New Roman" w:eastAsia="Times New Roman" w:hAnsi="Times New Roman" w:cs="Times New Roman"/>
      <w:color w:val="000000"/>
      <w:sz w:val="24"/>
      <w:lang w:eastAsia="en-ZW"/>
    </w:rPr>
  </w:style>
  <w:style w:type="paragraph" w:styleId="ListParagraph">
    <w:name w:val="List Paragraph"/>
    <w:basedOn w:val="Normal"/>
    <w:uiPriority w:val="34"/>
    <w:qFormat/>
    <w:rsid w:val="00592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39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15</cp:revision>
  <dcterms:created xsi:type="dcterms:W3CDTF">2025-11-03T09:21:00Z</dcterms:created>
  <dcterms:modified xsi:type="dcterms:W3CDTF">2025-11-03T10:16:00Z</dcterms:modified>
</cp:coreProperties>
</file>