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2A" w:rsidRDefault="0086022A" w:rsidP="0086022A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proofErr w:type="gramStart"/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</w:t>
      </w:r>
      <w:proofErr w:type="gramEnd"/>
      <w:r>
        <w:rPr>
          <w:b/>
          <w:sz w:val="22"/>
          <w:szCs w:val="22"/>
        </w:rPr>
        <w:t xml:space="preserve"> LC/H/</w:t>
      </w:r>
      <w:r w:rsidR="003A1943">
        <w:rPr>
          <w:b/>
          <w:sz w:val="22"/>
          <w:szCs w:val="22"/>
        </w:rPr>
        <w:t>177</w:t>
      </w:r>
      <w:r>
        <w:rPr>
          <w:b/>
          <w:sz w:val="22"/>
          <w:szCs w:val="22"/>
        </w:rPr>
        <w:t>/2016</w:t>
      </w:r>
    </w:p>
    <w:p w:rsidR="0086022A" w:rsidRDefault="0086022A" w:rsidP="0086022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23 FEBRUARY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  <w:t xml:space="preserve">       CASE NO. LC/H/899/15</w:t>
      </w:r>
    </w:p>
    <w:p w:rsidR="0086022A" w:rsidRDefault="0086022A" w:rsidP="0086022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 18 MARCH 2016</w:t>
      </w:r>
    </w:p>
    <w:p w:rsidR="0086022A" w:rsidRDefault="0086022A" w:rsidP="0086022A">
      <w:pPr>
        <w:spacing w:line="360" w:lineRule="auto"/>
        <w:jc w:val="both"/>
      </w:pPr>
      <w:r>
        <w:t>In the matter between:-</w:t>
      </w:r>
    </w:p>
    <w:p w:rsidR="0086022A" w:rsidRDefault="0086022A" w:rsidP="0086022A">
      <w:pPr>
        <w:spacing w:line="360" w:lineRule="auto"/>
        <w:jc w:val="both"/>
      </w:pPr>
    </w:p>
    <w:p w:rsidR="0086022A" w:rsidRDefault="00481BFC" w:rsidP="0086022A">
      <w:pPr>
        <w:spacing w:line="360" w:lineRule="auto"/>
        <w:jc w:val="both"/>
        <w:rPr>
          <w:b/>
        </w:rPr>
      </w:pPr>
      <w:r>
        <w:rPr>
          <w:b/>
        </w:rPr>
        <w:t>GOODWAY TAHWA MVU</w:t>
      </w:r>
      <w:r w:rsidR="002C5005">
        <w:rPr>
          <w:b/>
        </w:rPr>
        <w:t>DUDU</w:t>
      </w:r>
      <w:r w:rsidR="0086022A">
        <w:rPr>
          <w:b/>
        </w:rPr>
        <w:tab/>
      </w:r>
      <w:r w:rsidR="0086022A">
        <w:rPr>
          <w:b/>
        </w:rPr>
        <w:tab/>
      </w:r>
      <w:r w:rsidR="0086022A">
        <w:rPr>
          <w:b/>
        </w:rPr>
        <w:tab/>
      </w:r>
      <w:r w:rsidR="0086022A">
        <w:rPr>
          <w:b/>
        </w:rPr>
        <w:tab/>
      </w:r>
      <w:r w:rsidR="0086022A">
        <w:rPr>
          <w:b/>
        </w:rPr>
        <w:tab/>
        <w:t xml:space="preserve">Appellant </w:t>
      </w:r>
    </w:p>
    <w:p w:rsidR="0086022A" w:rsidRDefault="0086022A" w:rsidP="0086022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86022A" w:rsidRDefault="00481BFC" w:rsidP="0086022A">
      <w:pPr>
        <w:spacing w:line="360" w:lineRule="auto"/>
        <w:jc w:val="both"/>
        <w:rPr>
          <w:b/>
        </w:rPr>
      </w:pPr>
      <w:r>
        <w:rPr>
          <w:b/>
        </w:rPr>
        <w:t>CHITUNGWIZA MUNICIPALITY</w:t>
      </w:r>
      <w:r w:rsidR="0086022A">
        <w:rPr>
          <w:b/>
        </w:rPr>
        <w:tab/>
      </w:r>
      <w:r w:rsidR="0086022A">
        <w:rPr>
          <w:b/>
        </w:rPr>
        <w:tab/>
      </w:r>
      <w:r w:rsidR="0086022A">
        <w:rPr>
          <w:b/>
        </w:rPr>
        <w:tab/>
      </w:r>
      <w:r w:rsidR="0086022A">
        <w:rPr>
          <w:b/>
        </w:rPr>
        <w:tab/>
      </w:r>
      <w:r w:rsidR="0086022A">
        <w:rPr>
          <w:b/>
        </w:rPr>
        <w:tab/>
        <w:t>Respondent</w:t>
      </w:r>
    </w:p>
    <w:p w:rsidR="0086022A" w:rsidRDefault="0086022A" w:rsidP="0086022A">
      <w:pPr>
        <w:spacing w:line="360" w:lineRule="auto"/>
        <w:jc w:val="both"/>
        <w:rPr>
          <w:b/>
        </w:rPr>
      </w:pPr>
    </w:p>
    <w:p w:rsidR="00E45F43" w:rsidRDefault="0086022A" w:rsidP="0086022A">
      <w:pPr>
        <w:spacing w:line="360" w:lineRule="auto"/>
        <w:jc w:val="both"/>
      </w:pPr>
      <w:r>
        <w:t xml:space="preserve">Before The </w:t>
      </w:r>
      <w:proofErr w:type="spellStart"/>
      <w:r>
        <w:t>Honourable</w:t>
      </w:r>
      <w:r w:rsidR="00E45F43">
        <w:t>s</w:t>
      </w:r>
      <w:proofErr w:type="spellEnd"/>
      <w:r w:rsidR="00E45F43">
        <w:t xml:space="preserve"> E. </w:t>
      </w:r>
      <w:proofErr w:type="spellStart"/>
      <w:r w:rsidR="00E45F43">
        <w:t>Makamure</w:t>
      </w:r>
      <w:proofErr w:type="spellEnd"/>
      <w:r w:rsidR="00E45F43">
        <w:t xml:space="preserve"> and</w:t>
      </w:r>
      <w:r>
        <w:t xml:space="preserve"> </w:t>
      </w:r>
    </w:p>
    <w:p w:rsidR="0086022A" w:rsidRDefault="00E45F43" w:rsidP="00E45F43">
      <w:pPr>
        <w:spacing w:line="360" w:lineRule="auto"/>
        <w:ind w:left="2160"/>
        <w:jc w:val="both"/>
      </w:pPr>
      <w:r>
        <w:t xml:space="preserve">      </w:t>
      </w:r>
      <w:r w:rsidR="0086022A">
        <w:t>F.C. Maxwell, Judge</w:t>
      </w:r>
      <w:r>
        <w:t>s</w:t>
      </w:r>
    </w:p>
    <w:p w:rsidR="0086022A" w:rsidRDefault="0086022A" w:rsidP="0086022A">
      <w:pPr>
        <w:spacing w:line="360" w:lineRule="auto"/>
        <w:jc w:val="both"/>
      </w:pPr>
    </w:p>
    <w:p w:rsidR="0086022A" w:rsidRDefault="0086022A" w:rsidP="0086022A">
      <w:pPr>
        <w:spacing w:line="360" w:lineRule="auto"/>
        <w:jc w:val="both"/>
        <w:rPr>
          <w:b/>
        </w:rPr>
      </w:pPr>
      <w:r>
        <w:rPr>
          <w:b/>
        </w:rPr>
        <w:t>Appellant</w:t>
      </w:r>
      <w:r w:rsidR="00481BFC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81BFC">
        <w:rPr>
          <w:b/>
        </w:rPr>
        <w:t>In person</w:t>
      </w:r>
    </w:p>
    <w:p w:rsidR="0086022A" w:rsidRDefault="0086022A" w:rsidP="0086022A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r w:rsidR="002C7C4F">
        <w:rPr>
          <w:b/>
        </w:rPr>
        <w:t>Ms S Nyagura</w:t>
      </w:r>
      <w:r>
        <w:rPr>
          <w:b/>
        </w:rPr>
        <w:t xml:space="preserve"> (Legal Practitioner)</w:t>
      </w:r>
    </w:p>
    <w:p w:rsidR="0086022A" w:rsidRDefault="0086022A" w:rsidP="0086022A">
      <w:pPr>
        <w:spacing w:line="360" w:lineRule="auto"/>
        <w:jc w:val="both"/>
        <w:rPr>
          <w:b/>
          <w:sz w:val="28"/>
          <w:szCs w:val="28"/>
        </w:rPr>
      </w:pPr>
    </w:p>
    <w:p w:rsidR="00BC36BF" w:rsidRDefault="0086022A" w:rsidP="0086022A">
      <w:pPr>
        <w:rPr>
          <w:b/>
        </w:rPr>
      </w:pPr>
      <w:r>
        <w:rPr>
          <w:b/>
        </w:rPr>
        <w:t>MAXWELL, J</w:t>
      </w:r>
    </w:p>
    <w:p w:rsidR="002C5005" w:rsidRDefault="002C5005" w:rsidP="0086022A">
      <w:pPr>
        <w:rPr>
          <w:b/>
        </w:rPr>
      </w:pPr>
    </w:p>
    <w:bookmarkEnd w:id="0"/>
    <w:p w:rsidR="002C5005" w:rsidRDefault="002C5005" w:rsidP="002C5005">
      <w:pPr>
        <w:spacing w:line="360" w:lineRule="auto"/>
        <w:jc w:val="both"/>
        <w:rPr>
          <w:b/>
        </w:rPr>
      </w:pPr>
    </w:p>
    <w:p w:rsidR="002C7C4F" w:rsidRDefault="002C7C4F" w:rsidP="002C5005">
      <w:pPr>
        <w:spacing w:line="360" w:lineRule="auto"/>
        <w:jc w:val="both"/>
      </w:pPr>
      <w:r>
        <w:rPr>
          <w:b/>
        </w:rPr>
        <w:tab/>
      </w:r>
      <w:r w:rsidRPr="002C7C4F">
        <w:t>At the hearing of this matter</w:t>
      </w:r>
      <w:r w:rsidR="007E5D70">
        <w:t xml:space="preserve"> respondent raised a point </w:t>
      </w:r>
      <w:r w:rsidR="007E5D70" w:rsidRPr="00EA737E">
        <w:rPr>
          <w:i/>
        </w:rPr>
        <w:t xml:space="preserve">in limine </w:t>
      </w:r>
      <w:r w:rsidR="007E5D70">
        <w:t>which is the subject of this judgment.</w:t>
      </w:r>
    </w:p>
    <w:p w:rsidR="007E5D70" w:rsidRDefault="007E5D70" w:rsidP="00EA737E">
      <w:pPr>
        <w:jc w:val="both"/>
      </w:pPr>
    </w:p>
    <w:p w:rsidR="007E5D70" w:rsidRDefault="007E5D70" w:rsidP="007E5D70">
      <w:pPr>
        <w:spacing w:line="360" w:lineRule="auto"/>
        <w:ind w:firstLine="720"/>
        <w:jc w:val="both"/>
      </w:pPr>
      <w:r>
        <w:t>Appellant noted an appeal on 9 October 2015.  The notice of appeal has twenty-four pages.  The grounds of appeal are in pages 19 to 24, numbering 9 with each having four or more subsections.  In summary, Appellant is aggrieved by</w:t>
      </w:r>
    </w:p>
    <w:p w:rsidR="007E5D70" w:rsidRDefault="007E5D70" w:rsidP="00EA737E">
      <w:pPr>
        <w:jc w:val="both"/>
      </w:pPr>
    </w:p>
    <w:p w:rsidR="007E5D70" w:rsidRDefault="004A746D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failure by the Arbitrator </w:t>
      </w:r>
      <w:r w:rsidR="005C2905">
        <w:t>to</w:t>
      </w:r>
      <w:r>
        <w:t xml:space="preserve"> comply with the Supreme Court Civil Appeal NO SC 129/11 of 28 March 2014;</w:t>
      </w:r>
    </w:p>
    <w:p w:rsidR="00B34B69" w:rsidRDefault="00342283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r>
        <w:t>failure by the Arbitrator to comply with the Labour Court Judgment NO. LC/H/541/14 of 15 August 2014 as amended on</w:t>
      </w:r>
      <w:r w:rsidR="00B34B69">
        <w:t xml:space="preserve"> 31 October 2014;</w:t>
      </w:r>
    </w:p>
    <w:p w:rsidR="00B34B69" w:rsidRDefault="00B34B69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r>
        <w:t>failure by the Arbitrator to comply with the Labour Court Order No. LC/H/1249/15 of 15 July 2015;</w:t>
      </w:r>
    </w:p>
    <w:p w:rsidR="004A746D" w:rsidRDefault="00B34B69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proofErr w:type="gramStart"/>
      <w:r>
        <w:lastRenderedPageBreak/>
        <w:t>failure</w:t>
      </w:r>
      <w:proofErr w:type="gramEnd"/>
      <w:r>
        <w:t xml:space="preserve"> by the Arbitrator to complete the quantification within the 30-day</w:t>
      </w:r>
      <w:r w:rsidR="006C7C54">
        <w:t xml:space="preserve"> </w:t>
      </w:r>
      <w:r w:rsidR="00393B13">
        <w:t>deadline as ordered by the Labour Court in Labour Court Order No. LC/H/1249/15 of 15 July</w:t>
      </w:r>
      <w:r w:rsidR="00F473B8">
        <w:t xml:space="preserve"> 2015;</w:t>
      </w:r>
    </w:p>
    <w:p w:rsidR="00F473B8" w:rsidRDefault="00F473B8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proofErr w:type="gramStart"/>
      <w:r>
        <w:t>failure</w:t>
      </w:r>
      <w:proofErr w:type="gramEnd"/>
      <w:r>
        <w:t xml:space="preserve"> by the Arbitrator to award claimant his claim of $8 594 152.60.</w:t>
      </w:r>
    </w:p>
    <w:p w:rsidR="00F473B8" w:rsidRDefault="00F473B8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r>
        <w:t>refere</w:t>
      </w:r>
      <w:r w:rsidR="00607626">
        <w:t>nce</w:t>
      </w:r>
      <w:r>
        <w:t xml:space="preserve"> by the Arbitrator of an appeal on a question of law, case No. LC/H/69/08 lodged with the Labour Court on 5 August 2010 to the Labour Officer/provincial Labour Officer/impartial authority to </w:t>
      </w:r>
      <w:r w:rsidR="00607626">
        <w:t>dispose of the matter by conciliation.</w:t>
      </w:r>
    </w:p>
    <w:p w:rsidR="005D0474" w:rsidRDefault="005D0474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r>
        <w:t>Altering of Court judgments orders issued by Superior Courts</w:t>
      </w:r>
      <w:r w:rsidR="00103ACF">
        <w:t xml:space="preserve"> by the Arbitrator by issuing ne</w:t>
      </w:r>
      <w:r>
        <w:t>w directives/terms of reference</w:t>
      </w:r>
      <w:r w:rsidR="0098370C">
        <w:t xml:space="preserve"> for conciliation in the form of letters addressed to appellant;</w:t>
      </w:r>
    </w:p>
    <w:p w:rsidR="0098370C" w:rsidRDefault="0098370C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r>
        <w:t>Arb</w:t>
      </w:r>
      <w:r w:rsidR="0072299A">
        <w:t xml:space="preserve">itrator issuing new directives/terms of reference after recusing </w:t>
      </w:r>
      <w:r w:rsidR="001F141D">
        <w:t>herself</w:t>
      </w:r>
      <w:r w:rsidR="0072299A">
        <w:t xml:space="preserve"> from </w:t>
      </w:r>
      <w:r w:rsidR="00A27667">
        <w:t xml:space="preserve">the quantification proceedings </w:t>
      </w:r>
      <w:r w:rsidR="0072299A">
        <w:t xml:space="preserve"> and</w:t>
      </w:r>
    </w:p>
    <w:p w:rsidR="0072299A" w:rsidRDefault="00F26581" w:rsidP="007E5D70">
      <w:pPr>
        <w:pStyle w:val="ListParagraph"/>
        <w:numPr>
          <w:ilvl w:val="0"/>
          <w:numId w:val="1"/>
        </w:numPr>
        <w:spacing w:line="360" w:lineRule="auto"/>
        <w:jc w:val="both"/>
      </w:pPr>
      <w:r>
        <w:t>Arbitrator</w:t>
      </w:r>
      <w:r w:rsidR="0072299A">
        <w:t xml:space="preserve"> not applying</w:t>
      </w:r>
      <w:r w:rsidR="00A27667">
        <w:t xml:space="preserve"> her</w:t>
      </w:r>
      <w:r w:rsidR="0072299A">
        <w:t xml:space="preserve"> </w:t>
      </w:r>
      <w:r>
        <w:t>mind to the issues</w:t>
      </w:r>
      <w:r w:rsidR="00993FBF">
        <w:t xml:space="preserve"> before her.</w:t>
      </w:r>
    </w:p>
    <w:p w:rsidR="001044E8" w:rsidRDefault="001044E8" w:rsidP="00EA737E">
      <w:pPr>
        <w:jc w:val="both"/>
      </w:pPr>
    </w:p>
    <w:p w:rsidR="001044E8" w:rsidRDefault="001044E8" w:rsidP="00A74C53">
      <w:pPr>
        <w:spacing w:line="360" w:lineRule="auto"/>
        <w:ind w:firstLine="720"/>
        <w:jc w:val="both"/>
      </w:pPr>
      <w:r>
        <w:t>Appellant prayed for the setting aside</w:t>
      </w:r>
      <w:r w:rsidR="00170C7F">
        <w:t xml:space="preserve"> of the Arbitrator’s decision, an order that respondent pays him $8 594 152.60 alternatively that this Court quantifies back pay and damages taking into account the judicial </w:t>
      </w:r>
      <w:r w:rsidR="00E02D3F">
        <w:t>decisions of the Supreme Court and the Labour Court referred to above.</w:t>
      </w:r>
    </w:p>
    <w:p w:rsidR="00A74C53" w:rsidRDefault="00A74C53" w:rsidP="00EA737E">
      <w:pPr>
        <w:ind w:firstLine="720"/>
        <w:jc w:val="both"/>
      </w:pPr>
    </w:p>
    <w:p w:rsidR="00A74C53" w:rsidRDefault="00A74C53" w:rsidP="00A74C53">
      <w:pPr>
        <w:spacing w:line="360" w:lineRule="auto"/>
        <w:ind w:firstLine="720"/>
        <w:jc w:val="both"/>
      </w:pPr>
      <w:r>
        <w:t xml:space="preserve">In response respondent pointed out that the appeal is improperly before the court as it </w:t>
      </w:r>
      <w:r w:rsidR="00103517">
        <w:t>seeks to challenge procedural aspects of the matter.  Respondent went on to respond to each of the issues raised in the grounds of appeal on the merits.</w:t>
      </w:r>
    </w:p>
    <w:p w:rsidR="007F3509" w:rsidRDefault="007F3509" w:rsidP="00EA737E">
      <w:pPr>
        <w:ind w:firstLine="720"/>
        <w:jc w:val="both"/>
      </w:pPr>
    </w:p>
    <w:p w:rsidR="001F3A20" w:rsidRDefault="007F3509" w:rsidP="00A74C53">
      <w:pPr>
        <w:spacing w:line="360" w:lineRule="auto"/>
        <w:ind w:firstLine="720"/>
        <w:jc w:val="both"/>
      </w:pPr>
      <w:r>
        <w:t>The rules of this Court provide for appeals and reviews separately.  Appeal proceedings are governed</w:t>
      </w:r>
      <w:r w:rsidR="00CA7F46">
        <w:t xml:space="preserve"> by Rule 15 of SI 59/06 whilst review proceedings are gover</w:t>
      </w:r>
      <w:r w:rsidR="003810B1">
        <w:t xml:space="preserve">ned by Rule 16.  It is therefore obligatory for litigants to use the correct </w:t>
      </w:r>
      <w:r w:rsidR="002622FF">
        <w:t>procedure when approaching this court.  The distinction</w:t>
      </w:r>
      <w:r w:rsidR="001F3A20">
        <w:t xml:space="preserve"> between a review and an appeal has been stated time and again in our Courts.  As stated in </w:t>
      </w:r>
      <w:r w:rsidR="001F3A20" w:rsidRPr="00EA737E">
        <w:rPr>
          <w:i/>
        </w:rPr>
        <w:t xml:space="preserve">Muringi </w:t>
      </w:r>
      <w:r w:rsidR="001F3A20">
        <w:t xml:space="preserve">v </w:t>
      </w:r>
      <w:r w:rsidR="001F3A20" w:rsidRPr="00EA737E">
        <w:rPr>
          <w:i/>
        </w:rPr>
        <w:t>Air Zim</w:t>
      </w:r>
      <w:r w:rsidR="001F3A20">
        <w:t xml:space="preserve"> </w:t>
      </w:r>
      <w:r w:rsidR="001F3A20" w:rsidRPr="00663E66">
        <w:rPr>
          <w:i/>
        </w:rPr>
        <w:t>Corporation &amp; Anor</w:t>
      </w:r>
      <w:r w:rsidR="001F3A20">
        <w:t xml:space="preserve"> 1997 (2) ZLR 488.</w:t>
      </w:r>
    </w:p>
    <w:p w:rsidR="001F3A20" w:rsidRDefault="001F3A20" w:rsidP="00663E66">
      <w:pPr>
        <w:ind w:firstLine="720"/>
        <w:jc w:val="both"/>
      </w:pPr>
    </w:p>
    <w:p w:rsidR="004E6C0B" w:rsidRPr="00663E66" w:rsidRDefault="004E6C0B" w:rsidP="00663E66">
      <w:pPr>
        <w:spacing w:line="276" w:lineRule="auto"/>
        <w:ind w:left="720"/>
        <w:jc w:val="both"/>
        <w:rPr>
          <w:sz w:val="22"/>
          <w:szCs w:val="22"/>
        </w:rPr>
      </w:pPr>
      <w:r w:rsidRPr="00663E66">
        <w:rPr>
          <w:sz w:val="22"/>
          <w:szCs w:val="22"/>
        </w:rPr>
        <w:t>“Judicial review, as the phrase implies, is concerned not with the correctness of the decision but with the decision-making process.”</w:t>
      </w:r>
    </w:p>
    <w:p w:rsidR="004E6C0B" w:rsidRDefault="004E6C0B" w:rsidP="00663E66">
      <w:pPr>
        <w:ind w:firstLine="720"/>
        <w:jc w:val="both"/>
      </w:pPr>
    </w:p>
    <w:p w:rsidR="00A37546" w:rsidRDefault="004E6C0B" w:rsidP="00A74C53">
      <w:pPr>
        <w:spacing w:line="360" w:lineRule="auto"/>
        <w:ind w:firstLine="720"/>
        <w:jc w:val="both"/>
      </w:pPr>
      <w:r>
        <w:lastRenderedPageBreak/>
        <w:t xml:space="preserve">An </w:t>
      </w:r>
      <w:r w:rsidR="00125477">
        <w:t>application</w:t>
      </w:r>
      <w:r>
        <w:t xml:space="preserve"> for review challenges</w:t>
      </w:r>
      <w:r w:rsidR="00DC0C74">
        <w:t xml:space="preserve"> procedural irregularities and not the substantive merits of the decision sought to be impugned.  See </w:t>
      </w:r>
      <w:r w:rsidR="00A27667">
        <w:rPr>
          <w:i/>
        </w:rPr>
        <w:t>Nambu</w:t>
      </w:r>
      <w:r w:rsidR="00DD0E33" w:rsidRPr="00663E66">
        <w:rPr>
          <w:i/>
        </w:rPr>
        <w:t>ta &amp; Ors</w:t>
      </w:r>
      <w:r w:rsidR="00DD0E33">
        <w:t xml:space="preserve"> v </w:t>
      </w:r>
      <w:r w:rsidR="00DD0E33" w:rsidRPr="00FF13D6">
        <w:rPr>
          <w:i/>
        </w:rPr>
        <w:t>Dunlop Zimbabwe Ltd &amp; Anor</w:t>
      </w:r>
      <w:r w:rsidR="00DD0E33">
        <w:t xml:space="preserve"> HB 14/04 and </w:t>
      </w:r>
      <w:r w:rsidR="00DD0E33" w:rsidRPr="00663E66">
        <w:rPr>
          <w:i/>
        </w:rPr>
        <w:t>Dogo</w:t>
      </w:r>
      <w:r w:rsidR="00DD0E33">
        <w:t xml:space="preserve"> v </w:t>
      </w:r>
      <w:r w:rsidR="00DD0E33" w:rsidRPr="00663E66">
        <w:rPr>
          <w:i/>
        </w:rPr>
        <w:t xml:space="preserve">TEDCO </w:t>
      </w:r>
      <w:r w:rsidR="00104B8F" w:rsidRPr="00663E66">
        <w:rPr>
          <w:i/>
        </w:rPr>
        <w:t>M</w:t>
      </w:r>
      <w:r w:rsidR="00DD0E33" w:rsidRPr="00663E66">
        <w:rPr>
          <w:i/>
        </w:rPr>
        <w:t>anagement Services</w:t>
      </w:r>
      <w:r w:rsidR="00A37546">
        <w:t xml:space="preserve"> (Pvt) Ltd HH 71/04.</w:t>
      </w:r>
    </w:p>
    <w:p w:rsidR="00A37546" w:rsidRDefault="00A37546" w:rsidP="00FF13D6">
      <w:pPr>
        <w:ind w:firstLine="720"/>
        <w:jc w:val="both"/>
      </w:pPr>
    </w:p>
    <w:p w:rsidR="00963D8C" w:rsidRDefault="00A37546" w:rsidP="00A74C53">
      <w:pPr>
        <w:spacing w:line="360" w:lineRule="auto"/>
        <w:ind w:firstLine="720"/>
        <w:jc w:val="both"/>
      </w:pPr>
      <w:r>
        <w:t>Appellant indicated to the court that he was aggrieved by the mandat</w:t>
      </w:r>
      <w:r w:rsidR="00E2632E">
        <w:t xml:space="preserve">e of the arbitrator after her recusal as in his view she was </w:t>
      </w:r>
      <w:r w:rsidR="00E2632E" w:rsidRPr="00663E66">
        <w:rPr>
          <w:i/>
        </w:rPr>
        <w:t>functus officio</w:t>
      </w:r>
      <w:r w:rsidR="00E2632E">
        <w:t xml:space="preserve"> by the time she issued the ruling.  He was also aggrieved by the Arbitrator’s</w:t>
      </w:r>
      <w:r w:rsidR="00CB15D0">
        <w:t xml:space="preserve"> delegation of her decision making function to another person.  Appellant also confirmed that he was aggrieved by the Arbitrator’s non-compliance with court o</w:t>
      </w:r>
      <w:r w:rsidR="004C0887">
        <w:t xml:space="preserve">rders.  Clearly appellant is aggrieved by </w:t>
      </w:r>
      <w:r w:rsidR="00942A1C">
        <w:t xml:space="preserve">procedural issues.  There are no </w:t>
      </w:r>
      <w:r w:rsidR="003A5289">
        <w:t>substantive</w:t>
      </w:r>
      <w:r w:rsidR="00963D8C">
        <w:t xml:space="preserve"> issues</w:t>
      </w:r>
      <w:r w:rsidR="00942A1C">
        <w:t xml:space="preserve"> raised in the grounds of appeal.  The point </w:t>
      </w:r>
      <w:r w:rsidR="00942A1C" w:rsidRPr="00963D8C">
        <w:rPr>
          <w:i/>
        </w:rPr>
        <w:t>in limine</w:t>
      </w:r>
      <w:r w:rsidR="00942A1C">
        <w:t xml:space="preserve"> therefore has merit and it succeeds.</w:t>
      </w:r>
    </w:p>
    <w:p w:rsidR="00B03E97" w:rsidRDefault="00B03E97" w:rsidP="00FF13D6">
      <w:pPr>
        <w:jc w:val="both"/>
      </w:pPr>
    </w:p>
    <w:p w:rsidR="00B03E97" w:rsidRDefault="00B03E97" w:rsidP="00B03E97">
      <w:pPr>
        <w:spacing w:line="360" w:lineRule="auto"/>
        <w:jc w:val="both"/>
      </w:pPr>
      <w:r>
        <w:t>Wherefore I order as follows</w:t>
      </w:r>
    </w:p>
    <w:p w:rsidR="00B03E97" w:rsidRDefault="00B03E97" w:rsidP="00B03E97">
      <w:pPr>
        <w:spacing w:line="360" w:lineRule="auto"/>
        <w:jc w:val="both"/>
      </w:pPr>
    </w:p>
    <w:p w:rsidR="00B03E97" w:rsidRDefault="00B03E97" w:rsidP="00B03E97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The point </w:t>
      </w:r>
      <w:r w:rsidRPr="002F0EF1">
        <w:rPr>
          <w:i/>
        </w:rPr>
        <w:t>in limine</w:t>
      </w:r>
      <w:r w:rsidR="00364956">
        <w:t xml:space="preserve"> be and is hereby upheld.</w:t>
      </w:r>
    </w:p>
    <w:p w:rsidR="00364956" w:rsidRDefault="00364956" w:rsidP="00B03E97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appeal be and is hereby dismissed.</w:t>
      </w:r>
    </w:p>
    <w:p w:rsidR="00474245" w:rsidRDefault="00474245" w:rsidP="00474245">
      <w:pPr>
        <w:spacing w:line="360" w:lineRule="auto"/>
        <w:jc w:val="both"/>
      </w:pPr>
    </w:p>
    <w:p w:rsidR="00474245" w:rsidRDefault="00474245" w:rsidP="00474245">
      <w:pPr>
        <w:spacing w:line="360" w:lineRule="auto"/>
        <w:jc w:val="both"/>
      </w:pPr>
    </w:p>
    <w:p w:rsidR="00474245" w:rsidRDefault="00474245" w:rsidP="00474245">
      <w:pPr>
        <w:spacing w:line="360" w:lineRule="auto"/>
        <w:jc w:val="both"/>
      </w:pPr>
      <w:r w:rsidRPr="00F22F81">
        <w:rPr>
          <w:i/>
        </w:rPr>
        <w:t>Matsikidze &amp; Mucheche</w:t>
      </w:r>
      <w:r>
        <w:t xml:space="preserve">, respondent’s </w:t>
      </w:r>
      <w:r w:rsidR="00F22F81">
        <w:t>legal practitioners</w:t>
      </w:r>
    </w:p>
    <w:p w:rsidR="0011749A" w:rsidRDefault="0011749A" w:rsidP="00474245">
      <w:pPr>
        <w:spacing w:line="360" w:lineRule="auto"/>
        <w:jc w:val="both"/>
      </w:pPr>
    </w:p>
    <w:p w:rsidR="0011749A" w:rsidRDefault="0011749A" w:rsidP="00474245">
      <w:pPr>
        <w:spacing w:line="360" w:lineRule="auto"/>
        <w:jc w:val="both"/>
      </w:pPr>
    </w:p>
    <w:p w:rsidR="0011749A" w:rsidRDefault="0011749A" w:rsidP="00474245">
      <w:pPr>
        <w:spacing w:line="360" w:lineRule="auto"/>
        <w:jc w:val="both"/>
      </w:pPr>
      <w:r>
        <w:t>………………………………….</w:t>
      </w:r>
    </w:p>
    <w:p w:rsidR="0011749A" w:rsidRDefault="0011749A" w:rsidP="00474245">
      <w:pPr>
        <w:spacing w:line="360" w:lineRule="auto"/>
        <w:jc w:val="both"/>
      </w:pPr>
      <w:r>
        <w:t>Maxwell J</w:t>
      </w:r>
    </w:p>
    <w:p w:rsidR="0011749A" w:rsidRDefault="0011749A" w:rsidP="00474245">
      <w:pPr>
        <w:spacing w:line="360" w:lineRule="auto"/>
        <w:jc w:val="both"/>
      </w:pPr>
    </w:p>
    <w:p w:rsidR="0011749A" w:rsidRDefault="0011749A" w:rsidP="00474245">
      <w:pPr>
        <w:spacing w:line="360" w:lineRule="auto"/>
        <w:jc w:val="both"/>
      </w:pPr>
      <w:r>
        <w:t>…………………………………</w:t>
      </w:r>
      <w:r w:rsidR="00737E21">
        <w:t xml:space="preserve">   I agree</w:t>
      </w:r>
    </w:p>
    <w:p w:rsidR="00737E21" w:rsidRDefault="00737E21" w:rsidP="00474245">
      <w:pPr>
        <w:spacing w:line="360" w:lineRule="auto"/>
        <w:jc w:val="both"/>
      </w:pPr>
      <w:r>
        <w:t>Makamure J</w:t>
      </w:r>
    </w:p>
    <w:p w:rsidR="007F3509" w:rsidRDefault="002622FF" w:rsidP="00A74C53">
      <w:pPr>
        <w:spacing w:line="360" w:lineRule="auto"/>
        <w:ind w:firstLine="720"/>
        <w:jc w:val="both"/>
      </w:pPr>
      <w:r>
        <w:t xml:space="preserve"> </w:t>
      </w:r>
    </w:p>
    <w:p w:rsidR="007E5D70" w:rsidRDefault="007E5D70" w:rsidP="007E5D70">
      <w:pPr>
        <w:spacing w:line="360" w:lineRule="auto"/>
        <w:ind w:firstLine="720"/>
        <w:jc w:val="both"/>
      </w:pPr>
    </w:p>
    <w:p w:rsidR="007E5D70" w:rsidRPr="002C7C4F" w:rsidRDefault="007E5D70" w:rsidP="002C5005">
      <w:pPr>
        <w:spacing w:line="360" w:lineRule="auto"/>
        <w:jc w:val="both"/>
      </w:pPr>
    </w:p>
    <w:p w:rsidR="002C5005" w:rsidRDefault="002C5005" w:rsidP="002C5005">
      <w:pPr>
        <w:spacing w:line="360" w:lineRule="auto"/>
        <w:jc w:val="both"/>
      </w:pPr>
    </w:p>
    <w:sectPr w:rsidR="002C5005" w:rsidSect="00CB0D5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D0" w:rsidRDefault="00257DD0" w:rsidP="00CB0D51">
      <w:r>
        <w:separator/>
      </w:r>
    </w:p>
  </w:endnote>
  <w:endnote w:type="continuationSeparator" w:id="0">
    <w:p w:rsidR="00257DD0" w:rsidRDefault="00257DD0" w:rsidP="00CB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774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5D0" w:rsidRDefault="00CB1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C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15D0" w:rsidRDefault="00CB1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D0" w:rsidRDefault="00257DD0" w:rsidP="00CB0D51">
      <w:r>
        <w:separator/>
      </w:r>
    </w:p>
  </w:footnote>
  <w:footnote w:type="continuationSeparator" w:id="0">
    <w:p w:rsidR="00257DD0" w:rsidRDefault="00257DD0" w:rsidP="00CB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D0" w:rsidRPr="00CB0D51" w:rsidRDefault="00CB15D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013F77">
      <w:rPr>
        <w:lang w:val="en-ZW"/>
      </w:rPr>
      <w:t>177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3B89"/>
    <w:multiLevelType w:val="hybridMultilevel"/>
    <w:tmpl w:val="732E336E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F20F9"/>
    <w:multiLevelType w:val="hybridMultilevel"/>
    <w:tmpl w:val="49246E02"/>
    <w:lvl w:ilvl="0" w:tplc="DEF4E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2A"/>
    <w:rsid w:val="00013F77"/>
    <w:rsid w:val="00103517"/>
    <w:rsid w:val="00103ACF"/>
    <w:rsid w:val="001044E8"/>
    <w:rsid w:val="00104B8F"/>
    <w:rsid w:val="0011749A"/>
    <w:rsid w:val="00125477"/>
    <w:rsid w:val="00170C7F"/>
    <w:rsid w:val="001F141D"/>
    <w:rsid w:val="001F3A20"/>
    <w:rsid w:val="00257DD0"/>
    <w:rsid w:val="002622FF"/>
    <w:rsid w:val="002C5005"/>
    <w:rsid w:val="002C7C4F"/>
    <w:rsid w:val="002F0EF1"/>
    <w:rsid w:val="0031586C"/>
    <w:rsid w:val="00342283"/>
    <w:rsid w:val="00364956"/>
    <w:rsid w:val="003763DD"/>
    <w:rsid w:val="003810B1"/>
    <w:rsid w:val="00393B13"/>
    <w:rsid w:val="003A1943"/>
    <w:rsid w:val="003A5289"/>
    <w:rsid w:val="0047278B"/>
    <w:rsid w:val="00474245"/>
    <w:rsid w:val="00481BFC"/>
    <w:rsid w:val="004A746D"/>
    <w:rsid w:val="004C0887"/>
    <w:rsid w:val="004E6C0B"/>
    <w:rsid w:val="005C2905"/>
    <w:rsid w:val="005D0474"/>
    <w:rsid w:val="00607626"/>
    <w:rsid w:val="00663E66"/>
    <w:rsid w:val="006C7C54"/>
    <w:rsid w:val="0072299A"/>
    <w:rsid w:val="00737E21"/>
    <w:rsid w:val="007738DE"/>
    <w:rsid w:val="007E5D70"/>
    <w:rsid w:val="007F3509"/>
    <w:rsid w:val="0086022A"/>
    <w:rsid w:val="00942A1C"/>
    <w:rsid w:val="00963D8C"/>
    <w:rsid w:val="0098370C"/>
    <w:rsid w:val="00993FBF"/>
    <w:rsid w:val="00A27667"/>
    <w:rsid w:val="00A37546"/>
    <w:rsid w:val="00A74C53"/>
    <w:rsid w:val="00B00CA7"/>
    <w:rsid w:val="00B03E97"/>
    <w:rsid w:val="00B34B69"/>
    <w:rsid w:val="00BC36BF"/>
    <w:rsid w:val="00CA7F46"/>
    <w:rsid w:val="00CB0D51"/>
    <w:rsid w:val="00CB15D0"/>
    <w:rsid w:val="00CC1C91"/>
    <w:rsid w:val="00CD33F3"/>
    <w:rsid w:val="00CF212C"/>
    <w:rsid w:val="00DC0C74"/>
    <w:rsid w:val="00DD0E33"/>
    <w:rsid w:val="00E02D3F"/>
    <w:rsid w:val="00E2632E"/>
    <w:rsid w:val="00E45F43"/>
    <w:rsid w:val="00EA737E"/>
    <w:rsid w:val="00F22F81"/>
    <w:rsid w:val="00F26581"/>
    <w:rsid w:val="00F473B8"/>
    <w:rsid w:val="00FC1910"/>
    <w:rsid w:val="00FC7D35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5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0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51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2A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51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0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51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31</cp:revision>
  <dcterms:created xsi:type="dcterms:W3CDTF">2016-03-10T13:22:00Z</dcterms:created>
  <dcterms:modified xsi:type="dcterms:W3CDTF">2016-05-31T10:56:00Z</dcterms:modified>
</cp:coreProperties>
</file>