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512" w:rsidRDefault="00F72FEF">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2866AA">
        <w:rPr>
          <w:b/>
          <w:sz w:val="24"/>
          <w:szCs w:val="24"/>
        </w:rPr>
        <w:t>370</w:t>
      </w:r>
      <w:r>
        <w:rPr>
          <w:b/>
          <w:sz w:val="24"/>
          <w:szCs w:val="24"/>
        </w:rPr>
        <w:t>/16</w:t>
      </w:r>
    </w:p>
    <w:p w:rsidR="00F72FEF" w:rsidRDefault="00F72FEF">
      <w:pPr>
        <w:rPr>
          <w:b/>
          <w:sz w:val="24"/>
          <w:szCs w:val="24"/>
        </w:rPr>
      </w:pPr>
      <w:r>
        <w:rPr>
          <w:b/>
          <w:sz w:val="24"/>
          <w:szCs w:val="24"/>
        </w:rPr>
        <w:t>HELD AT HARARE 13 JANUARY 2016</w:t>
      </w:r>
      <w:r>
        <w:rPr>
          <w:b/>
          <w:sz w:val="24"/>
          <w:szCs w:val="24"/>
        </w:rPr>
        <w:tab/>
      </w:r>
      <w:r>
        <w:rPr>
          <w:b/>
          <w:sz w:val="24"/>
          <w:szCs w:val="24"/>
        </w:rPr>
        <w:tab/>
      </w:r>
      <w:r>
        <w:rPr>
          <w:b/>
          <w:sz w:val="24"/>
          <w:szCs w:val="24"/>
        </w:rPr>
        <w:tab/>
      </w:r>
      <w:r>
        <w:rPr>
          <w:b/>
          <w:sz w:val="24"/>
          <w:szCs w:val="24"/>
        </w:rPr>
        <w:tab/>
        <w:t>CASE NO LC/H/664/15</w:t>
      </w:r>
    </w:p>
    <w:p w:rsidR="002866AA" w:rsidRDefault="00F72FEF" w:rsidP="0049179F">
      <w:pPr>
        <w:rPr>
          <w:b/>
          <w:sz w:val="24"/>
          <w:szCs w:val="24"/>
        </w:rPr>
      </w:pPr>
      <w:r>
        <w:rPr>
          <w:b/>
          <w:sz w:val="24"/>
          <w:szCs w:val="24"/>
        </w:rPr>
        <w:t>&amp; 10 JUNE 2016</w:t>
      </w:r>
    </w:p>
    <w:p w:rsidR="0049179F" w:rsidRPr="0049179F" w:rsidRDefault="0049179F" w:rsidP="0049179F">
      <w:pPr>
        <w:rPr>
          <w:b/>
          <w:sz w:val="24"/>
          <w:szCs w:val="24"/>
        </w:rPr>
      </w:pPr>
    </w:p>
    <w:p w:rsidR="002866AA" w:rsidRDefault="00F72FEF" w:rsidP="00F72FEF">
      <w:pPr>
        <w:spacing w:line="360" w:lineRule="auto"/>
        <w:jc w:val="both"/>
        <w:rPr>
          <w:b/>
          <w:sz w:val="24"/>
          <w:szCs w:val="24"/>
        </w:rPr>
      </w:pPr>
      <w:r>
        <w:rPr>
          <w:b/>
          <w:sz w:val="24"/>
          <w:szCs w:val="24"/>
        </w:rPr>
        <w:t>GOLDEN MASHAKADA</w:t>
      </w:r>
      <w:r>
        <w:rPr>
          <w:b/>
          <w:sz w:val="24"/>
          <w:szCs w:val="24"/>
        </w:rPr>
        <w:tab/>
      </w:r>
      <w:r>
        <w:rPr>
          <w:b/>
          <w:sz w:val="24"/>
          <w:szCs w:val="24"/>
        </w:rPr>
        <w:tab/>
      </w:r>
      <w:r>
        <w:rPr>
          <w:b/>
          <w:sz w:val="24"/>
          <w:szCs w:val="24"/>
        </w:rPr>
        <w:tab/>
      </w:r>
      <w:r>
        <w:rPr>
          <w:b/>
          <w:sz w:val="24"/>
          <w:szCs w:val="24"/>
        </w:rPr>
        <w:tab/>
        <w:t>Appellant</w:t>
      </w:r>
    </w:p>
    <w:p w:rsidR="002866AA" w:rsidRDefault="00F72FEF" w:rsidP="002866AA">
      <w:pPr>
        <w:spacing w:line="360" w:lineRule="auto"/>
        <w:jc w:val="both"/>
        <w:rPr>
          <w:b/>
          <w:sz w:val="24"/>
          <w:szCs w:val="24"/>
        </w:rPr>
      </w:pPr>
      <w:r>
        <w:rPr>
          <w:b/>
          <w:sz w:val="24"/>
          <w:szCs w:val="24"/>
        </w:rPr>
        <w:t>MARONDERA PROVINCIAL HOSPITAL</w:t>
      </w:r>
      <w:r>
        <w:rPr>
          <w:b/>
          <w:sz w:val="24"/>
          <w:szCs w:val="24"/>
        </w:rPr>
        <w:tab/>
      </w:r>
      <w:r>
        <w:rPr>
          <w:b/>
          <w:sz w:val="24"/>
          <w:szCs w:val="24"/>
        </w:rPr>
        <w:tab/>
        <w:t>1</w:t>
      </w:r>
      <w:r w:rsidRPr="00F72FEF">
        <w:rPr>
          <w:b/>
          <w:sz w:val="24"/>
          <w:szCs w:val="24"/>
          <w:vertAlign w:val="superscript"/>
        </w:rPr>
        <w:t>st</w:t>
      </w:r>
      <w:r>
        <w:rPr>
          <w:b/>
          <w:sz w:val="24"/>
          <w:szCs w:val="24"/>
        </w:rPr>
        <w:t xml:space="preserve"> Respondent</w:t>
      </w:r>
    </w:p>
    <w:p w:rsidR="00F72FEF" w:rsidRDefault="00F72FEF" w:rsidP="002866AA">
      <w:pPr>
        <w:spacing w:after="0" w:line="240" w:lineRule="auto"/>
        <w:jc w:val="both"/>
        <w:rPr>
          <w:b/>
          <w:sz w:val="24"/>
          <w:szCs w:val="24"/>
        </w:rPr>
      </w:pPr>
      <w:r>
        <w:rPr>
          <w:b/>
          <w:sz w:val="24"/>
          <w:szCs w:val="24"/>
        </w:rPr>
        <w:t>PERMANENT SECRETARY – MINISTRY OF</w:t>
      </w:r>
      <w:r>
        <w:rPr>
          <w:b/>
          <w:sz w:val="24"/>
          <w:szCs w:val="24"/>
        </w:rPr>
        <w:tab/>
      </w:r>
      <w:r>
        <w:rPr>
          <w:b/>
          <w:sz w:val="24"/>
          <w:szCs w:val="24"/>
        </w:rPr>
        <w:tab/>
        <w:t>2</w:t>
      </w:r>
      <w:r w:rsidRPr="00F72FEF">
        <w:rPr>
          <w:b/>
          <w:sz w:val="24"/>
          <w:szCs w:val="24"/>
          <w:vertAlign w:val="superscript"/>
        </w:rPr>
        <w:t>nd</w:t>
      </w:r>
      <w:r>
        <w:rPr>
          <w:b/>
          <w:sz w:val="24"/>
          <w:szCs w:val="24"/>
        </w:rPr>
        <w:t xml:space="preserve"> Respondent</w:t>
      </w:r>
    </w:p>
    <w:p w:rsidR="00F72FEF" w:rsidRDefault="00F72FEF" w:rsidP="0049179F">
      <w:pPr>
        <w:spacing w:after="0" w:line="240" w:lineRule="auto"/>
        <w:jc w:val="both"/>
        <w:rPr>
          <w:b/>
          <w:sz w:val="24"/>
          <w:szCs w:val="24"/>
        </w:rPr>
      </w:pPr>
      <w:r>
        <w:rPr>
          <w:b/>
          <w:sz w:val="24"/>
          <w:szCs w:val="24"/>
        </w:rPr>
        <w:t>HEALTH &amp; CHILD CARE</w:t>
      </w:r>
    </w:p>
    <w:p w:rsidR="00F72FEF" w:rsidRDefault="00F72FEF" w:rsidP="0049179F">
      <w:pPr>
        <w:spacing w:line="240" w:lineRule="auto"/>
        <w:jc w:val="both"/>
        <w:rPr>
          <w:b/>
          <w:sz w:val="24"/>
          <w:szCs w:val="24"/>
        </w:rPr>
      </w:pPr>
    </w:p>
    <w:p w:rsidR="00F72FEF" w:rsidRDefault="00F72FEF" w:rsidP="0049179F">
      <w:pPr>
        <w:spacing w:line="240" w:lineRule="auto"/>
        <w:jc w:val="both"/>
        <w:rPr>
          <w:sz w:val="24"/>
          <w:szCs w:val="24"/>
        </w:rPr>
      </w:pPr>
      <w:r>
        <w:rPr>
          <w:sz w:val="24"/>
          <w:szCs w:val="24"/>
        </w:rPr>
        <w:t xml:space="preserve">Before The Honourable G </w:t>
      </w:r>
      <w:proofErr w:type="spellStart"/>
      <w:r>
        <w:rPr>
          <w:sz w:val="24"/>
          <w:szCs w:val="24"/>
        </w:rPr>
        <w:t>Musariri</w:t>
      </w:r>
      <w:proofErr w:type="spellEnd"/>
      <w:r>
        <w:rPr>
          <w:sz w:val="24"/>
          <w:szCs w:val="24"/>
        </w:rPr>
        <w:t>, Judge</w:t>
      </w:r>
      <w:bookmarkStart w:id="0" w:name="_GoBack"/>
      <w:bookmarkEnd w:id="0"/>
    </w:p>
    <w:p w:rsidR="00F72FEF" w:rsidRDefault="00F72FEF" w:rsidP="00F72FEF">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K </w:t>
      </w:r>
      <w:proofErr w:type="spellStart"/>
      <w:r>
        <w:rPr>
          <w:b/>
          <w:sz w:val="24"/>
          <w:szCs w:val="24"/>
        </w:rPr>
        <w:t>Masasire</w:t>
      </w:r>
      <w:proofErr w:type="spellEnd"/>
      <w:r>
        <w:rPr>
          <w:b/>
          <w:sz w:val="24"/>
          <w:szCs w:val="24"/>
        </w:rPr>
        <w:t>, Attorney</w:t>
      </w:r>
    </w:p>
    <w:p w:rsidR="00F72FEF" w:rsidRDefault="00F72FEF" w:rsidP="00F72FEF">
      <w:pPr>
        <w:spacing w:line="360" w:lineRule="auto"/>
        <w:jc w:val="both"/>
        <w:rPr>
          <w:b/>
          <w:sz w:val="24"/>
          <w:szCs w:val="24"/>
        </w:rPr>
      </w:pPr>
      <w:r>
        <w:rPr>
          <w:b/>
          <w:sz w:val="24"/>
          <w:szCs w:val="24"/>
        </w:rPr>
        <w:t>For Respondents</w:t>
      </w:r>
      <w:r>
        <w:rPr>
          <w:b/>
          <w:sz w:val="24"/>
          <w:szCs w:val="24"/>
        </w:rPr>
        <w:tab/>
      </w:r>
      <w:r>
        <w:rPr>
          <w:b/>
          <w:sz w:val="24"/>
          <w:szCs w:val="24"/>
        </w:rPr>
        <w:tab/>
        <w:t xml:space="preserve">Mr J </w:t>
      </w:r>
      <w:proofErr w:type="spellStart"/>
      <w:r>
        <w:rPr>
          <w:b/>
          <w:sz w:val="24"/>
          <w:szCs w:val="24"/>
        </w:rPr>
        <w:t>Mumbengegwi</w:t>
      </w:r>
      <w:proofErr w:type="spellEnd"/>
      <w:r>
        <w:rPr>
          <w:b/>
          <w:sz w:val="24"/>
          <w:szCs w:val="24"/>
        </w:rPr>
        <w:t>, Officer</w:t>
      </w:r>
    </w:p>
    <w:p w:rsidR="00F72FEF" w:rsidRDefault="00F72FEF" w:rsidP="00F72FEF">
      <w:pPr>
        <w:spacing w:line="360" w:lineRule="auto"/>
        <w:jc w:val="both"/>
        <w:rPr>
          <w:b/>
          <w:sz w:val="24"/>
          <w:szCs w:val="24"/>
        </w:rPr>
      </w:pPr>
    </w:p>
    <w:p w:rsidR="00F72FEF" w:rsidRDefault="00F72FEF" w:rsidP="00F72FEF">
      <w:pPr>
        <w:spacing w:line="360" w:lineRule="auto"/>
        <w:jc w:val="both"/>
        <w:rPr>
          <w:b/>
          <w:sz w:val="24"/>
          <w:szCs w:val="24"/>
        </w:rPr>
      </w:pPr>
      <w:r>
        <w:rPr>
          <w:b/>
          <w:sz w:val="24"/>
          <w:szCs w:val="24"/>
        </w:rPr>
        <w:t>MUSARIRI, J:</w:t>
      </w:r>
    </w:p>
    <w:p w:rsidR="00F72FEF" w:rsidRDefault="00F72FEF" w:rsidP="00F72FEF">
      <w:pPr>
        <w:spacing w:line="360" w:lineRule="auto"/>
        <w:jc w:val="both"/>
        <w:rPr>
          <w:sz w:val="24"/>
          <w:szCs w:val="24"/>
        </w:rPr>
      </w:pPr>
      <w:r>
        <w:rPr>
          <w:b/>
          <w:sz w:val="24"/>
          <w:szCs w:val="24"/>
        </w:rPr>
        <w:tab/>
      </w:r>
      <w:r>
        <w:rPr>
          <w:sz w:val="24"/>
          <w:szCs w:val="24"/>
        </w:rPr>
        <w:t>Appellant’s attorney summarised the grounds of appeal in triplicate thus;</w:t>
      </w:r>
    </w:p>
    <w:p w:rsidR="00F72FEF" w:rsidRDefault="00F72FEF" w:rsidP="00F72FEF">
      <w:pPr>
        <w:pStyle w:val="ListParagraph"/>
        <w:numPr>
          <w:ilvl w:val="0"/>
          <w:numId w:val="1"/>
        </w:numPr>
        <w:spacing w:line="360" w:lineRule="auto"/>
        <w:jc w:val="both"/>
      </w:pPr>
      <w:r>
        <w:t>The Health Services Board (HSB) erred in failing to find that the charges against appellant were not proven.</w:t>
      </w:r>
    </w:p>
    <w:p w:rsidR="00F72FEF" w:rsidRDefault="00F72FEF" w:rsidP="00F72FEF">
      <w:pPr>
        <w:pStyle w:val="ListParagraph"/>
        <w:numPr>
          <w:ilvl w:val="0"/>
          <w:numId w:val="1"/>
        </w:numPr>
        <w:spacing w:line="360" w:lineRule="auto"/>
        <w:jc w:val="both"/>
      </w:pPr>
      <w:r>
        <w:t xml:space="preserve">HSB erred by imposing a penalty not provided for by the Health Service Regulations.  (The attorney did not bother to cite the Regulations </w:t>
      </w:r>
      <w:proofErr w:type="gramStart"/>
      <w:r>
        <w:t>‘ reference</w:t>
      </w:r>
      <w:proofErr w:type="gramEnd"/>
      <w:r>
        <w:t xml:space="preserve"> numbers).</w:t>
      </w:r>
    </w:p>
    <w:p w:rsidR="00F72FEF" w:rsidRDefault="00F72FEF" w:rsidP="00F72FEF">
      <w:pPr>
        <w:pStyle w:val="ListParagraph"/>
        <w:numPr>
          <w:ilvl w:val="0"/>
          <w:numId w:val="1"/>
        </w:numPr>
        <w:spacing w:line="360" w:lineRule="auto"/>
        <w:jc w:val="both"/>
      </w:pPr>
      <w:r>
        <w:t>HSB erred in failing to find that the dismissal was unreasonable and irrational.</w:t>
      </w:r>
    </w:p>
    <w:p w:rsidR="000C2C95" w:rsidRDefault="000C2C95" w:rsidP="000C2C95">
      <w:pPr>
        <w:pStyle w:val="ListParagraph"/>
        <w:spacing w:line="360" w:lineRule="auto"/>
        <w:ind w:left="1080"/>
        <w:jc w:val="both"/>
      </w:pPr>
    </w:p>
    <w:p w:rsidR="00116177" w:rsidRPr="000C2C95" w:rsidRDefault="00F72FEF" w:rsidP="000C2C95">
      <w:pPr>
        <w:spacing w:line="360" w:lineRule="auto"/>
        <w:ind w:firstLine="720"/>
        <w:jc w:val="both"/>
        <w:rPr>
          <w:sz w:val="24"/>
          <w:szCs w:val="24"/>
        </w:rPr>
      </w:pPr>
      <w:r w:rsidRPr="000C2C95">
        <w:rPr>
          <w:sz w:val="24"/>
          <w:szCs w:val="24"/>
        </w:rPr>
        <w:t>Respondents opposed the appeal</w:t>
      </w:r>
      <w:r w:rsidR="002866AA" w:rsidRPr="000C2C95">
        <w:rPr>
          <w:sz w:val="24"/>
          <w:szCs w:val="24"/>
        </w:rPr>
        <w:t>.</w:t>
      </w:r>
    </w:p>
    <w:p w:rsidR="00F72FEF" w:rsidRDefault="00F72FEF" w:rsidP="00F72FEF">
      <w:pPr>
        <w:spacing w:line="360" w:lineRule="auto"/>
        <w:jc w:val="both"/>
        <w:rPr>
          <w:sz w:val="24"/>
          <w:szCs w:val="24"/>
          <w:u w:val="single"/>
        </w:rPr>
      </w:pPr>
      <w:r w:rsidRPr="00F72FEF">
        <w:rPr>
          <w:sz w:val="24"/>
          <w:szCs w:val="24"/>
          <w:u w:val="single"/>
        </w:rPr>
        <w:t>Whether the charge against appellant was proved?</w:t>
      </w:r>
    </w:p>
    <w:p w:rsidR="00F72FEF" w:rsidRDefault="00F72FEF" w:rsidP="00F72FEF">
      <w:pPr>
        <w:spacing w:line="360" w:lineRule="auto"/>
        <w:jc w:val="both"/>
        <w:rPr>
          <w:sz w:val="24"/>
          <w:szCs w:val="24"/>
        </w:rPr>
      </w:pPr>
      <w:r>
        <w:rPr>
          <w:sz w:val="24"/>
          <w:szCs w:val="24"/>
        </w:rPr>
        <w:tab/>
        <w:t>Appellant was charged by way of a letter dated 21 March 2012.  The relevant part proclaimed that,</w:t>
      </w:r>
    </w:p>
    <w:p w:rsidR="00F72FEF" w:rsidRDefault="00F72FEF" w:rsidP="009951AC">
      <w:pPr>
        <w:spacing w:line="240" w:lineRule="auto"/>
        <w:ind w:left="1440"/>
        <w:jc w:val="both"/>
      </w:pPr>
      <w:r>
        <w:t xml:space="preserve">“There was a discrepancy on receipt No 172100 brought by a client Juliet </w:t>
      </w:r>
      <w:proofErr w:type="spellStart"/>
      <w:r>
        <w:t>Chiremba</w:t>
      </w:r>
      <w:proofErr w:type="spellEnd"/>
      <w:r>
        <w:t>.  The original</w:t>
      </w:r>
      <w:r w:rsidR="009951AC">
        <w:t xml:space="preserve"> receipt by the patien</w:t>
      </w:r>
      <w:r w:rsidR="002866AA">
        <w:t>t had $302.00 and the duplicate</w:t>
      </w:r>
      <w:r w:rsidR="009951AC">
        <w:t xml:space="preserve"> had $5.00 and the </w:t>
      </w:r>
      <w:r w:rsidR="009951AC">
        <w:lastRenderedPageBreak/>
        <w:t xml:space="preserve">$5.00 was recorded as payment for CD4, both receipts had the same receipt number and both </w:t>
      </w:r>
      <w:proofErr w:type="spellStart"/>
      <w:r w:rsidR="009951AC">
        <w:t>beared</w:t>
      </w:r>
      <w:proofErr w:type="spellEnd"/>
      <w:r w:rsidR="009951AC">
        <w:t xml:space="preserve"> your signature as confirmed by witnesses interviewed in the investigation on 20 March 2012.  The witnesses told you about the discrepancy but you went on to assist the patient ignoring the discrepancy which is against Treasury Instructions.”</w:t>
      </w:r>
    </w:p>
    <w:p w:rsidR="009951AC" w:rsidRDefault="009951AC" w:rsidP="009951AC">
      <w:pPr>
        <w:spacing w:line="360" w:lineRule="auto"/>
        <w:jc w:val="both"/>
        <w:rPr>
          <w:sz w:val="24"/>
          <w:szCs w:val="24"/>
        </w:rPr>
      </w:pPr>
      <w:r>
        <w:tab/>
      </w:r>
      <w:r>
        <w:rPr>
          <w:sz w:val="24"/>
          <w:szCs w:val="24"/>
        </w:rPr>
        <w:t xml:space="preserve">Filed of record is a statement dated 20 March 2012 made by appellant’s subordinate named </w:t>
      </w:r>
      <w:r w:rsidR="002866AA">
        <w:rPr>
          <w:sz w:val="24"/>
          <w:szCs w:val="24"/>
        </w:rPr>
        <w:t>a</w:t>
      </w:r>
      <w:r>
        <w:rPr>
          <w:sz w:val="24"/>
          <w:szCs w:val="24"/>
        </w:rPr>
        <w:t xml:space="preserve">s </w:t>
      </w:r>
      <w:proofErr w:type="spellStart"/>
      <w:r>
        <w:rPr>
          <w:sz w:val="24"/>
          <w:szCs w:val="24"/>
        </w:rPr>
        <w:t>Bwerez</w:t>
      </w:r>
      <w:r w:rsidR="00116177">
        <w:rPr>
          <w:sz w:val="24"/>
          <w:szCs w:val="24"/>
        </w:rPr>
        <w:t>a</w:t>
      </w:r>
      <w:r>
        <w:rPr>
          <w:sz w:val="24"/>
          <w:szCs w:val="24"/>
        </w:rPr>
        <w:t>ni</w:t>
      </w:r>
      <w:proofErr w:type="spellEnd"/>
      <w:r>
        <w:rPr>
          <w:sz w:val="24"/>
          <w:szCs w:val="24"/>
        </w:rPr>
        <w:t>.  The vital part recounted that,</w:t>
      </w:r>
    </w:p>
    <w:p w:rsidR="009951AC" w:rsidRDefault="009951AC" w:rsidP="009951AC">
      <w:pPr>
        <w:spacing w:after="0" w:line="360" w:lineRule="auto"/>
        <w:jc w:val="both"/>
      </w:pPr>
      <w:r>
        <w:rPr>
          <w:sz w:val="24"/>
          <w:szCs w:val="24"/>
        </w:rPr>
        <w:tab/>
      </w:r>
      <w:r>
        <w:rPr>
          <w:sz w:val="24"/>
          <w:szCs w:val="24"/>
        </w:rPr>
        <w:tab/>
      </w:r>
      <w:r>
        <w:t>“The client came wi</w:t>
      </w:r>
      <w:r w:rsidR="002866AA">
        <w:t xml:space="preserve">th the receipt later.  What I </w:t>
      </w:r>
      <w:r>
        <w:t>s</w:t>
      </w:r>
      <w:r w:rsidR="002866AA">
        <w:t>aw</w:t>
      </w:r>
      <w:r>
        <w:t xml:space="preserve"> on the receipt was that</w:t>
      </w:r>
    </w:p>
    <w:p w:rsidR="009951AC" w:rsidRDefault="009951AC" w:rsidP="009951AC">
      <w:pPr>
        <w:pStyle w:val="ListParagraph"/>
        <w:numPr>
          <w:ilvl w:val="0"/>
          <w:numId w:val="2"/>
        </w:numPr>
        <w:spacing w:after="0" w:line="360" w:lineRule="auto"/>
        <w:jc w:val="both"/>
      </w:pPr>
      <w:r>
        <w:t>The receipt number was 172100.</w:t>
      </w:r>
    </w:p>
    <w:p w:rsidR="009951AC" w:rsidRDefault="009951AC" w:rsidP="009951AC">
      <w:pPr>
        <w:pStyle w:val="ListParagraph"/>
        <w:numPr>
          <w:ilvl w:val="0"/>
          <w:numId w:val="2"/>
        </w:numPr>
        <w:spacing w:after="0" w:line="360" w:lineRule="auto"/>
        <w:jc w:val="both"/>
      </w:pPr>
      <w:r>
        <w:t>Amount written was $302.00</w:t>
      </w:r>
    </w:p>
    <w:p w:rsidR="009951AC" w:rsidRDefault="009951AC" w:rsidP="009951AC">
      <w:pPr>
        <w:pStyle w:val="ListParagraph"/>
        <w:numPr>
          <w:ilvl w:val="0"/>
          <w:numId w:val="2"/>
        </w:numPr>
        <w:spacing w:after="0" w:line="360" w:lineRule="auto"/>
        <w:jc w:val="both"/>
      </w:pPr>
      <w:r>
        <w:t xml:space="preserve">The receipt was made by </w:t>
      </w:r>
      <w:proofErr w:type="spellStart"/>
      <w:r>
        <w:t>Mashakada</w:t>
      </w:r>
      <w:proofErr w:type="spellEnd"/>
    </w:p>
    <w:p w:rsidR="009951AC" w:rsidRDefault="009951AC" w:rsidP="009951AC">
      <w:pPr>
        <w:pStyle w:val="ListParagraph"/>
        <w:spacing w:after="0" w:line="360" w:lineRule="auto"/>
        <w:ind w:left="1800"/>
        <w:jc w:val="both"/>
      </w:pPr>
      <w:r>
        <w:t>The receipt number was au</w:t>
      </w:r>
      <w:r w:rsidR="002866AA">
        <w:t>thentic but amount of duplicate</w:t>
      </w:r>
      <w:r>
        <w:t xml:space="preserve"> was CD4 $5.00.  Actual receipt $302.00</w:t>
      </w:r>
    </w:p>
    <w:p w:rsidR="009951AC" w:rsidRPr="009951AC" w:rsidRDefault="009951AC" w:rsidP="009951AC">
      <w:pPr>
        <w:pStyle w:val="ListParagraph"/>
        <w:spacing w:after="0" w:line="360" w:lineRule="auto"/>
        <w:ind w:left="1800"/>
        <w:jc w:val="both"/>
      </w:pPr>
      <w:proofErr w:type="spellStart"/>
      <w:r>
        <w:t>Mashakada</w:t>
      </w:r>
      <w:proofErr w:type="spellEnd"/>
      <w:r>
        <w:t xml:space="preserve"> assisted the clients alone.”</w:t>
      </w:r>
    </w:p>
    <w:p w:rsidR="009951AC" w:rsidRDefault="009951AC" w:rsidP="009951AC">
      <w:pPr>
        <w:spacing w:line="360" w:lineRule="auto"/>
        <w:jc w:val="both"/>
        <w:rPr>
          <w:sz w:val="24"/>
          <w:szCs w:val="24"/>
        </w:rPr>
      </w:pPr>
      <w:r>
        <w:rPr>
          <w:sz w:val="24"/>
          <w:szCs w:val="24"/>
        </w:rPr>
        <w:tab/>
        <w:t xml:space="preserve">However the receipts went missing.  They were not shown to appellant.  Neither were they produced at the disciplinary hearings.  It is on the basis of their non-production that appellant argued that the charges were not proved.  Does </w:t>
      </w:r>
      <w:proofErr w:type="spellStart"/>
      <w:r>
        <w:rPr>
          <w:sz w:val="24"/>
          <w:szCs w:val="24"/>
        </w:rPr>
        <w:t>Bwerezani’s</w:t>
      </w:r>
      <w:proofErr w:type="spellEnd"/>
      <w:r>
        <w:rPr>
          <w:sz w:val="24"/>
          <w:szCs w:val="24"/>
        </w:rPr>
        <w:t xml:space="preserve"> statement by itself prove the allegations?  I think not.  Her statement needed corroboration by the receipts, original or duplicate copies.  Appellant denied falsifying any record.  Short of his admission that he authored the receipts there is no documentary proof of the fraud.  Cases of this nature are proven through the receipts.  Without the same</w:t>
      </w:r>
      <w:r w:rsidR="002866AA">
        <w:rPr>
          <w:sz w:val="24"/>
          <w:szCs w:val="24"/>
        </w:rPr>
        <w:t>,</w:t>
      </w:r>
      <w:r>
        <w:rPr>
          <w:sz w:val="24"/>
          <w:szCs w:val="24"/>
        </w:rPr>
        <w:t xml:space="preserve"> </w:t>
      </w:r>
      <w:proofErr w:type="spellStart"/>
      <w:r>
        <w:rPr>
          <w:sz w:val="24"/>
          <w:szCs w:val="24"/>
        </w:rPr>
        <w:t>Bwerez</w:t>
      </w:r>
      <w:r w:rsidR="000C2C95">
        <w:rPr>
          <w:sz w:val="24"/>
          <w:szCs w:val="24"/>
        </w:rPr>
        <w:t>ani’s</w:t>
      </w:r>
      <w:proofErr w:type="spellEnd"/>
      <w:r w:rsidR="000C2C95">
        <w:rPr>
          <w:sz w:val="24"/>
          <w:szCs w:val="24"/>
        </w:rPr>
        <w:t xml:space="preserve"> statement is insufficient</w:t>
      </w:r>
      <w:r>
        <w:rPr>
          <w:sz w:val="24"/>
          <w:szCs w:val="24"/>
        </w:rPr>
        <w:t xml:space="preserve"> </w:t>
      </w:r>
      <w:r w:rsidR="002866AA">
        <w:rPr>
          <w:sz w:val="24"/>
          <w:szCs w:val="24"/>
        </w:rPr>
        <w:t xml:space="preserve">and </w:t>
      </w:r>
      <w:r>
        <w:rPr>
          <w:sz w:val="24"/>
          <w:szCs w:val="24"/>
        </w:rPr>
        <w:t>it cannot support the guilty verdict passed.</w:t>
      </w:r>
    </w:p>
    <w:p w:rsidR="00FB362D" w:rsidRDefault="00FB362D" w:rsidP="009951AC">
      <w:pPr>
        <w:spacing w:line="360" w:lineRule="auto"/>
        <w:jc w:val="both"/>
        <w:rPr>
          <w:sz w:val="24"/>
          <w:szCs w:val="24"/>
        </w:rPr>
      </w:pPr>
      <w:r>
        <w:rPr>
          <w:sz w:val="24"/>
          <w:szCs w:val="24"/>
        </w:rPr>
        <w:tab/>
        <w:t>All in all I find that the appeal has merit and must succeed.</w:t>
      </w:r>
    </w:p>
    <w:p w:rsidR="00FB362D" w:rsidRDefault="00FB362D" w:rsidP="00FB362D">
      <w:pPr>
        <w:spacing w:line="360" w:lineRule="auto"/>
        <w:ind w:firstLine="360"/>
        <w:jc w:val="both"/>
        <w:rPr>
          <w:b/>
          <w:sz w:val="24"/>
          <w:szCs w:val="24"/>
        </w:rPr>
      </w:pPr>
      <w:r>
        <w:rPr>
          <w:b/>
          <w:sz w:val="24"/>
          <w:szCs w:val="24"/>
        </w:rPr>
        <w:t>Wherefore it is ordered that;</w:t>
      </w:r>
    </w:p>
    <w:p w:rsidR="00FB362D" w:rsidRDefault="00FB362D" w:rsidP="00FB362D">
      <w:pPr>
        <w:pStyle w:val="ListParagraph"/>
        <w:numPr>
          <w:ilvl w:val="0"/>
          <w:numId w:val="3"/>
        </w:numPr>
        <w:spacing w:line="360" w:lineRule="auto"/>
        <w:jc w:val="both"/>
        <w:rPr>
          <w:b/>
          <w:sz w:val="24"/>
          <w:szCs w:val="24"/>
        </w:rPr>
      </w:pPr>
      <w:r>
        <w:rPr>
          <w:b/>
          <w:sz w:val="24"/>
          <w:szCs w:val="24"/>
        </w:rPr>
        <w:t xml:space="preserve"> The appeal be and is hereby allowed;</w:t>
      </w:r>
    </w:p>
    <w:p w:rsidR="00FB362D" w:rsidRDefault="00FB362D" w:rsidP="00FB362D">
      <w:pPr>
        <w:pStyle w:val="ListParagraph"/>
        <w:numPr>
          <w:ilvl w:val="0"/>
          <w:numId w:val="3"/>
        </w:numPr>
        <w:spacing w:line="360" w:lineRule="auto"/>
        <w:jc w:val="both"/>
        <w:rPr>
          <w:b/>
          <w:sz w:val="24"/>
          <w:szCs w:val="24"/>
        </w:rPr>
      </w:pPr>
      <w:r>
        <w:rPr>
          <w:b/>
          <w:sz w:val="24"/>
          <w:szCs w:val="24"/>
        </w:rPr>
        <w:t>a)</w:t>
      </w:r>
      <w:r>
        <w:rPr>
          <w:b/>
          <w:sz w:val="24"/>
          <w:szCs w:val="24"/>
        </w:rPr>
        <w:tab/>
        <w:t>Respondents shall reinstate appellant without loss of salary benefits.</w:t>
      </w:r>
    </w:p>
    <w:p w:rsidR="00FB362D" w:rsidRDefault="00FB362D" w:rsidP="00FB362D">
      <w:pPr>
        <w:pStyle w:val="ListParagraph"/>
        <w:spacing w:line="360" w:lineRule="auto"/>
        <w:jc w:val="both"/>
        <w:rPr>
          <w:b/>
          <w:sz w:val="24"/>
          <w:szCs w:val="24"/>
        </w:rPr>
      </w:pPr>
      <w:r>
        <w:rPr>
          <w:b/>
          <w:sz w:val="24"/>
          <w:szCs w:val="24"/>
        </w:rPr>
        <w:t>b)</w:t>
      </w:r>
      <w:r>
        <w:rPr>
          <w:b/>
          <w:sz w:val="24"/>
          <w:szCs w:val="24"/>
        </w:rPr>
        <w:tab/>
        <w:t xml:space="preserve">If reinstatement is untenable, respondents shall pay appellant damages in </w:t>
      </w:r>
    </w:p>
    <w:p w:rsidR="00FB362D" w:rsidRPr="002866AA" w:rsidRDefault="00FB362D" w:rsidP="002866AA">
      <w:pPr>
        <w:pStyle w:val="ListParagraph"/>
        <w:spacing w:line="360" w:lineRule="auto"/>
        <w:ind w:left="1440"/>
        <w:jc w:val="both"/>
        <w:rPr>
          <w:b/>
          <w:sz w:val="24"/>
          <w:szCs w:val="24"/>
        </w:rPr>
      </w:pPr>
      <w:proofErr w:type="gramStart"/>
      <w:r>
        <w:rPr>
          <w:b/>
          <w:sz w:val="24"/>
          <w:szCs w:val="24"/>
        </w:rPr>
        <w:t>lieu</w:t>
      </w:r>
      <w:proofErr w:type="gramEnd"/>
      <w:r>
        <w:rPr>
          <w:b/>
          <w:sz w:val="24"/>
          <w:szCs w:val="24"/>
        </w:rPr>
        <w:t xml:space="preserve"> of reinstatement in a sum either agreed by the parties or assessed by this court.</w:t>
      </w:r>
    </w:p>
    <w:p w:rsidR="00FB362D" w:rsidRDefault="00FB362D" w:rsidP="00FB362D">
      <w:pPr>
        <w:pStyle w:val="ListParagraph"/>
        <w:spacing w:line="360" w:lineRule="auto"/>
        <w:ind w:left="1440"/>
        <w:jc w:val="both"/>
        <w:rPr>
          <w:b/>
          <w:sz w:val="24"/>
          <w:szCs w:val="24"/>
        </w:rPr>
      </w:pPr>
    </w:p>
    <w:p w:rsidR="00FB362D" w:rsidRDefault="00FB362D" w:rsidP="00FB362D">
      <w:pPr>
        <w:pStyle w:val="ListParagraph"/>
        <w:spacing w:line="360" w:lineRule="auto"/>
        <w:ind w:left="1440"/>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G MUSARIRI</w:t>
      </w:r>
    </w:p>
    <w:p w:rsidR="00F72FEF" w:rsidRPr="00F72FEF" w:rsidRDefault="00FB362D" w:rsidP="002866AA">
      <w:pPr>
        <w:pStyle w:val="ListParagraph"/>
        <w:spacing w:line="360" w:lineRule="auto"/>
        <w:ind w:left="1440"/>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J U D G E</w:t>
      </w:r>
    </w:p>
    <w:sectPr w:rsidR="00F72FEF" w:rsidRPr="00F72FEF" w:rsidSect="00F72FEF">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ACD" w:rsidRDefault="00A45ACD" w:rsidP="00F72FEF">
      <w:pPr>
        <w:spacing w:after="0" w:line="240" w:lineRule="auto"/>
      </w:pPr>
      <w:r>
        <w:separator/>
      </w:r>
    </w:p>
  </w:endnote>
  <w:endnote w:type="continuationSeparator" w:id="0">
    <w:p w:rsidR="00A45ACD" w:rsidRDefault="00A45ACD" w:rsidP="00F7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880360"/>
      <w:docPartObj>
        <w:docPartGallery w:val="Page Numbers (Bottom of Page)"/>
        <w:docPartUnique/>
      </w:docPartObj>
    </w:sdtPr>
    <w:sdtEndPr>
      <w:rPr>
        <w:noProof/>
      </w:rPr>
    </w:sdtEndPr>
    <w:sdtContent>
      <w:p w:rsidR="002866AA" w:rsidRDefault="002866AA">
        <w:pPr>
          <w:pStyle w:val="Footer"/>
          <w:jc w:val="right"/>
        </w:pPr>
        <w:r>
          <w:fldChar w:fldCharType="begin"/>
        </w:r>
        <w:r>
          <w:instrText xml:space="preserve"> PAGE   \* MERGEFORMAT </w:instrText>
        </w:r>
        <w:r>
          <w:fldChar w:fldCharType="separate"/>
        </w:r>
        <w:r w:rsidR="0049179F">
          <w:rPr>
            <w:noProof/>
          </w:rPr>
          <w:t>2</w:t>
        </w:r>
        <w:r>
          <w:rPr>
            <w:noProof/>
          </w:rPr>
          <w:fldChar w:fldCharType="end"/>
        </w:r>
      </w:p>
    </w:sdtContent>
  </w:sdt>
  <w:p w:rsidR="002866AA" w:rsidRDefault="002866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6AA" w:rsidRDefault="002866AA">
    <w:pPr>
      <w:pStyle w:val="Footer"/>
      <w:jc w:val="right"/>
    </w:pPr>
  </w:p>
  <w:p w:rsidR="002866AA" w:rsidRDefault="002866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ACD" w:rsidRDefault="00A45ACD" w:rsidP="00F72FEF">
      <w:pPr>
        <w:spacing w:after="0" w:line="240" w:lineRule="auto"/>
      </w:pPr>
      <w:r>
        <w:separator/>
      </w:r>
    </w:p>
  </w:footnote>
  <w:footnote w:type="continuationSeparator" w:id="0">
    <w:p w:rsidR="00A45ACD" w:rsidRDefault="00A45ACD" w:rsidP="00F72F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FEF" w:rsidRDefault="00F72FEF" w:rsidP="00F72FEF">
    <w:pPr>
      <w:ind w:left="5040" w:firstLine="720"/>
      <w:rPr>
        <w:b/>
        <w:sz w:val="24"/>
        <w:szCs w:val="24"/>
      </w:rPr>
    </w:pPr>
    <w:r>
      <w:rPr>
        <w:b/>
        <w:sz w:val="24"/>
        <w:szCs w:val="24"/>
      </w:rPr>
      <w:t>JUDGMENT NO LC/H/</w:t>
    </w:r>
    <w:r w:rsidR="002866AA">
      <w:rPr>
        <w:b/>
        <w:sz w:val="24"/>
        <w:szCs w:val="24"/>
      </w:rPr>
      <w:t>370</w:t>
    </w:r>
    <w:r>
      <w:rPr>
        <w:b/>
        <w:sz w:val="24"/>
        <w:szCs w:val="24"/>
      </w:rPr>
      <w:t>/16</w:t>
    </w:r>
  </w:p>
  <w:p w:rsidR="00F72FEF" w:rsidRDefault="00F72F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6CE1"/>
    <w:multiLevelType w:val="hybridMultilevel"/>
    <w:tmpl w:val="5FA6E524"/>
    <w:lvl w:ilvl="0" w:tplc="676E45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12E578E"/>
    <w:multiLevelType w:val="hybridMultilevel"/>
    <w:tmpl w:val="939091E6"/>
    <w:lvl w:ilvl="0" w:tplc="BDC00EF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1AE62862"/>
    <w:multiLevelType w:val="hybridMultilevel"/>
    <w:tmpl w:val="0FF46C5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FEF"/>
    <w:rsid w:val="000C2C95"/>
    <w:rsid w:val="00116177"/>
    <w:rsid w:val="002866AA"/>
    <w:rsid w:val="0049179F"/>
    <w:rsid w:val="007F1512"/>
    <w:rsid w:val="009951AC"/>
    <w:rsid w:val="00A45ACD"/>
    <w:rsid w:val="00C061A4"/>
    <w:rsid w:val="00E30A9F"/>
    <w:rsid w:val="00F002A0"/>
    <w:rsid w:val="00F72FEF"/>
    <w:rsid w:val="00FB362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FEF"/>
    <w:pPr>
      <w:ind w:left="720"/>
      <w:contextualSpacing/>
    </w:pPr>
  </w:style>
  <w:style w:type="paragraph" w:styleId="Header">
    <w:name w:val="header"/>
    <w:basedOn w:val="Normal"/>
    <w:link w:val="HeaderChar"/>
    <w:uiPriority w:val="99"/>
    <w:unhideWhenUsed/>
    <w:rsid w:val="00F72F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FEF"/>
  </w:style>
  <w:style w:type="paragraph" w:styleId="Footer">
    <w:name w:val="footer"/>
    <w:basedOn w:val="Normal"/>
    <w:link w:val="FooterChar"/>
    <w:uiPriority w:val="99"/>
    <w:unhideWhenUsed/>
    <w:rsid w:val="00F72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F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FEF"/>
    <w:pPr>
      <w:ind w:left="720"/>
      <w:contextualSpacing/>
    </w:pPr>
  </w:style>
  <w:style w:type="paragraph" w:styleId="Header">
    <w:name w:val="header"/>
    <w:basedOn w:val="Normal"/>
    <w:link w:val="HeaderChar"/>
    <w:uiPriority w:val="99"/>
    <w:unhideWhenUsed/>
    <w:rsid w:val="00F72F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FEF"/>
  </w:style>
  <w:style w:type="paragraph" w:styleId="Footer">
    <w:name w:val="footer"/>
    <w:basedOn w:val="Normal"/>
    <w:link w:val="FooterChar"/>
    <w:uiPriority w:val="99"/>
    <w:unhideWhenUsed/>
    <w:rsid w:val="00F72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2016-06-03T09:23:00Z</dcterms:created>
  <dcterms:modified xsi:type="dcterms:W3CDTF">2016-06-07T08:13:00Z</dcterms:modified>
</cp:coreProperties>
</file>