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FD1" w:rsidRDefault="00DC3CEF" w:rsidP="00DC3CEF">
      <w:pPr>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 xml:space="preserve">      (26)</w:t>
      </w:r>
    </w:p>
    <w:p w:rsidR="00DC3CEF" w:rsidRPr="00DC3CEF" w:rsidRDefault="00DC3CEF" w:rsidP="00DC3CEF">
      <w:pPr>
        <w:rPr>
          <w:rFonts w:ascii="Times New Roman" w:hAnsi="Times New Roman" w:cs="Times New Roman"/>
          <w:b/>
          <w:sz w:val="24"/>
          <w:szCs w:val="24"/>
        </w:rPr>
      </w:pPr>
    </w:p>
    <w:p w:rsidR="00E84D4D" w:rsidRPr="00157E3D" w:rsidRDefault="006E63B1" w:rsidP="00157E3D">
      <w:pPr>
        <w:pStyle w:val="ListParagraph"/>
        <w:numPr>
          <w:ilvl w:val="0"/>
          <w:numId w:val="6"/>
        </w:numPr>
        <w:spacing w:after="0" w:line="240" w:lineRule="auto"/>
        <w:jc w:val="center"/>
        <w:rPr>
          <w:rFonts w:ascii="Times New Roman" w:hAnsi="Times New Roman" w:cs="Times New Roman"/>
          <w:b/>
          <w:sz w:val="24"/>
          <w:szCs w:val="24"/>
          <w:lang w:val="en-ZA"/>
        </w:rPr>
      </w:pPr>
      <w:r w:rsidRPr="00157E3D">
        <w:rPr>
          <w:rFonts w:ascii="Times New Roman" w:hAnsi="Times New Roman" w:cs="Times New Roman"/>
          <w:b/>
          <w:sz w:val="24"/>
          <w:szCs w:val="24"/>
          <w:lang w:val="en-ZA"/>
        </w:rPr>
        <w:t xml:space="preserve">    GODFREY</w:t>
      </w:r>
      <w:r w:rsidR="00157E3D" w:rsidRPr="00157E3D">
        <w:rPr>
          <w:rFonts w:ascii="Times New Roman" w:hAnsi="Times New Roman" w:cs="Times New Roman"/>
          <w:b/>
          <w:sz w:val="24"/>
          <w:szCs w:val="24"/>
          <w:lang w:val="en-ZA"/>
        </w:rPr>
        <w:t xml:space="preserve"> </w:t>
      </w:r>
      <w:r w:rsidRPr="00157E3D">
        <w:rPr>
          <w:rFonts w:ascii="Times New Roman" w:hAnsi="Times New Roman" w:cs="Times New Roman"/>
          <w:b/>
          <w:sz w:val="24"/>
          <w:szCs w:val="24"/>
          <w:lang w:val="en-ZA"/>
        </w:rPr>
        <w:t xml:space="preserve">    </w:t>
      </w:r>
      <w:r w:rsidR="00021689" w:rsidRPr="00157E3D">
        <w:rPr>
          <w:rFonts w:ascii="Times New Roman" w:hAnsi="Times New Roman" w:cs="Times New Roman"/>
          <w:b/>
          <w:sz w:val="24"/>
          <w:szCs w:val="24"/>
          <w:lang w:val="en-ZA"/>
        </w:rPr>
        <w:t>TAPEDZA</w:t>
      </w:r>
      <w:r w:rsidR="00157E3D" w:rsidRPr="00157E3D">
        <w:rPr>
          <w:rFonts w:ascii="Times New Roman" w:hAnsi="Times New Roman" w:cs="Times New Roman"/>
          <w:b/>
          <w:sz w:val="24"/>
          <w:szCs w:val="24"/>
          <w:lang w:val="en-ZA"/>
        </w:rPr>
        <w:t xml:space="preserve"> </w:t>
      </w:r>
      <w:r w:rsidRPr="00157E3D">
        <w:rPr>
          <w:rFonts w:ascii="Times New Roman" w:hAnsi="Times New Roman" w:cs="Times New Roman"/>
          <w:b/>
          <w:sz w:val="24"/>
          <w:szCs w:val="24"/>
          <w:lang w:val="en-ZA"/>
        </w:rPr>
        <w:t xml:space="preserve">    (2)</w:t>
      </w:r>
      <w:r w:rsidR="00157E3D" w:rsidRPr="00157E3D">
        <w:rPr>
          <w:rFonts w:ascii="Times New Roman" w:hAnsi="Times New Roman" w:cs="Times New Roman"/>
          <w:b/>
          <w:sz w:val="24"/>
          <w:szCs w:val="24"/>
          <w:lang w:val="en-ZA"/>
        </w:rPr>
        <w:t xml:space="preserve"> </w:t>
      </w:r>
      <w:r w:rsidRPr="00157E3D">
        <w:rPr>
          <w:rFonts w:ascii="Times New Roman" w:hAnsi="Times New Roman" w:cs="Times New Roman"/>
          <w:b/>
          <w:sz w:val="24"/>
          <w:szCs w:val="24"/>
          <w:lang w:val="en-ZA"/>
        </w:rPr>
        <w:t xml:space="preserve">    </w:t>
      </w:r>
      <w:r w:rsidR="000B594A" w:rsidRPr="00157E3D">
        <w:rPr>
          <w:rFonts w:ascii="Times New Roman" w:hAnsi="Times New Roman" w:cs="Times New Roman"/>
          <w:b/>
          <w:sz w:val="24"/>
          <w:szCs w:val="24"/>
          <w:lang w:val="en-ZA"/>
        </w:rPr>
        <w:t xml:space="preserve">ANGELICA </w:t>
      </w:r>
      <w:r w:rsidRPr="00157E3D">
        <w:rPr>
          <w:rFonts w:ascii="Times New Roman" w:hAnsi="Times New Roman" w:cs="Times New Roman"/>
          <w:b/>
          <w:sz w:val="24"/>
          <w:szCs w:val="24"/>
          <w:lang w:val="en-ZA"/>
        </w:rPr>
        <w:t xml:space="preserve">    MAGODORA     (3)    </w:t>
      </w:r>
      <w:r w:rsidR="00157E3D">
        <w:rPr>
          <w:rFonts w:ascii="Times New Roman" w:hAnsi="Times New Roman" w:cs="Times New Roman"/>
          <w:b/>
          <w:sz w:val="24"/>
          <w:szCs w:val="24"/>
          <w:lang w:val="en-ZA"/>
        </w:rPr>
        <w:t xml:space="preserve"> </w:t>
      </w:r>
      <w:r w:rsidRPr="00157E3D">
        <w:rPr>
          <w:rFonts w:ascii="Times New Roman" w:hAnsi="Times New Roman" w:cs="Times New Roman"/>
          <w:b/>
          <w:sz w:val="24"/>
          <w:szCs w:val="24"/>
          <w:lang w:val="en-ZA"/>
        </w:rPr>
        <w:t>CHRISTINA     MOYO     (4)</w:t>
      </w:r>
      <w:r w:rsidR="00157E3D">
        <w:rPr>
          <w:rFonts w:ascii="Times New Roman" w:hAnsi="Times New Roman" w:cs="Times New Roman"/>
          <w:b/>
          <w:sz w:val="24"/>
          <w:szCs w:val="24"/>
          <w:lang w:val="en-ZA"/>
        </w:rPr>
        <w:t xml:space="preserve"> </w:t>
      </w:r>
      <w:r w:rsidRPr="00157E3D">
        <w:rPr>
          <w:rFonts w:ascii="Times New Roman" w:hAnsi="Times New Roman" w:cs="Times New Roman"/>
          <w:b/>
          <w:sz w:val="24"/>
          <w:szCs w:val="24"/>
          <w:lang w:val="en-ZA"/>
        </w:rPr>
        <w:t xml:space="preserve">    GRANT     GARANDI</w:t>
      </w:r>
      <w:r w:rsidR="00157E3D">
        <w:rPr>
          <w:rFonts w:ascii="Times New Roman" w:hAnsi="Times New Roman" w:cs="Times New Roman"/>
          <w:b/>
          <w:sz w:val="24"/>
          <w:szCs w:val="24"/>
          <w:lang w:val="en-ZA"/>
        </w:rPr>
        <w:t xml:space="preserve"> </w:t>
      </w:r>
      <w:r w:rsidRPr="00157E3D">
        <w:rPr>
          <w:rFonts w:ascii="Times New Roman" w:hAnsi="Times New Roman" w:cs="Times New Roman"/>
          <w:b/>
          <w:sz w:val="24"/>
          <w:szCs w:val="24"/>
          <w:lang w:val="en-ZA"/>
        </w:rPr>
        <w:t xml:space="preserve">    </w:t>
      </w:r>
      <w:r w:rsidR="000B594A" w:rsidRPr="00157E3D">
        <w:rPr>
          <w:rFonts w:ascii="Times New Roman" w:hAnsi="Times New Roman" w:cs="Times New Roman"/>
          <w:b/>
          <w:sz w:val="24"/>
          <w:szCs w:val="24"/>
          <w:lang w:val="en-ZA"/>
        </w:rPr>
        <w:t xml:space="preserve">(5)     TAFADZWA     NGWENYA     (6)     NDAIZIVEI     MKUNYADZE     (7)     GRACE </w:t>
      </w:r>
      <w:r w:rsidRPr="00157E3D">
        <w:rPr>
          <w:rFonts w:ascii="Times New Roman" w:hAnsi="Times New Roman" w:cs="Times New Roman"/>
          <w:b/>
          <w:sz w:val="24"/>
          <w:szCs w:val="24"/>
          <w:lang w:val="en-ZA"/>
        </w:rPr>
        <w:t xml:space="preserve">    </w:t>
      </w:r>
      <w:r w:rsidR="000B594A" w:rsidRPr="00157E3D">
        <w:rPr>
          <w:rFonts w:ascii="Times New Roman" w:hAnsi="Times New Roman" w:cs="Times New Roman"/>
          <w:b/>
          <w:sz w:val="24"/>
          <w:szCs w:val="24"/>
          <w:lang w:val="en-ZA"/>
        </w:rPr>
        <w:t>NYABANGA     (8)     RODNEY     RUSHAMBWA     (9)     JUSTIN     MAILOS     (10)     TONDERAI</w:t>
      </w:r>
      <w:r w:rsidRPr="00157E3D">
        <w:rPr>
          <w:rFonts w:ascii="Times New Roman" w:hAnsi="Times New Roman" w:cs="Times New Roman"/>
          <w:b/>
          <w:sz w:val="24"/>
          <w:szCs w:val="24"/>
          <w:lang w:val="en-ZA"/>
        </w:rPr>
        <w:t xml:space="preserve">     </w:t>
      </w:r>
      <w:r w:rsidR="000B594A" w:rsidRPr="00157E3D">
        <w:rPr>
          <w:rFonts w:ascii="Times New Roman" w:hAnsi="Times New Roman" w:cs="Times New Roman"/>
          <w:b/>
          <w:sz w:val="24"/>
          <w:szCs w:val="24"/>
          <w:lang w:val="en-ZA"/>
        </w:rPr>
        <w:t>NYAMWEDA     (11)     ZIMBABWE</w:t>
      </w:r>
      <w:r w:rsidR="00EB1406" w:rsidRPr="00157E3D">
        <w:rPr>
          <w:rFonts w:ascii="Times New Roman" w:hAnsi="Times New Roman" w:cs="Times New Roman"/>
          <w:b/>
          <w:sz w:val="24"/>
          <w:szCs w:val="24"/>
          <w:lang w:val="en-ZA"/>
        </w:rPr>
        <w:t xml:space="preserve">     ENERGY     WORKERS     UNION</w:t>
      </w:r>
    </w:p>
    <w:p w:rsidR="00E84D4D" w:rsidRPr="00157E3D" w:rsidRDefault="00021689" w:rsidP="00D9385A">
      <w:pPr>
        <w:spacing w:after="0" w:line="240" w:lineRule="auto"/>
        <w:jc w:val="center"/>
        <w:rPr>
          <w:rFonts w:ascii="Times New Roman" w:hAnsi="Times New Roman" w:cs="Times New Roman"/>
          <w:b/>
          <w:sz w:val="24"/>
          <w:szCs w:val="24"/>
          <w:lang w:val="en-ZA"/>
        </w:rPr>
      </w:pPr>
      <w:r w:rsidRPr="00157E3D">
        <w:rPr>
          <w:rFonts w:ascii="Times New Roman" w:hAnsi="Times New Roman" w:cs="Times New Roman"/>
          <w:b/>
          <w:sz w:val="24"/>
          <w:szCs w:val="24"/>
          <w:lang w:val="en-ZA"/>
        </w:rPr>
        <w:t>v</w:t>
      </w:r>
    </w:p>
    <w:p w:rsidR="00EB1406" w:rsidRPr="00157E3D" w:rsidRDefault="006E63B1" w:rsidP="00D9385A">
      <w:pPr>
        <w:pStyle w:val="ListParagraph"/>
        <w:spacing w:after="0" w:line="240" w:lineRule="auto"/>
        <w:ind w:left="0"/>
        <w:jc w:val="center"/>
        <w:rPr>
          <w:rFonts w:ascii="Times New Roman" w:hAnsi="Times New Roman" w:cs="Times New Roman"/>
          <w:b/>
          <w:sz w:val="24"/>
          <w:szCs w:val="24"/>
          <w:lang w:val="en-ZA"/>
        </w:rPr>
      </w:pPr>
      <w:r w:rsidRPr="00157E3D">
        <w:rPr>
          <w:rFonts w:ascii="Times New Roman" w:hAnsi="Times New Roman" w:cs="Times New Roman"/>
          <w:b/>
          <w:sz w:val="24"/>
          <w:szCs w:val="24"/>
          <w:lang w:val="en-ZA"/>
        </w:rPr>
        <w:t xml:space="preserve">(1)     </w:t>
      </w:r>
      <w:r w:rsidR="00021689" w:rsidRPr="00157E3D">
        <w:rPr>
          <w:rFonts w:ascii="Times New Roman" w:hAnsi="Times New Roman" w:cs="Times New Roman"/>
          <w:b/>
          <w:sz w:val="24"/>
          <w:szCs w:val="24"/>
          <w:lang w:val="en-ZA"/>
        </w:rPr>
        <w:t>ZIMBABWE</w:t>
      </w:r>
      <w:r w:rsidR="00EB1406" w:rsidRPr="00157E3D">
        <w:rPr>
          <w:rFonts w:ascii="Times New Roman" w:hAnsi="Times New Roman" w:cs="Times New Roman"/>
          <w:b/>
          <w:sz w:val="24"/>
          <w:szCs w:val="24"/>
          <w:lang w:val="en-ZA"/>
        </w:rPr>
        <w:t xml:space="preserve">    </w:t>
      </w:r>
      <w:r w:rsidR="00021689" w:rsidRPr="00157E3D">
        <w:rPr>
          <w:rFonts w:ascii="Times New Roman" w:hAnsi="Times New Roman" w:cs="Times New Roman"/>
          <w:b/>
          <w:sz w:val="24"/>
          <w:szCs w:val="24"/>
          <w:lang w:val="en-ZA"/>
        </w:rPr>
        <w:t xml:space="preserve"> ENERG</w:t>
      </w:r>
      <w:r w:rsidR="00EB1406" w:rsidRPr="00157E3D">
        <w:rPr>
          <w:rFonts w:ascii="Times New Roman" w:hAnsi="Times New Roman" w:cs="Times New Roman"/>
          <w:b/>
          <w:sz w:val="24"/>
          <w:szCs w:val="24"/>
          <w:lang w:val="en-ZA"/>
        </w:rPr>
        <w:t xml:space="preserve">Y </w:t>
      </w:r>
      <w:r w:rsidR="00D9385A" w:rsidRPr="00157E3D">
        <w:rPr>
          <w:rFonts w:ascii="Times New Roman" w:hAnsi="Times New Roman" w:cs="Times New Roman"/>
          <w:b/>
          <w:sz w:val="24"/>
          <w:szCs w:val="24"/>
          <w:lang w:val="en-ZA"/>
        </w:rPr>
        <w:t xml:space="preserve">    REGULATORY     AUTHORITY   </w:t>
      </w:r>
      <w:r w:rsidR="00570EF1">
        <w:rPr>
          <w:rFonts w:ascii="Times New Roman" w:hAnsi="Times New Roman" w:cs="Times New Roman"/>
          <w:b/>
          <w:sz w:val="24"/>
          <w:szCs w:val="24"/>
          <w:lang w:val="en-ZA"/>
        </w:rPr>
        <w:t xml:space="preserve"> </w:t>
      </w:r>
      <w:r w:rsidR="00EB1406" w:rsidRPr="00157E3D">
        <w:rPr>
          <w:rFonts w:ascii="Times New Roman" w:hAnsi="Times New Roman" w:cs="Times New Roman"/>
          <w:b/>
          <w:sz w:val="24"/>
          <w:szCs w:val="24"/>
          <w:lang w:val="en-ZA"/>
        </w:rPr>
        <w:t>(2)</w:t>
      </w:r>
    </w:p>
    <w:p w:rsidR="00E84D4D" w:rsidRPr="00157E3D" w:rsidRDefault="00570EF1" w:rsidP="00D9385A">
      <w:pPr>
        <w:pStyle w:val="ListParagraph"/>
        <w:spacing w:after="0" w:line="240" w:lineRule="auto"/>
        <w:ind w:left="0"/>
        <w:jc w:val="center"/>
        <w:rPr>
          <w:rFonts w:ascii="Times New Roman" w:hAnsi="Times New Roman" w:cs="Times New Roman"/>
          <w:b/>
          <w:sz w:val="24"/>
          <w:szCs w:val="24"/>
          <w:lang w:val="en-ZA"/>
        </w:rPr>
      </w:pPr>
      <w:r>
        <w:rPr>
          <w:rFonts w:ascii="Times New Roman" w:hAnsi="Times New Roman" w:cs="Times New Roman"/>
          <w:b/>
          <w:sz w:val="24"/>
          <w:szCs w:val="24"/>
          <w:lang w:val="en-ZA"/>
        </w:rPr>
        <w:t xml:space="preserve">    </w:t>
      </w:r>
      <w:r w:rsidR="00D9385A" w:rsidRPr="00157E3D">
        <w:rPr>
          <w:rFonts w:ascii="Times New Roman" w:hAnsi="Times New Roman" w:cs="Times New Roman"/>
          <w:b/>
          <w:sz w:val="24"/>
          <w:szCs w:val="24"/>
          <w:lang w:val="en-ZA"/>
        </w:rPr>
        <w:t xml:space="preserve">NATIONAL     EMPLOYMENT     </w:t>
      </w:r>
      <w:r w:rsidR="00EB1406" w:rsidRPr="00157E3D">
        <w:rPr>
          <w:rFonts w:ascii="Times New Roman" w:hAnsi="Times New Roman" w:cs="Times New Roman"/>
          <w:b/>
          <w:sz w:val="24"/>
          <w:szCs w:val="24"/>
          <w:lang w:val="en-ZA"/>
        </w:rPr>
        <w:t>COUNCIL     FOR     THE     ENERGY</w:t>
      </w:r>
      <w:r w:rsidR="00D9385A" w:rsidRPr="00157E3D">
        <w:rPr>
          <w:rFonts w:ascii="Times New Roman" w:hAnsi="Times New Roman" w:cs="Times New Roman"/>
          <w:b/>
          <w:sz w:val="24"/>
          <w:szCs w:val="24"/>
          <w:lang w:val="en-ZA"/>
        </w:rPr>
        <w:t xml:space="preserve">     </w:t>
      </w:r>
      <w:r w:rsidR="00441A1B" w:rsidRPr="00157E3D">
        <w:rPr>
          <w:rFonts w:ascii="Times New Roman" w:hAnsi="Times New Roman" w:cs="Times New Roman"/>
          <w:b/>
          <w:sz w:val="24"/>
          <w:szCs w:val="24"/>
          <w:lang w:val="en-ZA"/>
        </w:rPr>
        <w:t>INDUSTRY</w:t>
      </w:r>
    </w:p>
    <w:p w:rsidR="00DC5E76" w:rsidRPr="00157E3D" w:rsidRDefault="00DC5E76" w:rsidP="00EB1406">
      <w:pPr>
        <w:spacing w:after="0" w:line="480" w:lineRule="auto"/>
        <w:rPr>
          <w:rFonts w:ascii="Times New Roman" w:eastAsia="Calibri" w:hAnsi="Times New Roman" w:cs="Times New Roman"/>
          <w:b/>
          <w:sz w:val="24"/>
          <w:szCs w:val="24"/>
          <w:lang w:val="en-ZA"/>
        </w:rPr>
      </w:pPr>
    </w:p>
    <w:p w:rsidR="00D9385A" w:rsidRPr="00157E3D" w:rsidRDefault="00D9385A" w:rsidP="00D9385A">
      <w:pPr>
        <w:spacing w:after="0" w:line="480" w:lineRule="auto"/>
        <w:rPr>
          <w:rFonts w:ascii="Times New Roman" w:eastAsia="Calibri" w:hAnsi="Times New Roman" w:cs="Times New Roman"/>
          <w:b/>
          <w:sz w:val="24"/>
          <w:szCs w:val="24"/>
          <w:lang w:val="en-ZA"/>
        </w:rPr>
      </w:pPr>
    </w:p>
    <w:p w:rsidR="00E84D4D" w:rsidRPr="00157E3D" w:rsidRDefault="00E84D4D" w:rsidP="00E84D4D">
      <w:pPr>
        <w:spacing w:after="0" w:line="240" w:lineRule="auto"/>
        <w:rPr>
          <w:rFonts w:ascii="Times New Roman" w:eastAsia="Calibri" w:hAnsi="Times New Roman" w:cs="Times New Roman"/>
          <w:b/>
          <w:sz w:val="24"/>
          <w:szCs w:val="24"/>
          <w:lang w:val="en-ZA"/>
        </w:rPr>
      </w:pPr>
      <w:r w:rsidRPr="00157E3D">
        <w:rPr>
          <w:rFonts w:ascii="Times New Roman" w:eastAsia="Calibri" w:hAnsi="Times New Roman" w:cs="Times New Roman"/>
          <w:b/>
          <w:sz w:val="24"/>
          <w:szCs w:val="24"/>
          <w:lang w:val="en-ZA"/>
        </w:rPr>
        <w:t>SUPREME COURT OF ZIMBABWE</w:t>
      </w:r>
    </w:p>
    <w:p w:rsidR="00E84D4D" w:rsidRPr="00157E3D" w:rsidRDefault="00021689" w:rsidP="00E84D4D">
      <w:pPr>
        <w:spacing w:after="0" w:line="240" w:lineRule="auto"/>
        <w:rPr>
          <w:rFonts w:ascii="Times New Roman" w:eastAsia="Calibri" w:hAnsi="Times New Roman" w:cs="Times New Roman"/>
          <w:b/>
          <w:sz w:val="24"/>
          <w:szCs w:val="24"/>
          <w:lang w:val="en-ZA"/>
        </w:rPr>
      </w:pPr>
      <w:r w:rsidRPr="00157E3D">
        <w:rPr>
          <w:rFonts w:ascii="Times New Roman" w:eastAsia="Calibri" w:hAnsi="Times New Roman" w:cs="Times New Roman"/>
          <w:b/>
          <w:sz w:val="24"/>
          <w:szCs w:val="24"/>
          <w:lang w:val="en-ZA"/>
        </w:rPr>
        <w:t xml:space="preserve">GWAUNZA JA, </w:t>
      </w:r>
      <w:r w:rsidR="00E84D4D" w:rsidRPr="00157E3D">
        <w:rPr>
          <w:rFonts w:ascii="Times New Roman" w:eastAsia="Calibri" w:hAnsi="Times New Roman" w:cs="Times New Roman"/>
          <w:b/>
          <w:sz w:val="24"/>
          <w:szCs w:val="24"/>
          <w:lang w:val="en-ZA"/>
        </w:rPr>
        <w:t>HLATSHWAYO JA</w:t>
      </w:r>
      <w:r w:rsidRPr="00157E3D">
        <w:rPr>
          <w:rFonts w:ascii="Times New Roman" w:eastAsia="Calibri" w:hAnsi="Times New Roman" w:cs="Times New Roman"/>
          <w:b/>
          <w:sz w:val="24"/>
          <w:szCs w:val="24"/>
          <w:lang w:val="en-ZA"/>
        </w:rPr>
        <w:t>, &amp; PATEL</w:t>
      </w:r>
      <w:r w:rsidR="00E84D4D" w:rsidRPr="00157E3D">
        <w:rPr>
          <w:rFonts w:ascii="Times New Roman" w:eastAsia="Calibri" w:hAnsi="Times New Roman" w:cs="Times New Roman"/>
          <w:b/>
          <w:sz w:val="24"/>
          <w:szCs w:val="24"/>
          <w:lang w:val="en-ZA"/>
        </w:rPr>
        <w:t xml:space="preserve"> JA</w:t>
      </w:r>
    </w:p>
    <w:p w:rsidR="00E84D4D" w:rsidRPr="00157E3D" w:rsidRDefault="00E84D4D" w:rsidP="00E84D4D">
      <w:pPr>
        <w:spacing w:after="0" w:line="360" w:lineRule="auto"/>
        <w:jc w:val="both"/>
        <w:rPr>
          <w:rFonts w:ascii="Times New Roman" w:eastAsia="Calibri" w:hAnsi="Times New Roman" w:cs="Times New Roman"/>
          <w:b/>
          <w:sz w:val="24"/>
          <w:szCs w:val="24"/>
          <w:lang w:val="en-ZA"/>
        </w:rPr>
      </w:pPr>
      <w:r w:rsidRPr="00157E3D">
        <w:rPr>
          <w:rFonts w:ascii="Times New Roman" w:eastAsia="Calibri" w:hAnsi="Times New Roman" w:cs="Times New Roman"/>
          <w:b/>
          <w:sz w:val="24"/>
          <w:szCs w:val="24"/>
          <w:lang w:val="en-ZA"/>
        </w:rPr>
        <w:t>HARARE</w:t>
      </w:r>
      <w:r w:rsidR="00861FAC" w:rsidRPr="00157E3D">
        <w:rPr>
          <w:rFonts w:ascii="Times New Roman" w:eastAsia="Calibri" w:hAnsi="Times New Roman" w:cs="Times New Roman"/>
          <w:b/>
          <w:sz w:val="24"/>
          <w:szCs w:val="24"/>
          <w:lang w:val="en-ZA"/>
        </w:rPr>
        <w:t>, MAY</w:t>
      </w:r>
      <w:r w:rsidR="00021689" w:rsidRPr="00157E3D">
        <w:rPr>
          <w:rFonts w:ascii="Times New Roman" w:eastAsia="Calibri" w:hAnsi="Times New Roman" w:cs="Times New Roman"/>
          <w:b/>
          <w:sz w:val="24"/>
          <w:szCs w:val="24"/>
          <w:lang w:val="en-ZA"/>
        </w:rPr>
        <w:t xml:space="preserve"> </w:t>
      </w:r>
      <w:r w:rsidR="00EB1406" w:rsidRPr="00157E3D">
        <w:rPr>
          <w:rFonts w:ascii="Times New Roman" w:eastAsia="Calibri" w:hAnsi="Times New Roman" w:cs="Times New Roman"/>
          <w:b/>
          <w:sz w:val="24"/>
          <w:szCs w:val="24"/>
          <w:lang w:val="en-ZA"/>
        </w:rPr>
        <w:t xml:space="preserve">26, </w:t>
      </w:r>
      <w:r w:rsidR="00021689" w:rsidRPr="00157E3D">
        <w:rPr>
          <w:rFonts w:ascii="Times New Roman" w:eastAsia="Calibri" w:hAnsi="Times New Roman" w:cs="Times New Roman"/>
          <w:b/>
          <w:sz w:val="24"/>
          <w:szCs w:val="24"/>
          <w:lang w:val="en-ZA"/>
        </w:rPr>
        <w:t>2017</w:t>
      </w:r>
      <w:r w:rsidRPr="00157E3D">
        <w:rPr>
          <w:rFonts w:ascii="Times New Roman" w:eastAsia="Calibri" w:hAnsi="Times New Roman" w:cs="Times New Roman"/>
          <w:b/>
          <w:sz w:val="24"/>
          <w:szCs w:val="24"/>
          <w:lang w:val="en-ZA"/>
        </w:rPr>
        <w:t xml:space="preserve"> &amp; </w:t>
      </w:r>
      <w:r w:rsidR="00D9385A" w:rsidRPr="00157E3D">
        <w:rPr>
          <w:rFonts w:ascii="Times New Roman" w:eastAsia="Calibri" w:hAnsi="Times New Roman" w:cs="Times New Roman"/>
          <w:b/>
          <w:sz w:val="24"/>
          <w:szCs w:val="24"/>
          <w:lang w:val="en-ZA"/>
        </w:rPr>
        <w:t>F</w:t>
      </w:r>
      <w:r w:rsidR="0095013E" w:rsidRPr="00157E3D">
        <w:rPr>
          <w:rFonts w:ascii="Times New Roman" w:eastAsia="Calibri" w:hAnsi="Times New Roman" w:cs="Times New Roman"/>
          <w:b/>
          <w:sz w:val="24"/>
          <w:szCs w:val="24"/>
          <w:lang w:val="en-ZA"/>
        </w:rPr>
        <w:t>EBRUARY</w:t>
      </w:r>
      <w:r w:rsidR="00D9385A" w:rsidRPr="00157E3D">
        <w:rPr>
          <w:rFonts w:ascii="Times New Roman" w:eastAsia="Calibri" w:hAnsi="Times New Roman" w:cs="Times New Roman"/>
          <w:b/>
          <w:sz w:val="24"/>
          <w:szCs w:val="24"/>
          <w:lang w:val="en-ZA"/>
        </w:rPr>
        <w:t xml:space="preserve"> </w:t>
      </w:r>
      <w:r w:rsidR="003A5F93">
        <w:rPr>
          <w:rFonts w:ascii="Times New Roman" w:eastAsia="Calibri" w:hAnsi="Times New Roman" w:cs="Times New Roman"/>
          <w:b/>
          <w:sz w:val="24"/>
          <w:szCs w:val="24"/>
          <w:lang w:val="en-ZA"/>
        </w:rPr>
        <w:t>28</w:t>
      </w:r>
      <w:r w:rsidR="00EB1406" w:rsidRPr="00157E3D">
        <w:rPr>
          <w:rFonts w:ascii="Times New Roman" w:eastAsia="Calibri" w:hAnsi="Times New Roman" w:cs="Times New Roman"/>
          <w:b/>
          <w:sz w:val="24"/>
          <w:szCs w:val="24"/>
          <w:lang w:val="en-ZA"/>
        </w:rPr>
        <w:t>, 2020</w:t>
      </w:r>
    </w:p>
    <w:p w:rsidR="00E84D4D" w:rsidRPr="00157E3D" w:rsidRDefault="00E84D4D" w:rsidP="00E84D4D">
      <w:pPr>
        <w:spacing w:after="0" w:line="360" w:lineRule="auto"/>
        <w:jc w:val="both"/>
        <w:rPr>
          <w:rFonts w:ascii="Times New Roman" w:eastAsia="Calibri" w:hAnsi="Times New Roman" w:cs="Times New Roman"/>
          <w:b/>
          <w:sz w:val="24"/>
          <w:szCs w:val="24"/>
          <w:lang w:val="en-ZA"/>
        </w:rPr>
      </w:pPr>
    </w:p>
    <w:p w:rsidR="00E84D4D" w:rsidRPr="00157E3D" w:rsidRDefault="00E84D4D" w:rsidP="00E84D4D">
      <w:pPr>
        <w:spacing w:after="0" w:line="360" w:lineRule="auto"/>
        <w:jc w:val="both"/>
        <w:rPr>
          <w:rFonts w:ascii="Times New Roman" w:eastAsia="Calibri" w:hAnsi="Times New Roman" w:cs="Times New Roman"/>
          <w:b/>
          <w:sz w:val="24"/>
          <w:szCs w:val="24"/>
          <w:lang w:val="en-ZA"/>
        </w:rPr>
      </w:pPr>
    </w:p>
    <w:p w:rsidR="00E84D4D" w:rsidRPr="00157E3D" w:rsidRDefault="00955E3A" w:rsidP="008A5793">
      <w:pPr>
        <w:spacing w:after="0" w:line="480" w:lineRule="auto"/>
        <w:jc w:val="both"/>
        <w:rPr>
          <w:rFonts w:ascii="Times New Roman" w:eastAsia="Calibri" w:hAnsi="Times New Roman" w:cs="Times New Roman"/>
          <w:i/>
          <w:sz w:val="24"/>
          <w:szCs w:val="24"/>
          <w:lang w:val="en-ZA"/>
        </w:rPr>
      </w:pPr>
      <w:r w:rsidRPr="00157E3D">
        <w:rPr>
          <w:rFonts w:ascii="Times New Roman" w:eastAsia="Calibri" w:hAnsi="Times New Roman" w:cs="Times New Roman"/>
          <w:i/>
          <w:sz w:val="24"/>
          <w:szCs w:val="24"/>
          <w:lang w:val="en-ZA"/>
        </w:rPr>
        <w:t>R Chingwena</w:t>
      </w:r>
      <w:r w:rsidR="00E84D4D" w:rsidRPr="00157E3D">
        <w:rPr>
          <w:rFonts w:ascii="Times New Roman" w:eastAsia="Calibri" w:hAnsi="Times New Roman" w:cs="Times New Roman"/>
          <w:i/>
          <w:sz w:val="24"/>
          <w:szCs w:val="24"/>
          <w:lang w:val="en-ZA"/>
        </w:rPr>
        <w:t xml:space="preserve">, </w:t>
      </w:r>
      <w:r w:rsidR="00E84D4D" w:rsidRPr="00157E3D">
        <w:rPr>
          <w:rFonts w:ascii="Times New Roman" w:eastAsia="Calibri" w:hAnsi="Times New Roman" w:cs="Times New Roman"/>
          <w:sz w:val="24"/>
          <w:szCs w:val="24"/>
          <w:lang w:val="en-ZA"/>
        </w:rPr>
        <w:t>for the appellant</w:t>
      </w:r>
      <w:r w:rsidR="00441A1B" w:rsidRPr="00157E3D">
        <w:rPr>
          <w:rFonts w:ascii="Times New Roman" w:eastAsia="Calibri" w:hAnsi="Times New Roman" w:cs="Times New Roman"/>
          <w:sz w:val="24"/>
          <w:szCs w:val="24"/>
          <w:lang w:val="en-ZA"/>
        </w:rPr>
        <w:t>s</w:t>
      </w:r>
    </w:p>
    <w:p w:rsidR="00E84D4D" w:rsidRPr="00157E3D" w:rsidRDefault="00955E3A" w:rsidP="008A5793">
      <w:pPr>
        <w:spacing w:after="0" w:line="480" w:lineRule="auto"/>
        <w:jc w:val="both"/>
        <w:rPr>
          <w:rFonts w:ascii="Times New Roman" w:eastAsia="Calibri" w:hAnsi="Times New Roman" w:cs="Times New Roman"/>
          <w:sz w:val="24"/>
          <w:szCs w:val="24"/>
          <w:lang w:val="en-ZA"/>
        </w:rPr>
      </w:pPr>
      <w:r w:rsidRPr="00157E3D">
        <w:rPr>
          <w:rFonts w:ascii="Times New Roman" w:eastAsia="Calibri" w:hAnsi="Times New Roman" w:cs="Times New Roman"/>
          <w:sz w:val="24"/>
          <w:szCs w:val="24"/>
          <w:lang w:val="en-ZA"/>
        </w:rPr>
        <w:t>No appearance</w:t>
      </w:r>
      <w:r w:rsidR="00E84D4D" w:rsidRPr="00157E3D">
        <w:rPr>
          <w:rFonts w:ascii="Times New Roman" w:eastAsia="Calibri" w:hAnsi="Times New Roman" w:cs="Times New Roman"/>
          <w:i/>
          <w:sz w:val="24"/>
          <w:szCs w:val="24"/>
          <w:lang w:val="en-ZA"/>
        </w:rPr>
        <w:t xml:space="preserve"> </w:t>
      </w:r>
      <w:r w:rsidR="00E84D4D" w:rsidRPr="00157E3D">
        <w:rPr>
          <w:rFonts w:ascii="Times New Roman" w:eastAsia="Calibri" w:hAnsi="Times New Roman" w:cs="Times New Roman"/>
          <w:sz w:val="24"/>
          <w:szCs w:val="24"/>
          <w:lang w:val="en-ZA"/>
        </w:rPr>
        <w:t xml:space="preserve">for the </w:t>
      </w:r>
      <w:r w:rsidR="00441A1B" w:rsidRPr="00157E3D">
        <w:rPr>
          <w:rFonts w:ascii="Times New Roman" w:eastAsia="Calibri" w:hAnsi="Times New Roman" w:cs="Times New Roman"/>
          <w:sz w:val="24"/>
          <w:szCs w:val="24"/>
          <w:lang w:val="en-ZA"/>
        </w:rPr>
        <w:t xml:space="preserve">first </w:t>
      </w:r>
      <w:r w:rsidR="00E84D4D" w:rsidRPr="00157E3D">
        <w:rPr>
          <w:rFonts w:ascii="Times New Roman" w:eastAsia="Calibri" w:hAnsi="Times New Roman" w:cs="Times New Roman"/>
          <w:sz w:val="24"/>
          <w:szCs w:val="24"/>
          <w:lang w:val="en-ZA"/>
        </w:rPr>
        <w:t>respondent</w:t>
      </w:r>
    </w:p>
    <w:p w:rsidR="00955E3A" w:rsidRPr="00157E3D" w:rsidRDefault="00955E3A" w:rsidP="008A5793">
      <w:pPr>
        <w:spacing w:after="0" w:line="480" w:lineRule="auto"/>
        <w:jc w:val="both"/>
        <w:rPr>
          <w:rFonts w:ascii="Times New Roman" w:eastAsia="Calibri" w:hAnsi="Times New Roman" w:cs="Times New Roman"/>
          <w:sz w:val="24"/>
          <w:szCs w:val="24"/>
          <w:lang w:val="en-ZA"/>
        </w:rPr>
      </w:pPr>
      <w:r w:rsidRPr="00157E3D">
        <w:rPr>
          <w:rFonts w:ascii="Times New Roman" w:eastAsia="Calibri" w:hAnsi="Times New Roman" w:cs="Times New Roman"/>
          <w:i/>
          <w:sz w:val="24"/>
          <w:szCs w:val="24"/>
          <w:lang w:val="en-ZA"/>
        </w:rPr>
        <w:t xml:space="preserve">E Matinenga </w:t>
      </w:r>
      <w:r w:rsidRPr="00157E3D">
        <w:rPr>
          <w:rFonts w:ascii="Times New Roman" w:eastAsia="Calibri" w:hAnsi="Times New Roman" w:cs="Times New Roman"/>
          <w:sz w:val="24"/>
          <w:szCs w:val="24"/>
          <w:lang w:val="en-ZA"/>
        </w:rPr>
        <w:t xml:space="preserve">with </w:t>
      </w:r>
      <w:r w:rsidRPr="00157E3D">
        <w:rPr>
          <w:rFonts w:ascii="Times New Roman" w:eastAsia="Calibri" w:hAnsi="Times New Roman" w:cs="Times New Roman"/>
          <w:i/>
          <w:sz w:val="24"/>
          <w:szCs w:val="24"/>
          <w:lang w:val="en-ZA"/>
        </w:rPr>
        <w:t xml:space="preserve">A Moyo, </w:t>
      </w:r>
      <w:r w:rsidRPr="00157E3D">
        <w:rPr>
          <w:rFonts w:ascii="Times New Roman" w:eastAsia="Calibri" w:hAnsi="Times New Roman" w:cs="Times New Roman"/>
          <w:sz w:val="24"/>
          <w:szCs w:val="24"/>
          <w:lang w:val="en-ZA"/>
        </w:rPr>
        <w:t xml:space="preserve">for the </w:t>
      </w:r>
      <w:r w:rsidR="00854C90" w:rsidRPr="00157E3D">
        <w:rPr>
          <w:rFonts w:ascii="Times New Roman" w:eastAsia="Calibri" w:hAnsi="Times New Roman" w:cs="Times New Roman"/>
          <w:sz w:val="24"/>
          <w:szCs w:val="24"/>
          <w:lang w:val="en-ZA"/>
        </w:rPr>
        <w:t xml:space="preserve">second </w:t>
      </w:r>
      <w:r w:rsidRPr="00157E3D">
        <w:rPr>
          <w:rFonts w:ascii="Times New Roman" w:eastAsia="Calibri" w:hAnsi="Times New Roman" w:cs="Times New Roman"/>
          <w:sz w:val="24"/>
          <w:szCs w:val="24"/>
          <w:lang w:val="en-ZA"/>
        </w:rPr>
        <w:t>respondent</w:t>
      </w:r>
    </w:p>
    <w:p w:rsidR="00855FD1" w:rsidRPr="00157E3D" w:rsidRDefault="00855FD1">
      <w:pPr>
        <w:rPr>
          <w:rFonts w:ascii="Times New Roman" w:hAnsi="Times New Roman" w:cs="Times New Roman"/>
          <w:sz w:val="24"/>
          <w:szCs w:val="24"/>
        </w:rPr>
      </w:pPr>
    </w:p>
    <w:p w:rsidR="00DC5E76" w:rsidRPr="00157E3D" w:rsidRDefault="00DC5E76">
      <w:pPr>
        <w:rPr>
          <w:rFonts w:ascii="Times New Roman" w:hAnsi="Times New Roman" w:cs="Times New Roman"/>
          <w:sz w:val="24"/>
          <w:szCs w:val="24"/>
        </w:rPr>
      </w:pPr>
    </w:p>
    <w:p w:rsidR="00BD104A" w:rsidRDefault="00BD104A" w:rsidP="00526F5A">
      <w:pPr>
        <w:spacing w:line="480" w:lineRule="auto"/>
        <w:ind w:firstLine="1134"/>
        <w:jc w:val="both"/>
        <w:rPr>
          <w:rFonts w:ascii="Times New Roman" w:hAnsi="Times New Roman" w:cs="Times New Roman"/>
          <w:sz w:val="24"/>
          <w:szCs w:val="24"/>
        </w:rPr>
      </w:pPr>
      <w:r w:rsidRPr="00157E3D">
        <w:rPr>
          <w:rFonts w:ascii="Times New Roman" w:hAnsi="Times New Roman" w:cs="Times New Roman"/>
          <w:b/>
          <w:sz w:val="24"/>
          <w:szCs w:val="24"/>
        </w:rPr>
        <w:t>HLATSHWAYO JA:</w:t>
      </w:r>
      <w:r w:rsidR="004952D8" w:rsidRPr="00157E3D">
        <w:rPr>
          <w:rFonts w:ascii="Times New Roman" w:hAnsi="Times New Roman" w:cs="Times New Roman"/>
          <w:sz w:val="24"/>
          <w:szCs w:val="24"/>
        </w:rPr>
        <w:t xml:space="preserve"> </w:t>
      </w:r>
      <w:r w:rsidR="004952D8" w:rsidRPr="00157E3D">
        <w:rPr>
          <w:rFonts w:ascii="Times New Roman" w:hAnsi="Times New Roman" w:cs="Times New Roman"/>
          <w:sz w:val="24"/>
          <w:szCs w:val="24"/>
        </w:rPr>
        <w:tab/>
      </w:r>
      <w:r w:rsidR="00855FD1" w:rsidRPr="00157E3D">
        <w:rPr>
          <w:rFonts w:ascii="Times New Roman" w:hAnsi="Times New Roman" w:cs="Times New Roman"/>
          <w:sz w:val="24"/>
          <w:szCs w:val="24"/>
        </w:rPr>
        <w:t>The sole issu</w:t>
      </w:r>
      <w:r w:rsidR="008B35FD" w:rsidRPr="00157E3D">
        <w:rPr>
          <w:rFonts w:ascii="Times New Roman" w:hAnsi="Times New Roman" w:cs="Times New Roman"/>
          <w:sz w:val="24"/>
          <w:szCs w:val="24"/>
        </w:rPr>
        <w:t>e for determination in this case</w:t>
      </w:r>
      <w:r w:rsidR="00855FD1" w:rsidRPr="00157E3D">
        <w:rPr>
          <w:rFonts w:ascii="Times New Roman" w:hAnsi="Times New Roman" w:cs="Times New Roman"/>
          <w:sz w:val="24"/>
          <w:szCs w:val="24"/>
        </w:rPr>
        <w:t xml:space="preserve"> is</w:t>
      </w:r>
      <w:r w:rsidRPr="00157E3D">
        <w:rPr>
          <w:rFonts w:ascii="Times New Roman" w:hAnsi="Times New Roman" w:cs="Times New Roman"/>
          <w:sz w:val="24"/>
          <w:szCs w:val="24"/>
        </w:rPr>
        <w:t xml:space="preserve"> whether the first</w:t>
      </w:r>
      <w:r w:rsidR="00855FD1" w:rsidRPr="00157E3D">
        <w:rPr>
          <w:rFonts w:ascii="Times New Roman" w:hAnsi="Times New Roman" w:cs="Times New Roman"/>
          <w:sz w:val="24"/>
          <w:szCs w:val="24"/>
        </w:rPr>
        <w:t xml:space="preserve"> respondent is an employer within the energy industry and is thereby bound by the Collective Bargaining Agreement: Zimbabwe Energy Industry</w:t>
      </w:r>
      <w:r w:rsidR="0014494C">
        <w:rPr>
          <w:rFonts w:ascii="Times New Roman" w:hAnsi="Times New Roman" w:cs="Times New Roman"/>
          <w:sz w:val="24"/>
          <w:szCs w:val="24"/>
        </w:rPr>
        <w:t>,</w:t>
      </w:r>
      <w:r w:rsidR="00855FD1" w:rsidRPr="00157E3D">
        <w:rPr>
          <w:rFonts w:ascii="Times New Roman" w:hAnsi="Times New Roman" w:cs="Times New Roman"/>
          <w:sz w:val="24"/>
          <w:szCs w:val="24"/>
        </w:rPr>
        <w:t xml:space="preserve"> Statutory Instrument 50 of 2012</w:t>
      </w:r>
      <w:r w:rsidR="00B640BB" w:rsidRPr="00157E3D">
        <w:rPr>
          <w:rFonts w:ascii="Times New Roman" w:hAnsi="Times New Roman" w:cs="Times New Roman"/>
          <w:sz w:val="24"/>
          <w:szCs w:val="24"/>
        </w:rPr>
        <w:t xml:space="preserve"> (</w:t>
      </w:r>
      <w:r w:rsidR="00441A1B" w:rsidRPr="00157E3D">
        <w:rPr>
          <w:rFonts w:ascii="Times New Roman" w:hAnsi="Times New Roman" w:cs="Times New Roman"/>
          <w:sz w:val="24"/>
          <w:szCs w:val="24"/>
        </w:rPr>
        <w:t xml:space="preserve">the </w:t>
      </w:r>
      <w:r w:rsidR="00B640BB" w:rsidRPr="00157E3D">
        <w:rPr>
          <w:rFonts w:ascii="Times New Roman" w:hAnsi="Times New Roman" w:cs="Times New Roman"/>
          <w:sz w:val="24"/>
          <w:szCs w:val="24"/>
        </w:rPr>
        <w:t>CBA)</w:t>
      </w:r>
      <w:r w:rsidR="00855FD1" w:rsidRPr="00157E3D">
        <w:rPr>
          <w:rFonts w:ascii="Times New Roman" w:hAnsi="Times New Roman" w:cs="Times New Roman"/>
          <w:sz w:val="24"/>
          <w:szCs w:val="24"/>
        </w:rPr>
        <w:t>. The issue was placed before the Labour Court for determination and it found t</w:t>
      </w:r>
      <w:r w:rsidR="008B35FD" w:rsidRPr="00157E3D">
        <w:rPr>
          <w:rFonts w:ascii="Times New Roman" w:hAnsi="Times New Roman" w:cs="Times New Roman"/>
          <w:sz w:val="24"/>
          <w:szCs w:val="24"/>
        </w:rPr>
        <w:t>hat the first respondent is</w:t>
      </w:r>
      <w:r w:rsidR="00855FD1" w:rsidRPr="00157E3D">
        <w:rPr>
          <w:rFonts w:ascii="Times New Roman" w:hAnsi="Times New Roman" w:cs="Times New Roman"/>
          <w:sz w:val="24"/>
          <w:szCs w:val="24"/>
        </w:rPr>
        <w:t xml:space="preserve"> not an employer in the energy industry and is thus not bound by the requisite CBA. This is an appeal against that decision.</w:t>
      </w:r>
    </w:p>
    <w:p w:rsidR="00E7544E" w:rsidRPr="00157E3D" w:rsidRDefault="00E7544E" w:rsidP="00555C58">
      <w:pPr>
        <w:spacing w:after="0" w:line="480" w:lineRule="auto"/>
        <w:jc w:val="both"/>
        <w:rPr>
          <w:rFonts w:ascii="Times New Roman" w:hAnsi="Times New Roman" w:cs="Times New Roman"/>
          <w:sz w:val="24"/>
          <w:szCs w:val="24"/>
        </w:rPr>
      </w:pPr>
    </w:p>
    <w:p w:rsidR="00B640BB" w:rsidRPr="00157E3D" w:rsidRDefault="00B640BB" w:rsidP="00526F5A">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lastRenderedPageBreak/>
        <w:t>The factual and legal basis upon whic</w:t>
      </w:r>
      <w:r w:rsidR="00D321E3">
        <w:rPr>
          <w:rFonts w:ascii="Times New Roman" w:hAnsi="Times New Roman" w:cs="Times New Roman"/>
          <w:sz w:val="24"/>
          <w:szCs w:val="24"/>
        </w:rPr>
        <w:t>h the appeal is founded is as follows</w:t>
      </w:r>
      <w:r w:rsidR="00E139D7" w:rsidRPr="00157E3D">
        <w:rPr>
          <w:rFonts w:ascii="Times New Roman" w:hAnsi="Times New Roman" w:cs="Times New Roman"/>
          <w:sz w:val="24"/>
          <w:szCs w:val="24"/>
        </w:rPr>
        <w:t>:</w:t>
      </w:r>
      <w:r w:rsidRPr="00157E3D">
        <w:rPr>
          <w:rFonts w:ascii="Times New Roman" w:hAnsi="Times New Roman" w:cs="Times New Roman"/>
          <w:sz w:val="24"/>
          <w:szCs w:val="24"/>
        </w:rPr>
        <w:t xml:space="preserve"> The firs</w:t>
      </w:r>
      <w:r w:rsidR="00BD104A" w:rsidRPr="00157E3D">
        <w:rPr>
          <w:rFonts w:ascii="Times New Roman" w:hAnsi="Times New Roman" w:cs="Times New Roman"/>
          <w:sz w:val="24"/>
          <w:szCs w:val="24"/>
        </w:rPr>
        <w:t>t</w:t>
      </w:r>
      <w:r w:rsidRPr="00157E3D">
        <w:rPr>
          <w:rFonts w:ascii="Times New Roman" w:hAnsi="Times New Roman" w:cs="Times New Roman"/>
          <w:sz w:val="24"/>
          <w:szCs w:val="24"/>
        </w:rPr>
        <w:t xml:space="preserve"> to tenth appellants are members of the eleventh appellant, a workers union which is a party to the CBA.  The first respondent is </w:t>
      </w:r>
      <w:r w:rsidR="00AB2D3D" w:rsidRPr="00157E3D">
        <w:rPr>
          <w:rFonts w:ascii="Times New Roman" w:hAnsi="Times New Roman" w:cs="Times New Roman"/>
          <w:sz w:val="24"/>
          <w:szCs w:val="24"/>
        </w:rPr>
        <w:t xml:space="preserve">a statutory body established </w:t>
      </w:r>
      <w:r w:rsidR="00D1441E" w:rsidRPr="00157E3D">
        <w:rPr>
          <w:rFonts w:ascii="Times New Roman" w:hAnsi="Times New Roman" w:cs="Times New Roman"/>
          <w:sz w:val="24"/>
          <w:szCs w:val="24"/>
        </w:rPr>
        <w:t>in terms of</w:t>
      </w:r>
      <w:r w:rsidR="00BD104A" w:rsidRPr="00157E3D">
        <w:rPr>
          <w:rFonts w:ascii="Times New Roman" w:hAnsi="Times New Roman" w:cs="Times New Roman"/>
          <w:sz w:val="24"/>
          <w:szCs w:val="24"/>
        </w:rPr>
        <w:t xml:space="preserve"> s</w:t>
      </w:r>
      <w:r w:rsidR="00D1441E" w:rsidRPr="00157E3D">
        <w:rPr>
          <w:rFonts w:ascii="Times New Roman" w:hAnsi="Times New Roman" w:cs="Times New Roman"/>
          <w:sz w:val="24"/>
          <w:szCs w:val="24"/>
        </w:rPr>
        <w:t xml:space="preserve"> 3 of the E</w:t>
      </w:r>
      <w:r w:rsidR="00AB2D3D" w:rsidRPr="00157E3D">
        <w:rPr>
          <w:rFonts w:ascii="Times New Roman" w:hAnsi="Times New Roman" w:cs="Times New Roman"/>
          <w:sz w:val="24"/>
          <w:szCs w:val="24"/>
        </w:rPr>
        <w:t>nergy Regulatory Authority Act [</w:t>
      </w:r>
      <w:r w:rsidR="00526F5A" w:rsidRPr="00157E3D">
        <w:rPr>
          <w:rFonts w:ascii="Times New Roman" w:hAnsi="Times New Roman" w:cs="Times New Roman"/>
          <w:i/>
          <w:sz w:val="24"/>
          <w:szCs w:val="24"/>
        </w:rPr>
        <w:t>Chapter </w:t>
      </w:r>
      <w:r w:rsidR="00AB2D3D" w:rsidRPr="00157E3D">
        <w:rPr>
          <w:rFonts w:ascii="Times New Roman" w:hAnsi="Times New Roman" w:cs="Times New Roman"/>
          <w:i/>
          <w:sz w:val="24"/>
          <w:szCs w:val="24"/>
        </w:rPr>
        <w:t>13:23</w:t>
      </w:r>
      <w:r w:rsidR="00AB2D3D" w:rsidRPr="00157E3D">
        <w:rPr>
          <w:rFonts w:ascii="Times New Roman" w:hAnsi="Times New Roman" w:cs="Times New Roman"/>
          <w:sz w:val="24"/>
          <w:szCs w:val="24"/>
        </w:rPr>
        <w:t>]</w:t>
      </w:r>
      <w:r w:rsidR="008B35FD" w:rsidRPr="00157E3D">
        <w:rPr>
          <w:rFonts w:ascii="Times New Roman" w:hAnsi="Times New Roman" w:cs="Times New Roman"/>
          <w:sz w:val="24"/>
          <w:szCs w:val="24"/>
        </w:rPr>
        <w:t xml:space="preserve"> (the Act)</w:t>
      </w:r>
      <w:r w:rsidR="00AB2D3D" w:rsidRPr="00157E3D">
        <w:rPr>
          <w:rFonts w:ascii="Times New Roman" w:hAnsi="Times New Roman" w:cs="Times New Roman"/>
          <w:sz w:val="24"/>
          <w:szCs w:val="24"/>
        </w:rPr>
        <w:t xml:space="preserve">. </w:t>
      </w:r>
      <w:r w:rsidR="00D1441E" w:rsidRPr="00157E3D">
        <w:rPr>
          <w:rFonts w:ascii="Times New Roman" w:hAnsi="Times New Roman" w:cs="Times New Roman"/>
          <w:sz w:val="24"/>
          <w:szCs w:val="24"/>
        </w:rPr>
        <w:t>The functions of the first respondent are spelt o</w:t>
      </w:r>
      <w:r w:rsidR="008B35FD" w:rsidRPr="00157E3D">
        <w:rPr>
          <w:rFonts w:ascii="Times New Roman" w:hAnsi="Times New Roman" w:cs="Times New Roman"/>
          <w:sz w:val="24"/>
          <w:szCs w:val="24"/>
        </w:rPr>
        <w:t>ut in s 4 of the Act and</w:t>
      </w:r>
      <w:r w:rsidR="003E0C9C">
        <w:rPr>
          <w:rFonts w:ascii="Times New Roman" w:hAnsi="Times New Roman" w:cs="Times New Roman"/>
          <w:sz w:val="24"/>
          <w:szCs w:val="24"/>
        </w:rPr>
        <w:t>,</w:t>
      </w:r>
      <w:r w:rsidR="00BD104A" w:rsidRPr="00157E3D">
        <w:rPr>
          <w:rFonts w:ascii="Times New Roman" w:hAnsi="Times New Roman" w:cs="Times New Roman"/>
          <w:sz w:val="24"/>
          <w:szCs w:val="24"/>
        </w:rPr>
        <w:t xml:space="preserve"> in short</w:t>
      </w:r>
      <w:r w:rsidR="00E139D7" w:rsidRPr="00157E3D">
        <w:rPr>
          <w:rFonts w:ascii="Times New Roman" w:hAnsi="Times New Roman" w:cs="Times New Roman"/>
          <w:sz w:val="24"/>
          <w:szCs w:val="24"/>
        </w:rPr>
        <w:t>,</w:t>
      </w:r>
      <w:r w:rsidR="00BD104A" w:rsidRPr="00157E3D">
        <w:rPr>
          <w:rFonts w:ascii="Times New Roman" w:hAnsi="Times New Roman" w:cs="Times New Roman"/>
          <w:sz w:val="24"/>
          <w:szCs w:val="24"/>
        </w:rPr>
        <w:t xml:space="preserve"> the first respondent`s mandate is to regulate the energy industry. </w:t>
      </w:r>
      <w:r w:rsidR="008B35FD" w:rsidRPr="00157E3D">
        <w:rPr>
          <w:rFonts w:ascii="Times New Roman" w:hAnsi="Times New Roman" w:cs="Times New Roman"/>
          <w:sz w:val="24"/>
          <w:szCs w:val="24"/>
        </w:rPr>
        <w:t xml:space="preserve">The phrase </w:t>
      </w:r>
      <w:r w:rsidR="005F4D26" w:rsidRPr="00157E3D">
        <w:rPr>
          <w:rFonts w:ascii="Times New Roman" w:hAnsi="Times New Roman" w:cs="Times New Roman"/>
          <w:sz w:val="24"/>
          <w:szCs w:val="24"/>
        </w:rPr>
        <w:t>“</w:t>
      </w:r>
      <w:r w:rsidR="00BD104A" w:rsidRPr="00157E3D">
        <w:rPr>
          <w:rFonts w:ascii="Times New Roman" w:hAnsi="Times New Roman" w:cs="Times New Roman"/>
          <w:sz w:val="24"/>
          <w:szCs w:val="24"/>
        </w:rPr>
        <w:t>energy</w:t>
      </w:r>
      <w:r w:rsidR="005F4D26" w:rsidRPr="00157E3D">
        <w:rPr>
          <w:rFonts w:ascii="Times New Roman" w:hAnsi="Times New Roman" w:cs="Times New Roman"/>
          <w:sz w:val="24"/>
          <w:szCs w:val="24"/>
        </w:rPr>
        <w:t xml:space="preserve"> industry”</w:t>
      </w:r>
      <w:r w:rsidR="00BD104A" w:rsidRPr="00157E3D">
        <w:rPr>
          <w:rFonts w:ascii="Times New Roman" w:hAnsi="Times New Roman" w:cs="Times New Roman"/>
          <w:sz w:val="24"/>
          <w:szCs w:val="24"/>
        </w:rPr>
        <w:t xml:space="preserve"> </w:t>
      </w:r>
      <w:r w:rsidR="008B35FD" w:rsidRPr="00157E3D">
        <w:rPr>
          <w:rFonts w:ascii="Times New Roman" w:hAnsi="Times New Roman" w:cs="Times New Roman"/>
          <w:sz w:val="24"/>
          <w:szCs w:val="24"/>
        </w:rPr>
        <w:t xml:space="preserve">is defined in s 2 of the Act </w:t>
      </w:r>
      <w:r w:rsidR="00BD104A" w:rsidRPr="00157E3D">
        <w:rPr>
          <w:rFonts w:ascii="Times New Roman" w:hAnsi="Times New Roman" w:cs="Times New Roman"/>
          <w:sz w:val="24"/>
          <w:szCs w:val="24"/>
        </w:rPr>
        <w:t>as follows:</w:t>
      </w:r>
    </w:p>
    <w:p w:rsidR="00BD104A" w:rsidRPr="00157E3D" w:rsidRDefault="00BD104A" w:rsidP="00CF55F2">
      <w:pPr>
        <w:spacing w:after="0" w:line="240" w:lineRule="auto"/>
        <w:ind w:left="720"/>
        <w:jc w:val="both"/>
        <w:rPr>
          <w:rFonts w:ascii="Times New Roman" w:hAnsi="Times New Roman" w:cs="Times New Roman"/>
          <w:sz w:val="24"/>
          <w:szCs w:val="24"/>
        </w:rPr>
      </w:pPr>
      <w:r w:rsidRPr="00157E3D">
        <w:rPr>
          <w:rFonts w:ascii="Times New Roman" w:hAnsi="Times New Roman" w:cs="Times New Roman"/>
          <w:sz w:val="24"/>
          <w:szCs w:val="24"/>
        </w:rPr>
        <w:t>“</w:t>
      </w:r>
      <w:r w:rsidR="005F4D26" w:rsidRPr="00157E3D">
        <w:rPr>
          <w:rFonts w:ascii="Times New Roman" w:hAnsi="Times New Roman" w:cs="Times New Roman"/>
          <w:sz w:val="24"/>
          <w:szCs w:val="24"/>
        </w:rPr>
        <w:t>energy industry’ means t</w:t>
      </w:r>
      <w:r w:rsidRPr="00157E3D">
        <w:rPr>
          <w:rFonts w:ascii="Times New Roman" w:hAnsi="Times New Roman" w:cs="Times New Roman"/>
          <w:sz w:val="24"/>
          <w:szCs w:val="24"/>
        </w:rPr>
        <w:t>he persons in Zimbabwe who, in the private or public sphere are concerned with the generation, procurement, distribution, transportation, transmission and production of energy to consumers thereof.”</w:t>
      </w:r>
    </w:p>
    <w:p w:rsidR="003A5F93" w:rsidRDefault="003A5F93" w:rsidP="00555C58">
      <w:pPr>
        <w:spacing w:after="0" w:line="480" w:lineRule="auto"/>
        <w:jc w:val="both"/>
        <w:rPr>
          <w:rFonts w:ascii="Times New Roman" w:hAnsi="Times New Roman" w:cs="Times New Roman"/>
          <w:sz w:val="24"/>
          <w:szCs w:val="24"/>
        </w:rPr>
      </w:pPr>
    </w:p>
    <w:p w:rsidR="003A5F93" w:rsidRDefault="003A5F93" w:rsidP="003A5F93">
      <w:pPr>
        <w:spacing w:after="0" w:line="240" w:lineRule="auto"/>
        <w:jc w:val="both"/>
        <w:rPr>
          <w:rFonts w:ascii="Times New Roman" w:hAnsi="Times New Roman" w:cs="Times New Roman"/>
          <w:sz w:val="24"/>
          <w:szCs w:val="24"/>
        </w:rPr>
      </w:pPr>
    </w:p>
    <w:p w:rsidR="00ED02AB" w:rsidRPr="00157E3D" w:rsidRDefault="003A26AD" w:rsidP="00555C58">
      <w:pPr>
        <w:spacing w:after="0"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t xml:space="preserve">On 27 January 2012, a CBA was reached between </w:t>
      </w:r>
      <w:r w:rsidR="008B35FD" w:rsidRPr="00157E3D">
        <w:rPr>
          <w:rFonts w:ascii="Times New Roman" w:hAnsi="Times New Roman" w:cs="Times New Roman"/>
          <w:sz w:val="24"/>
          <w:szCs w:val="24"/>
        </w:rPr>
        <w:t xml:space="preserve">the </w:t>
      </w:r>
      <w:r w:rsidRPr="00157E3D">
        <w:rPr>
          <w:rFonts w:ascii="Times New Roman" w:hAnsi="Times New Roman" w:cs="Times New Roman"/>
          <w:sz w:val="24"/>
          <w:szCs w:val="24"/>
        </w:rPr>
        <w:t>Zi</w:t>
      </w:r>
      <w:r w:rsidR="0004594E" w:rsidRPr="00157E3D">
        <w:rPr>
          <w:rFonts w:ascii="Times New Roman" w:hAnsi="Times New Roman" w:cs="Times New Roman"/>
          <w:sz w:val="24"/>
          <w:szCs w:val="24"/>
        </w:rPr>
        <w:t>mbabwe Energy Industry Employer</w:t>
      </w:r>
      <w:r w:rsidRPr="00157E3D">
        <w:rPr>
          <w:rFonts w:ascii="Times New Roman" w:hAnsi="Times New Roman" w:cs="Times New Roman"/>
          <w:sz w:val="24"/>
          <w:szCs w:val="24"/>
        </w:rPr>
        <w:t>s</w:t>
      </w:r>
      <w:r w:rsidR="0004594E" w:rsidRPr="00157E3D">
        <w:rPr>
          <w:rFonts w:ascii="Times New Roman" w:hAnsi="Times New Roman" w:cs="Times New Roman"/>
          <w:sz w:val="24"/>
          <w:szCs w:val="24"/>
        </w:rPr>
        <w:t>’</w:t>
      </w:r>
      <w:r w:rsidRPr="00157E3D">
        <w:rPr>
          <w:rFonts w:ascii="Times New Roman" w:hAnsi="Times New Roman" w:cs="Times New Roman"/>
          <w:sz w:val="24"/>
          <w:szCs w:val="24"/>
        </w:rPr>
        <w:t xml:space="preserve"> Association, the eleventh appellant and</w:t>
      </w:r>
      <w:r w:rsidR="008B35FD" w:rsidRPr="00157E3D">
        <w:rPr>
          <w:rFonts w:ascii="Times New Roman" w:hAnsi="Times New Roman" w:cs="Times New Roman"/>
          <w:sz w:val="24"/>
          <w:szCs w:val="24"/>
        </w:rPr>
        <w:t xml:space="preserve"> the</w:t>
      </w:r>
      <w:r w:rsidRPr="00157E3D">
        <w:rPr>
          <w:rFonts w:ascii="Times New Roman" w:hAnsi="Times New Roman" w:cs="Times New Roman"/>
          <w:sz w:val="24"/>
          <w:szCs w:val="24"/>
        </w:rPr>
        <w:t xml:space="preserve"> ZESA Technical Employees` Association</w:t>
      </w:r>
      <w:r w:rsidR="003E0C9C">
        <w:rPr>
          <w:rFonts w:ascii="Times New Roman" w:hAnsi="Times New Roman" w:cs="Times New Roman"/>
          <w:sz w:val="24"/>
          <w:szCs w:val="24"/>
        </w:rPr>
        <w:t>,</w:t>
      </w:r>
      <w:r w:rsidRPr="00157E3D">
        <w:rPr>
          <w:rFonts w:ascii="Times New Roman" w:hAnsi="Times New Roman" w:cs="Times New Roman"/>
          <w:sz w:val="24"/>
          <w:szCs w:val="24"/>
        </w:rPr>
        <w:t xml:space="preserve"> for the period 1 January 2012 to 31 December 2012. The salary s</w:t>
      </w:r>
      <w:r w:rsidR="00ED02AB" w:rsidRPr="00157E3D">
        <w:rPr>
          <w:rFonts w:ascii="Times New Roman" w:hAnsi="Times New Roman" w:cs="Times New Roman"/>
          <w:sz w:val="24"/>
          <w:szCs w:val="24"/>
        </w:rPr>
        <w:t>cales flowing from the CBA</w:t>
      </w:r>
      <w:r w:rsidRPr="00157E3D">
        <w:rPr>
          <w:rFonts w:ascii="Times New Roman" w:hAnsi="Times New Roman" w:cs="Times New Roman"/>
          <w:sz w:val="24"/>
          <w:szCs w:val="24"/>
        </w:rPr>
        <w:t xml:space="preserve"> were produced on 27 February 2012 and they were circulated to all employers</w:t>
      </w:r>
      <w:r w:rsidR="00441A1B" w:rsidRPr="00157E3D">
        <w:rPr>
          <w:rFonts w:ascii="Times New Roman" w:hAnsi="Times New Roman" w:cs="Times New Roman"/>
          <w:sz w:val="24"/>
          <w:szCs w:val="24"/>
        </w:rPr>
        <w:t>,</w:t>
      </w:r>
      <w:r w:rsidRPr="00157E3D">
        <w:rPr>
          <w:rFonts w:ascii="Times New Roman" w:hAnsi="Times New Roman" w:cs="Times New Roman"/>
          <w:sz w:val="24"/>
          <w:szCs w:val="24"/>
        </w:rPr>
        <w:t xml:space="preserve"> including the first respondent</w:t>
      </w:r>
      <w:r w:rsidR="00441A1B" w:rsidRPr="00157E3D">
        <w:rPr>
          <w:rFonts w:ascii="Times New Roman" w:hAnsi="Times New Roman" w:cs="Times New Roman"/>
          <w:sz w:val="24"/>
          <w:szCs w:val="24"/>
        </w:rPr>
        <w:t>,</w:t>
      </w:r>
      <w:r w:rsidRPr="00157E3D">
        <w:rPr>
          <w:rFonts w:ascii="Times New Roman" w:hAnsi="Times New Roman" w:cs="Times New Roman"/>
          <w:sz w:val="24"/>
          <w:szCs w:val="24"/>
        </w:rPr>
        <w:t xml:space="preserve"> for implementation. </w:t>
      </w:r>
      <w:r w:rsidR="003D1023" w:rsidRPr="00157E3D">
        <w:rPr>
          <w:rFonts w:ascii="Times New Roman" w:hAnsi="Times New Roman" w:cs="Times New Roman"/>
          <w:sz w:val="24"/>
          <w:szCs w:val="24"/>
        </w:rPr>
        <w:t xml:space="preserve">The first respondent communicated to the eleventh </w:t>
      </w:r>
      <w:r w:rsidR="003E0C9C">
        <w:rPr>
          <w:rFonts w:ascii="Times New Roman" w:hAnsi="Times New Roman" w:cs="Times New Roman"/>
          <w:sz w:val="24"/>
          <w:szCs w:val="24"/>
        </w:rPr>
        <w:t>appellant</w:t>
      </w:r>
      <w:r w:rsidR="003D1023" w:rsidRPr="00157E3D">
        <w:rPr>
          <w:rFonts w:ascii="Times New Roman" w:hAnsi="Times New Roman" w:cs="Times New Roman"/>
          <w:sz w:val="24"/>
          <w:szCs w:val="24"/>
        </w:rPr>
        <w:t xml:space="preserve"> that it had fully complied with the CBA in August 2012. However, the</w:t>
      </w:r>
      <w:r w:rsidR="00F95E91" w:rsidRPr="00157E3D">
        <w:rPr>
          <w:rFonts w:ascii="Times New Roman" w:hAnsi="Times New Roman" w:cs="Times New Roman"/>
          <w:sz w:val="24"/>
          <w:szCs w:val="24"/>
        </w:rPr>
        <w:t xml:space="preserve"> first respondent</w:t>
      </w:r>
      <w:r w:rsidR="00D321E3">
        <w:rPr>
          <w:rFonts w:ascii="Times New Roman" w:hAnsi="Times New Roman" w:cs="Times New Roman"/>
          <w:sz w:val="24"/>
          <w:szCs w:val="24"/>
        </w:rPr>
        <w:t xml:space="preserve"> later</w:t>
      </w:r>
      <w:r w:rsidR="00F95E91" w:rsidRPr="00157E3D">
        <w:rPr>
          <w:rFonts w:ascii="Times New Roman" w:hAnsi="Times New Roman" w:cs="Times New Roman"/>
          <w:sz w:val="24"/>
          <w:szCs w:val="24"/>
        </w:rPr>
        <w:t xml:space="preserve"> reneg</w:t>
      </w:r>
      <w:r w:rsidR="003D1023" w:rsidRPr="00157E3D">
        <w:rPr>
          <w:rFonts w:ascii="Times New Roman" w:hAnsi="Times New Roman" w:cs="Times New Roman"/>
          <w:sz w:val="24"/>
          <w:szCs w:val="24"/>
        </w:rPr>
        <w:t xml:space="preserve">ed from such compliance arguing that it did not belong to the energy </w:t>
      </w:r>
      <w:r w:rsidR="00ED02AB" w:rsidRPr="00157E3D">
        <w:rPr>
          <w:rFonts w:ascii="Times New Roman" w:hAnsi="Times New Roman" w:cs="Times New Roman"/>
          <w:sz w:val="24"/>
          <w:szCs w:val="24"/>
        </w:rPr>
        <w:t xml:space="preserve">industry </w:t>
      </w:r>
      <w:r w:rsidR="003E0C9C">
        <w:rPr>
          <w:rFonts w:ascii="Times New Roman" w:hAnsi="Times New Roman" w:cs="Times New Roman"/>
          <w:sz w:val="24"/>
          <w:szCs w:val="24"/>
        </w:rPr>
        <w:t xml:space="preserve">and </w:t>
      </w:r>
      <w:r w:rsidR="00ED02AB" w:rsidRPr="00157E3D">
        <w:rPr>
          <w:rFonts w:ascii="Times New Roman" w:hAnsi="Times New Roman" w:cs="Times New Roman"/>
          <w:sz w:val="24"/>
          <w:szCs w:val="24"/>
        </w:rPr>
        <w:t>thus</w:t>
      </w:r>
      <w:r w:rsidR="003D1023" w:rsidRPr="00157E3D">
        <w:rPr>
          <w:rFonts w:ascii="Times New Roman" w:hAnsi="Times New Roman" w:cs="Times New Roman"/>
          <w:sz w:val="24"/>
          <w:szCs w:val="24"/>
        </w:rPr>
        <w:t xml:space="preserve"> it could not be bound by the energy industry CBA. </w:t>
      </w:r>
    </w:p>
    <w:p w:rsidR="00ED02AB" w:rsidRPr="00157E3D" w:rsidRDefault="00ED02AB" w:rsidP="00E5189F">
      <w:pPr>
        <w:spacing w:after="0" w:line="480" w:lineRule="auto"/>
        <w:jc w:val="both"/>
        <w:rPr>
          <w:rFonts w:ascii="Times New Roman" w:hAnsi="Times New Roman" w:cs="Times New Roman"/>
          <w:sz w:val="24"/>
          <w:szCs w:val="24"/>
        </w:rPr>
      </w:pPr>
    </w:p>
    <w:p w:rsidR="00892204" w:rsidRPr="00157E3D" w:rsidRDefault="00ED02AB" w:rsidP="006D6CB7">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t>The first respondent`s refusal to implement the CBA</w:t>
      </w:r>
      <w:r w:rsidR="003D1023" w:rsidRPr="00157E3D">
        <w:rPr>
          <w:rFonts w:ascii="Times New Roman" w:hAnsi="Times New Roman" w:cs="Times New Roman"/>
          <w:sz w:val="24"/>
          <w:szCs w:val="24"/>
        </w:rPr>
        <w:t xml:space="preserve"> ignited a </w:t>
      </w:r>
      <w:r w:rsidRPr="00157E3D">
        <w:rPr>
          <w:rFonts w:ascii="Times New Roman" w:hAnsi="Times New Roman" w:cs="Times New Roman"/>
          <w:sz w:val="24"/>
          <w:szCs w:val="24"/>
        </w:rPr>
        <w:t>dispute between the parties, which dispute</w:t>
      </w:r>
      <w:r w:rsidR="003D1023" w:rsidRPr="00157E3D">
        <w:rPr>
          <w:rFonts w:ascii="Times New Roman" w:hAnsi="Times New Roman" w:cs="Times New Roman"/>
          <w:sz w:val="24"/>
          <w:szCs w:val="24"/>
        </w:rPr>
        <w:t xml:space="preserve"> was referred to conciliation. No settlement</w:t>
      </w:r>
      <w:r w:rsidR="00441A1B" w:rsidRPr="00157E3D">
        <w:rPr>
          <w:rFonts w:ascii="Times New Roman" w:hAnsi="Times New Roman" w:cs="Times New Roman"/>
          <w:sz w:val="24"/>
          <w:szCs w:val="24"/>
        </w:rPr>
        <w:t xml:space="preserve"> was reached and the matter was referred</w:t>
      </w:r>
      <w:r w:rsidR="003D1023" w:rsidRPr="00157E3D">
        <w:rPr>
          <w:rFonts w:ascii="Times New Roman" w:hAnsi="Times New Roman" w:cs="Times New Roman"/>
          <w:sz w:val="24"/>
          <w:szCs w:val="24"/>
        </w:rPr>
        <w:t xml:space="preserve"> for arbitration. The arbitrator found that the first respondent was bound by the CBA. The </w:t>
      </w:r>
      <w:r w:rsidR="0004594E" w:rsidRPr="00157E3D">
        <w:rPr>
          <w:rFonts w:ascii="Times New Roman" w:hAnsi="Times New Roman" w:cs="Times New Roman"/>
          <w:sz w:val="24"/>
          <w:szCs w:val="24"/>
        </w:rPr>
        <w:t>first responded</w:t>
      </w:r>
      <w:r w:rsidR="003D1023" w:rsidRPr="00157E3D">
        <w:rPr>
          <w:rFonts w:ascii="Times New Roman" w:hAnsi="Times New Roman" w:cs="Times New Roman"/>
          <w:sz w:val="24"/>
          <w:szCs w:val="24"/>
        </w:rPr>
        <w:t xml:space="preserve"> appealed against that decision on the ground that the arbitrator dealt with a dispute which fell under the exclusive jurisdiction of the La</w:t>
      </w:r>
      <w:r w:rsidR="003B2E35">
        <w:rPr>
          <w:rFonts w:ascii="Times New Roman" w:hAnsi="Times New Roman" w:cs="Times New Roman"/>
          <w:sz w:val="24"/>
          <w:szCs w:val="24"/>
        </w:rPr>
        <w:t>bour Court by virtue of s </w:t>
      </w:r>
      <w:r w:rsidR="003D1023" w:rsidRPr="00157E3D">
        <w:rPr>
          <w:rFonts w:ascii="Times New Roman" w:hAnsi="Times New Roman" w:cs="Times New Roman"/>
          <w:sz w:val="24"/>
          <w:szCs w:val="24"/>
        </w:rPr>
        <w:t>46(a) of the Labour Act [</w:t>
      </w:r>
      <w:r w:rsidR="00F95E91" w:rsidRPr="00157E3D">
        <w:rPr>
          <w:rFonts w:ascii="Times New Roman" w:hAnsi="Times New Roman" w:cs="Times New Roman"/>
          <w:i/>
          <w:sz w:val="24"/>
          <w:szCs w:val="24"/>
        </w:rPr>
        <w:t>C</w:t>
      </w:r>
      <w:r w:rsidR="00677BCA" w:rsidRPr="00157E3D">
        <w:rPr>
          <w:rFonts w:ascii="Times New Roman" w:hAnsi="Times New Roman" w:cs="Times New Roman"/>
          <w:i/>
          <w:sz w:val="24"/>
          <w:szCs w:val="24"/>
        </w:rPr>
        <w:t>hapter </w:t>
      </w:r>
      <w:r w:rsidR="003D1023" w:rsidRPr="00157E3D">
        <w:rPr>
          <w:rFonts w:ascii="Times New Roman" w:hAnsi="Times New Roman" w:cs="Times New Roman"/>
          <w:i/>
          <w:sz w:val="24"/>
          <w:szCs w:val="24"/>
        </w:rPr>
        <w:t>28:01</w:t>
      </w:r>
      <w:r w:rsidR="00C611A0" w:rsidRPr="00157E3D">
        <w:rPr>
          <w:rFonts w:ascii="Times New Roman" w:hAnsi="Times New Roman" w:cs="Times New Roman"/>
          <w:sz w:val="24"/>
          <w:szCs w:val="24"/>
        </w:rPr>
        <w:t xml:space="preserve">] which provides that any dispute as to the extent or </w:t>
      </w:r>
      <w:r w:rsidR="00C611A0" w:rsidRPr="00157E3D">
        <w:rPr>
          <w:rFonts w:ascii="Times New Roman" w:hAnsi="Times New Roman" w:cs="Times New Roman"/>
          <w:sz w:val="24"/>
          <w:szCs w:val="24"/>
        </w:rPr>
        <w:lastRenderedPageBreak/>
        <w:t>description of any undertaking or industry shall be referred to the Labour Court for determination.</w:t>
      </w:r>
      <w:r w:rsidR="00F95E91" w:rsidRPr="00157E3D">
        <w:rPr>
          <w:rFonts w:ascii="Times New Roman" w:hAnsi="Times New Roman" w:cs="Times New Roman"/>
          <w:sz w:val="24"/>
          <w:szCs w:val="24"/>
        </w:rPr>
        <w:t xml:space="preserve"> </w:t>
      </w:r>
      <w:r w:rsidR="00F67070" w:rsidRPr="00157E3D">
        <w:rPr>
          <w:rFonts w:ascii="Times New Roman" w:hAnsi="Times New Roman" w:cs="Times New Roman"/>
          <w:sz w:val="24"/>
          <w:szCs w:val="24"/>
        </w:rPr>
        <w:t xml:space="preserve"> The appeal was allowed and the arbitral </w:t>
      </w:r>
      <w:r w:rsidR="00E139D7" w:rsidRPr="00157E3D">
        <w:rPr>
          <w:rFonts w:ascii="Times New Roman" w:hAnsi="Times New Roman" w:cs="Times New Roman"/>
          <w:sz w:val="24"/>
          <w:szCs w:val="24"/>
        </w:rPr>
        <w:t>a</w:t>
      </w:r>
      <w:r w:rsidR="00F67070" w:rsidRPr="00157E3D">
        <w:rPr>
          <w:rFonts w:ascii="Times New Roman" w:hAnsi="Times New Roman" w:cs="Times New Roman"/>
          <w:sz w:val="24"/>
          <w:szCs w:val="24"/>
        </w:rPr>
        <w:t>ward was set aside.</w:t>
      </w:r>
    </w:p>
    <w:p w:rsidR="00AD3636" w:rsidRPr="00157E3D" w:rsidRDefault="00F67070" w:rsidP="00892204">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t xml:space="preserve">The appellants then made an application in </w:t>
      </w:r>
      <w:r w:rsidR="00441A1B" w:rsidRPr="00157E3D">
        <w:rPr>
          <w:rFonts w:ascii="Times New Roman" w:hAnsi="Times New Roman" w:cs="Times New Roman"/>
          <w:sz w:val="24"/>
          <w:szCs w:val="24"/>
        </w:rPr>
        <w:t>term of s 46 of the Labour</w:t>
      </w:r>
      <w:r w:rsidR="00C611A0" w:rsidRPr="00157E3D">
        <w:rPr>
          <w:rFonts w:ascii="Times New Roman" w:hAnsi="Times New Roman" w:cs="Times New Roman"/>
          <w:sz w:val="24"/>
          <w:szCs w:val="24"/>
        </w:rPr>
        <w:t xml:space="preserve"> Act</w:t>
      </w:r>
      <w:r w:rsidRPr="00157E3D">
        <w:rPr>
          <w:rFonts w:ascii="Times New Roman" w:hAnsi="Times New Roman" w:cs="Times New Roman"/>
          <w:sz w:val="24"/>
          <w:szCs w:val="24"/>
        </w:rPr>
        <w:t xml:space="preserve"> for the determination of whether the first respondent falls within the energy industry. </w:t>
      </w:r>
      <w:r w:rsidR="00AD3636" w:rsidRPr="00157E3D">
        <w:rPr>
          <w:rFonts w:ascii="Times New Roman" w:hAnsi="Times New Roman" w:cs="Times New Roman"/>
          <w:sz w:val="24"/>
          <w:szCs w:val="24"/>
        </w:rPr>
        <w:t xml:space="preserve">The application was dismissed after the court had found that the first respondent does not fall within the energy industry and is not bound by the CBA. The present appeal was noted against the decision of the court </w:t>
      </w:r>
      <w:r w:rsidR="00AD3636" w:rsidRPr="00157E3D">
        <w:rPr>
          <w:rFonts w:ascii="Times New Roman" w:hAnsi="Times New Roman" w:cs="Times New Roman"/>
          <w:i/>
          <w:sz w:val="24"/>
          <w:szCs w:val="24"/>
        </w:rPr>
        <w:t>a quo</w:t>
      </w:r>
      <w:r w:rsidR="00ED02AB" w:rsidRPr="00157E3D">
        <w:rPr>
          <w:rFonts w:ascii="Times New Roman" w:hAnsi="Times New Roman" w:cs="Times New Roman"/>
          <w:sz w:val="24"/>
          <w:szCs w:val="24"/>
        </w:rPr>
        <w:t>. T</w:t>
      </w:r>
      <w:r w:rsidR="00AD3636" w:rsidRPr="00157E3D">
        <w:rPr>
          <w:rFonts w:ascii="Times New Roman" w:hAnsi="Times New Roman" w:cs="Times New Roman"/>
          <w:sz w:val="24"/>
          <w:szCs w:val="24"/>
        </w:rPr>
        <w:t>he appellants raised two grounds of appeal. At the hearing of the matter one of the grounds w</w:t>
      </w:r>
      <w:r w:rsidR="0019583F" w:rsidRPr="00157E3D">
        <w:rPr>
          <w:rFonts w:ascii="Times New Roman" w:hAnsi="Times New Roman" w:cs="Times New Roman"/>
          <w:sz w:val="24"/>
          <w:szCs w:val="24"/>
        </w:rPr>
        <w:t xml:space="preserve">as abandoned leaving </w:t>
      </w:r>
      <w:r w:rsidR="00E139D7" w:rsidRPr="00157E3D">
        <w:rPr>
          <w:rFonts w:ascii="Times New Roman" w:hAnsi="Times New Roman" w:cs="Times New Roman"/>
          <w:sz w:val="24"/>
          <w:szCs w:val="24"/>
        </w:rPr>
        <w:t xml:space="preserve">only </w:t>
      </w:r>
      <w:r w:rsidR="0019583F" w:rsidRPr="00157E3D">
        <w:rPr>
          <w:rFonts w:ascii="Times New Roman" w:hAnsi="Times New Roman" w:cs="Times New Roman"/>
          <w:sz w:val="24"/>
          <w:szCs w:val="24"/>
        </w:rPr>
        <w:t>one ground</w:t>
      </w:r>
      <w:r w:rsidR="002227D7">
        <w:rPr>
          <w:rFonts w:ascii="Times New Roman" w:hAnsi="Times New Roman" w:cs="Times New Roman"/>
          <w:sz w:val="24"/>
          <w:szCs w:val="24"/>
        </w:rPr>
        <w:t>,</w:t>
      </w:r>
      <w:r w:rsidR="00AD3636" w:rsidRPr="00157E3D">
        <w:rPr>
          <w:rFonts w:ascii="Times New Roman" w:hAnsi="Times New Roman" w:cs="Times New Roman"/>
          <w:sz w:val="24"/>
          <w:szCs w:val="24"/>
        </w:rPr>
        <w:t xml:space="preserve"> that is:</w:t>
      </w:r>
    </w:p>
    <w:p w:rsidR="00AD3636" w:rsidRPr="00157E3D" w:rsidRDefault="00E74BC7" w:rsidP="00E74BC7">
      <w:pPr>
        <w:spacing w:after="0" w:line="240" w:lineRule="auto"/>
        <w:ind w:left="720"/>
        <w:jc w:val="both"/>
        <w:rPr>
          <w:rFonts w:ascii="Times New Roman" w:hAnsi="Times New Roman" w:cs="Times New Roman"/>
          <w:sz w:val="24"/>
          <w:szCs w:val="24"/>
        </w:rPr>
      </w:pPr>
      <w:r w:rsidRPr="00157E3D">
        <w:rPr>
          <w:rFonts w:ascii="Times New Roman" w:hAnsi="Times New Roman" w:cs="Times New Roman"/>
          <w:sz w:val="24"/>
          <w:szCs w:val="24"/>
        </w:rPr>
        <w:t>“</w:t>
      </w:r>
      <w:r w:rsidR="00AD3636" w:rsidRPr="00157E3D">
        <w:rPr>
          <w:rFonts w:ascii="Times New Roman" w:hAnsi="Times New Roman" w:cs="Times New Roman"/>
          <w:sz w:val="24"/>
          <w:szCs w:val="24"/>
        </w:rPr>
        <w:t xml:space="preserve">The court </w:t>
      </w:r>
      <w:r w:rsidR="00AD3636" w:rsidRPr="00157E3D">
        <w:rPr>
          <w:rFonts w:ascii="Times New Roman" w:hAnsi="Times New Roman" w:cs="Times New Roman"/>
          <w:i/>
          <w:sz w:val="24"/>
          <w:szCs w:val="24"/>
        </w:rPr>
        <w:t>a quo</w:t>
      </w:r>
      <w:r w:rsidR="00AD3636" w:rsidRPr="00157E3D">
        <w:rPr>
          <w:rFonts w:ascii="Times New Roman" w:hAnsi="Times New Roman" w:cs="Times New Roman"/>
          <w:sz w:val="24"/>
          <w:szCs w:val="24"/>
        </w:rPr>
        <w:t xml:space="preserve"> erred at law in not making a finding that the first respondent is at law an employer </w:t>
      </w:r>
      <w:r w:rsidR="0019583F" w:rsidRPr="00157E3D">
        <w:rPr>
          <w:rFonts w:ascii="Times New Roman" w:hAnsi="Times New Roman" w:cs="Times New Roman"/>
          <w:sz w:val="24"/>
          <w:szCs w:val="24"/>
        </w:rPr>
        <w:t>within the energy industry and accordingly bound by the Collective Bargaining Agreement for Energy Industry</w:t>
      </w:r>
      <w:r w:rsidRPr="00157E3D">
        <w:rPr>
          <w:rFonts w:ascii="Times New Roman" w:hAnsi="Times New Roman" w:cs="Times New Roman"/>
          <w:sz w:val="24"/>
          <w:szCs w:val="24"/>
        </w:rPr>
        <w:t>”</w:t>
      </w:r>
      <w:r w:rsidR="0019583F" w:rsidRPr="00157E3D">
        <w:rPr>
          <w:rFonts w:ascii="Times New Roman" w:hAnsi="Times New Roman" w:cs="Times New Roman"/>
          <w:sz w:val="24"/>
          <w:szCs w:val="24"/>
        </w:rPr>
        <w:t>.</w:t>
      </w:r>
    </w:p>
    <w:p w:rsidR="00265E72" w:rsidRDefault="00265E72" w:rsidP="00E5189F">
      <w:pPr>
        <w:spacing w:after="0" w:line="480" w:lineRule="auto"/>
        <w:ind w:firstLine="720"/>
        <w:jc w:val="both"/>
        <w:rPr>
          <w:rFonts w:ascii="Times New Roman" w:hAnsi="Times New Roman" w:cs="Times New Roman"/>
          <w:sz w:val="24"/>
          <w:szCs w:val="24"/>
        </w:rPr>
      </w:pPr>
    </w:p>
    <w:p w:rsidR="00B85070" w:rsidRPr="00157E3D" w:rsidRDefault="00B85070" w:rsidP="00B85070">
      <w:pPr>
        <w:spacing w:after="0" w:line="240" w:lineRule="auto"/>
        <w:ind w:firstLine="720"/>
        <w:jc w:val="both"/>
        <w:rPr>
          <w:rFonts w:ascii="Times New Roman" w:hAnsi="Times New Roman" w:cs="Times New Roman"/>
          <w:sz w:val="24"/>
          <w:szCs w:val="24"/>
        </w:rPr>
      </w:pPr>
    </w:p>
    <w:p w:rsidR="00C611A0" w:rsidRPr="00157E3D" w:rsidRDefault="00315707" w:rsidP="00307FA6">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t xml:space="preserve">At the centre of the dispute between the parties is a CBA which the first respondent refused to implement. </w:t>
      </w:r>
      <w:r w:rsidR="0019583F" w:rsidRPr="00157E3D">
        <w:rPr>
          <w:rFonts w:ascii="Times New Roman" w:hAnsi="Times New Roman" w:cs="Times New Roman"/>
          <w:sz w:val="24"/>
          <w:szCs w:val="24"/>
        </w:rPr>
        <w:t xml:space="preserve">It was argued on behalf of the appellants that </w:t>
      </w:r>
      <w:r w:rsidR="002446AC" w:rsidRPr="00157E3D">
        <w:rPr>
          <w:rFonts w:ascii="Times New Roman" w:hAnsi="Times New Roman" w:cs="Times New Roman"/>
          <w:sz w:val="24"/>
          <w:szCs w:val="24"/>
        </w:rPr>
        <w:t>the definition of</w:t>
      </w:r>
      <w:r w:rsidR="0051768D" w:rsidRPr="00157E3D">
        <w:rPr>
          <w:rFonts w:ascii="Times New Roman" w:hAnsi="Times New Roman" w:cs="Times New Roman"/>
          <w:sz w:val="24"/>
          <w:szCs w:val="24"/>
        </w:rPr>
        <w:t xml:space="preserve"> energy industry in s 2 of the A</w:t>
      </w:r>
      <w:r w:rsidR="002446AC" w:rsidRPr="00157E3D">
        <w:rPr>
          <w:rFonts w:ascii="Times New Roman" w:hAnsi="Times New Roman" w:cs="Times New Roman"/>
          <w:sz w:val="24"/>
          <w:szCs w:val="24"/>
        </w:rPr>
        <w:t xml:space="preserve">ct must be interpreted purposively </w:t>
      </w:r>
      <w:r w:rsidR="00DA46A9" w:rsidRPr="00157E3D">
        <w:rPr>
          <w:rFonts w:ascii="Times New Roman" w:hAnsi="Times New Roman" w:cs="Times New Roman"/>
          <w:sz w:val="24"/>
          <w:szCs w:val="24"/>
        </w:rPr>
        <w:t>to include the fir</w:t>
      </w:r>
      <w:r w:rsidR="0051768D" w:rsidRPr="00157E3D">
        <w:rPr>
          <w:rFonts w:ascii="Times New Roman" w:hAnsi="Times New Roman" w:cs="Times New Roman"/>
          <w:sz w:val="24"/>
          <w:szCs w:val="24"/>
        </w:rPr>
        <w:t>st respondent, a regulator of the energy industry</w:t>
      </w:r>
      <w:r w:rsidR="00DA46A9" w:rsidRPr="00157E3D">
        <w:rPr>
          <w:rFonts w:ascii="Times New Roman" w:hAnsi="Times New Roman" w:cs="Times New Roman"/>
          <w:sz w:val="24"/>
          <w:szCs w:val="24"/>
        </w:rPr>
        <w:t>. It was</w:t>
      </w:r>
      <w:r w:rsidR="00ED02AB" w:rsidRPr="00157E3D">
        <w:rPr>
          <w:rFonts w:ascii="Times New Roman" w:hAnsi="Times New Roman" w:cs="Times New Roman"/>
          <w:sz w:val="24"/>
          <w:szCs w:val="24"/>
        </w:rPr>
        <w:t xml:space="preserve"> further</w:t>
      </w:r>
      <w:r w:rsidR="00DA46A9" w:rsidRPr="00157E3D">
        <w:rPr>
          <w:rFonts w:ascii="Times New Roman" w:hAnsi="Times New Roman" w:cs="Times New Roman"/>
          <w:sz w:val="24"/>
          <w:szCs w:val="24"/>
        </w:rPr>
        <w:t xml:space="preserve"> contended that th</w:t>
      </w:r>
      <w:r w:rsidR="0051768D" w:rsidRPr="00157E3D">
        <w:rPr>
          <w:rFonts w:ascii="Times New Roman" w:hAnsi="Times New Roman" w:cs="Times New Roman"/>
          <w:sz w:val="24"/>
          <w:szCs w:val="24"/>
        </w:rPr>
        <w:t>e first respondent is</w:t>
      </w:r>
      <w:r w:rsidR="00AF516A" w:rsidRPr="00157E3D">
        <w:rPr>
          <w:rFonts w:ascii="Times New Roman" w:hAnsi="Times New Roman" w:cs="Times New Roman"/>
          <w:sz w:val="24"/>
          <w:szCs w:val="24"/>
        </w:rPr>
        <w:t xml:space="preserve"> an employer in</w:t>
      </w:r>
      <w:r w:rsidR="00DA46A9" w:rsidRPr="00157E3D">
        <w:rPr>
          <w:rFonts w:ascii="Times New Roman" w:hAnsi="Times New Roman" w:cs="Times New Roman"/>
          <w:sz w:val="24"/>
          <w:szCs w:val="24"/>
        </w:rPr>
        <w:t xml:space="preserve"> the en</w:t>
      </w:r>
      <w:r w:rsidR="0051768D" w:rsidRPr="00157E3D">
        <w:rPr>
          <w:rFonts w:ascii="Times New Roman" w:hAnsi="Times New Roman" w:cs="Times New Roman"/>
          <w:sz w:val="24"/>
          <w:szCs w:val="24"/>
        </w:rPr>
        <w:t>ergy industry and is thus</w:t>
      </w:r>
      <w:r w:rsidR="00371F25" w:rsidRPr="00157E3D">
        <w:rPr>
          <w:rFonts w:ascii="Times New Roman" w:hAnsi="Times New Roman" w:cs="Times New Roman"/>
          <w:sz w:val="24"/>
          <w:szCs w:val="24"/>
        </w:rPr>
        <w:t xml:space="preserve"> bound by the </w:t>
      </w:r>
      <w:r w:rsidR="00AF516A" w:rsidRPr="00157E3D">
        <w:rPr>
          <w:rFonts w:ascii="Times New Roman" w:hAnsi="Times New Roman" w:cs="Times New Roman"/>
          <w:sz w:val="24"/>
          <w:szCs w:val="24"/>
        </w:rPr>
        <w:t xml:space="preserve">CBA in terms of s 82 of the Labour Act. </w:t>
      </w:r>
    </w:p>
    <w:p w:rsidR="00307FA6" w:rsidRPr="00157E3D" w:rsidRDefault="00307FA6" w:rsidP="00307FA6">
      <w:pPr>
        <w:spacing w:after="0" w:line="480" w:lineRule="auto"/>
        <w:ind w:firstLine="1134"/>
        <w:jc w:val="both"/>
        <w:rPr>
          <w:rFonts w:ascii="Times New Roman" w:hAnsi="Times New Roman" w:cs="Times New Roman"/>
          <w:sz w:val="24"/>
          <w:szCs w:val="24"/>
        </w:rPr>
      </w:pPr>
    </w:p>
    <w:p w:rsidR="0019583F" w:rsidRPr="00157E3D" w:rsidRDefault="0051768D" w:rsidP="008A618B">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t>On the other hand, i</w:t>
      </w:r>
      <w:r w:rsidR="00371F25" w:rsidRPr="00157E3D">
        <w:rPr>
          <w:rFonts w:ascii="Times New Roman" w:hAnsi="Times New Roman" w:cs="Times New Roman"/>
          <w:sz w:val="24"/>
          <w:szCs w:val="24"/>
        </w:rPr>
        <w:t>t was argued on behalf of the first respondent that the CBA was not binding</w:t>
      </w:r>
      <w:r w:rsidR="005A7BFD">
        <w:rPr>
          <w:rFonts w:ascii="Times New Roman" w:hAnsi="Times New Roman" w:cs="Times New Roman"/>
          <w:sz w:val="24"/>
          <w:szCs w:val="24"/>
        </w:rPr>
        <w:t xml:space="preserve"> on</w:t>
      </w:r>
      <w:r w:rsidR="00371F25" w:rsidRPr="00157E3D">
        <w:rPr>
          <w:rFonts w:ascii="Times New Roman" w:hAnsi="Times New Roman" w:cs="Times New Roman"/>
          <w:sz w:val="24"/>
          <w:szCs w:val="24"/>
        </w:rPr>
        <w:t xml:space="preserve"> </w:t>
      </w:r>
      <w:r w:rsidR="00410F2B" w:rsidRPr="00157E3D">
        <w:rPr>
          <w:rFonts w:ascii="Times New Roman" w:hAnsi="Times New Roman" w:cs="Times New Roman"/>
          <w:sz w:val="24"/>
          <w:szCs w:val="24"/>
        </w:rPr>
        <w:t>it</w:t>
      </w:r>
      <w:r w:rsidR="00371F25" w:rsidRPr="00157E3D">
        <w:rPr>
          <w:rFonts w:ascii="Times New Roman" w:hAnsi="Times New Roman" w:cs="Times New Roman"/>
          <w:sz w:val="24"/>
          <w:szCs w:val="24"/>
        </w:rPr>
        <w:t xml:space="preserve"> because it was not party to the CBA. It was contended that the first respondent is not a member of any </w:t>
      </w:r>
      <w:r w:rsidR="005A7BFD">
        <w:rPr>
          <w:rFonts w:ascii="Times New Roman" w:hAnsi="Times New Roman" w:cs="Times New Roman"/>
          <w:sz w:val="24"/>
          <w:szCs w:val="24"/>
        </w:rPr>
        <w:t xml:space="preserve">of the trade unions that participated in crafting </w:t>
      </w:r>
      <w:r w:rsidR="00371F25" w:rsidRPr="00157E3D">
        <w:rPr>
          <w:rFonts w:ascii="Times New Roman" w:hAnsi="Times New Roman" w:cs="Times New Roman"/>
          <w:sz w:val="24"/>
          <w:szCs w:val="24"/>
        </w:rPr>
        <w:t>the CBA. It was further argued that the first respondent do</w:t>
      </w:r>
      <w:r w:rsidR="00E139D7" w:rsidRPr="00157E3D">
        <w:rPr>
          <w:rFonts w:ascii="Times New Roman" w:hAnsi="Times New Roman" w:cs="Times New Roman"/>
          <w:sz w:val="24"/>
          <w:szCs w:val="24"/>
        </w:rPr>
        <w:t>es</w:t>
      </w:r>
      <w:r w:rsidR="00371F25" w:rsidRPr="00157E3D">
        <w:rPr>
          <w:rFonts w:ascii="Times New Roman" w:hAnsi="Times New Roman" w:cs="Times New Roman"/>
          <w:sz w:val="24"/>
          <w:szCs w:val="24"/>
        </w:rPr>
        <w:t xml:space="preserve"> not fall within the energy industry because </w:t>
      </w:r>
      <w:r w:rsidR="004F4F06" w:rsidRPr="00157E3D">
        <w:rPr>
          <w:rFonts w:ascii="Times New Roman" w:hAnsi="Times New Roman" w:cs="Times New Roman"/>
          <w:sz w:val="24"/>
          <w:szCs w:val="24"/>
        </w:rPr>
        <w:t>the definition of energy in</w:t>
      </w:r>
      <w:r w:rsidR="00E139D7" w:rsidRPr="00157E3D">
        <w:rPr>
          <w:rFonts w:ascii="Times New Roman" w:hAnsi="Times New Roman" w:cs="Times New Roman"/>
          <w:sz w:val="24"/>
          <w:szCs w:val="24"/>
        </w:rPr>
        <w:t>dustry does not include ‘regulation’</w:t>
      </w:r>
      <w:r w:rsidR="004F4F06" w:rsidRPr="00157E3D">
        <w:rPr>
          <w:rFonts w:ascii="Times New Roman" w:hAnsi="Times New Roman" w:cs="Times New Roman"/>
          <w:sz w:val="24"/>
          <w:szCs w:val="24"/>
        </w:rPr>
        <w:t xml:space="preserve"> which is the cardinal function of the first respondent.</w:t>
      </w:r>
    </w:p>
    <w:p w:rsidR="00C611A0" w:rsidRDefault="00D12ED6" w:rsidP="00E5189F">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lastRenderedPageBreak/>
        <w:t>While the nub of the appellant</w:t>
      </w:r>
      <w:r w:rsidR="00732606" w:rsidRPr="00157E3D">
        <w:rPr>
          <w:rFonts w:ascii="Times New Roman" w:hAnsi="Times New Roman" w:cs="Times New Roman"/>
          <w:sz w:val="24"/>
          <w:szCs w:val="24"/>
        </w:rPr>
        <w:t>s</w:t>
      </w:r>
      <w:r w:rsidRPr="00157E3D">
        <w:rPr>
          <w:rFonts w:ascii="Times New Roman" w:hAnsi="Times New Roman" w:cs="Times New Roman"/>
          <w:sz w:val="24"/>
          <w:szCs w:val="24"/>
        </w:rPr>
        <w:t>`</w:t>
      </w:r>
      <w:r w:rsidR="00732606" w:rsidRPr="00157E3D">
        <w:rPr>
          <w:rFonts w:ascii="Times New Roman" w:hAnsi="Times New Roman" w:cs="Times New Roman"/>
          <w:sz w:val="24"/>
          <w:szCs w:val="24"/>
        </w:rPr>
        <w:t xml:space="preserve"> </w:t>
      </w:r>
      <w:r w:rsidR="00045BB8" w:rsidRPr="00157E3D">
        <w:rPr>
          <w:rFonts w:ascii="Times New Roman" w:hAnsi="Times New Roman" w:cs="Times New Roman"/>
          <w:sz w:val="24"/>
          <w:szCs w:val="24"/>
        </w:rPr>
        <w:t>contention</w:t>
      </w:r>
      <w:r w:rsidR="00441A1B" w:rsidRPr="00157E3D">
        <w:rPr>
          <w:rFonts w:ascii="Times New Roman" w:hAnsi="Times New Roman" w:cs="Times New Roman"/>
          <w:sz w:val="24"/>
          <w:szCs w:val="24"/>
        </w:rPr>
        <w:t xml:space="preserve"> in this C</w:t>
      </w:r>
      <w:r w:rsidR="00732606" w:rsidRPr="00157E3D">
        <w:rPr>
          <w:rFonts w:ascii="Times New Roman" w:hAnsi="Times New Roman" w:cs="Times New Roman"/>
          <w:sz w:val="24"/>
          <w:szCs w:val="24"/>
        </w:rPr>
        <w:t>ourt is that s 2 of the Act must be interpreted purposively to include t</w:t>
      </w:r>
      <w:r w:rsidR="00441A1B" w:rsidRPr="00157E3D">
        <w:rPr>
          <w:rFonts w:ascii="Times New Roman" w:hAnsi="Times New Roman" w:cs="Times New Roman"/>
          <w:sz w:val="24"/>
          <w:szCs w:val="24"/>
        </w:rPr>
        <w:t xml:space="preserve">he first respondent, the </w:t>
      </w:r>
      <w:r w:rsidR="00307FA6" w:rsidRPr="00157E3D">
        <w:rPr>
          <w:rFonts w:ascii="Times New Roman" w:hAnsi="Times New Roman" w:cs="Times New Roman"/>
          <w:sz w:val="24"/>
          <w:szCs w:val="24"/>
        </w:rPr>
        <w:t>c</w:t>
      </w:r>
      <w:r w:rsidRPr="00157E3D">
        <w:rPr>
          <w:rFonts w:ascii="Times New Roman" w:hAnsi="Times New Roman" w:cs="Times New Roman"/>
          <w:sz w:val="24"/>
          <w:szCs w:val="24"/>
        </w:rPr>
        <w:t>ourt is not convinced by</w:t>
      </w:r>
      <w:r w:rsidR="00C95A43" w:rsidRPr="00157E3D">
        <w:rPr>
          <w:rFonts w:ascii="Times New Roman" w:hAnsi="Times New Roman" w:cs="Times New Roman"/>
          <w:sz w:val="24"/>
          <w:szCs w:val="24"/>
        </w:rPr>
        <w:t xml:space="preserve"> that contention</w:t>
      </w:r>
      <w:r w:rsidR="00E139D7" w:rsidRPr="00157E3D">
        <w:rPr>
          <w:rFonts w:ascii="Times New Roman" w:hAnsi="Times New Roman" w:cs="Times New Roman"/>
          <w:sz w:val="24"/>
          <w:szCs w:val="24"/>
        </w:rPr>
        <w:t xml:space="preserve"> and be</w:t>
      </w:r>
      <w:r w:rsidR="008A5793" w:rsidRPr="00157E3D">
        <w:rPr>
          <w:rFonts w:ascii="Times New Roman" w:hAnsi="Times New Roman" w:cs="Times New Roman"/>
          <w:sz w:val="24"/>
          <w:szCs w:val="24"/>
        </w:rPr>
        <w:t>low are the c</w:t>
      </w:r>
      <w:r w:rsidR="00E139D7" w:rsidRPr="00157E3D">
        <w:rPr>
          <w:rFonts w:ascii="Times New Roman" w:hAnsi="Times New Roman" w:cs="Times New Roman"/>
          <w:sz w:val="24"/>
          <w:szCs w:val="24"/>
        </w:rPr>
        <w:t>ourt`s reasons for the position taken</w:t>
      </w:r>
      <w:r w:rsidRPr="00157E3D">
        <w:rPr>
          <w:rFonts w:ascii="Times New Roman" w:hAnsi="Times New Roman" w:cs="Times New Roman"/>
          <w:sz w:val="24"/>
          <w:szCs w:val="24"/>
        </w:rPr>
        <w:t xml:space="preserve">. </w:t>
      </w:r>
    </w:p>
    <w:p w:rsidR="00CE1554" w:rsidRPr="00157E3D" w:rsidRDefault="00CE1554" w:rsidP="00CE1554">
      <w:pPr>
        <w:spacing w:after="0" w:line="480" w:lineRule="auto"/>
        <w:ind w:firstLine="1134"/>
        <w:jc w:val="both"/>
        <w:rPr>
          <w:rFonts w:ascii="Times New Roman" w:hAnsi="Times New Roman" w:cs="Times New Roman"/>
          <w:sz w:val="24"/>
          <w:szCs w:val="24"/>
        </w:rPr>
      </w:pPr>
    </w:p>
    <w:p w:rsidR="0051768D" w:rsidRPr="00157E3D" w:rsidRDefault="00D12ED6" w:rsidP="00307FA6">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t>It is an established principle of law</w:t>
      </w:r>
      <w:r w:rsidR="00045BB8" w:rsidRPr="00157E3D">
        <w:rPr>
          <w:rFonts w:ascii="Times New Roman" w:hAnsi="Times New Roman" w:cs="Times New Roman"/>
          <w:sz w:val="24"/>
          <w:szCs w:val="24"/>
        </w:rPr>
        <w:t xml:space="preserve"> that when interpreting</w:t>
      </w:r>
      <w:r w:rsidR="00C95A43" w:rsidRPr="00157E3D">
        <w:rPr>
          <w:rFonts w:ascii="Times New Roman" w:hAnsi="Times New Roman" w:cs="Times New Roman"/>
          <w:sz w:val="24"/>
          <w:szCs w:val="24"/>
        </w:rPr>
        <w:t xml:space="preserve"> a</w:t>
      </w:r>
      <w:r w:rsidR="00045BB8" w:rsidRPr="00157E3D">
        <w:rPr>
          <w:rFonts w:ascii="Times New Roman" w:hAnsi="Times New Roman" w:cs="Times New Roman"/>
          <w:sz w:val="24"/>
          <w:szCs w:val="24"/>
        </w:rPr>
        <w:t xml:space="preserve"> statute</w:t>
      </w:r>
      <w:r w:rsidR="00732606" w:rsidRPr="00157E3D">
        <w:rPr>
          <w:rFonts w:ascii="Times New Roman" w:hAnsi="Times New Roman" w:cs="Times New Roman"/>
          <w:sz w:val="24"/>
          <w:szCs w:val="24"/>
        </w:rPr>
        <w:t xml:space="preserve">, the first cannon of interpretation to be </w:t>
      </w:r>
      <w:r w:rsidR="00045BB8" w:rsidRPr="00157E3D">
        <w:rPr>
          <w:rFonts w:ascii="Times New Roman" w:hAnsi="Times New Roman" w:cs="Times New Roman"/>
          <w:sz w:val="24"/>
          <w:szCs w:val="24"/>
        </w:rPr>
        <w:t>applied is the golden rule of interpretation. This rule is to the effect that where the language used in a statute is plain an</w:t>
      </w:r>
      <w:r w:rsidR="00E139D7" w:rsidRPr="00157E3D">
        <w:rPr>
          <w:rFonts w:ascii="Times New Roman" w:hAnsi="Times New Roman" w:cs="Times New Roman"/>
          <w:sz w:val="24"/>
          <w:szCs w:val="24"/>
        </w:rPr>
        <w:t>d</w:t>
      </w:r>
      <w:r w:rsidR="00045BB8" w:rsidRPr="00157E3D">
        <w:rPr>
          <w:rFonts w:ascii="Times New Roman" w:hAnsi="Times New Roman" w:cs="Times New Roman"/>
          <w:sz w:val="24"/>
          <w:szCs w:val="24"/>
        </w:rPr>
        <w:t xml:space="preserve"> unambiguous</w:t>
      </w:r>
      <w:r w:rsidR="00E139D7" w:rsidRPr="00157E3D">
        <w:rPr>
          <w:rFonts w:ascii="Times New Roman" w:hAnsi="Times New Roman" w:cs="Times New Roman"/>
          <w:sz w:val="24"/>
          <w:szCs w:val="24"/>
        </w:rPr>
        <w:t>,</w:t>
      </w:r>
      <w:r w:rsidR="00045BB8" w:rsidRPr="00157E3D">
        <w:rPr>
          <w:rFonts w:ascii="Times New Roman" w:hAnsi="Times New Roman" w:cs="Times New Roman"/>
          <w:sz w:val="24"/>
          <w:szCs w:val="24"/>
        </w:rPr>
        <w:t xml:space="preserve"> it should be</w:t>
      </w:r>
      <w:r w:rsidR="00E221D8" w:rsidRPr="00157E3D">
        <w:rPr>
          <w:rFonts w:ascii="Times New Roman" w:hAnsi="Times New Roman" w:cs="Times New Roman"/>
          <w:sz w:val="24"/>
          <w:szCs w:val="24"/>
        </w:rPr>
        <w:t xml:space="preserve"> given its ordinary meaning</w:t>
      </w:r>
      <w:r w:rsidR="00441A1B" w:rsidRPr="00157E3D">
        <w:rPr>
          <w:rFonts w:ascii="Times New Roman" w:hAnsi="Times New Roman" w:cs="Times New Roman"/>
          <w:sz w:val="24"/>
          <w:szCs w:val="24"/>
        </w:rPr>
        <w:t xml:space="preserve"> unless </w:t>
      </w:r>
      <w:r w:rsidR="005A2277" w:rsidRPr="00157E3D">
        <w:rPr>
          <w:rFonts w:ascii="Times New Roman" w:hAnsi="Times New Roman" w:cs="Times New Roman"/>
          <w:sz w:val="24"/>
          <w:szCs w:val="24"/>
        </w:rPr>
        <w:t>doing so</w:t>
      </w:r>
      <w:r w:rsidR="00441A1B" w:rsidRPr="00157E3D">
        <w:rPr>
          <w:rFonts w:ascii="Times New Roman" w:hAnsi="Times New Roman" w:cs="Times New Roman"/>
          <w:sz w:val="24"/>
          <w:szCs w:val="24"/>
        </w:rPr>
        <w:t xml:space="preserve"> would lead to some absurdity or inconsistency with the intention of the </w:t>
      </w:r>
      <w:r w:rsidR="00C31FCB">
        <w:rPr>
          <w:rFonts w:ascii="Times New Roman" w:hAnsi="Times New Roman" w:cs="Times New Roman"/>
          <w:sz w:val="24"/>
          <w:szCs w:val="24"/>
        </w:rPr>
        <w:t>l</w:t>
      </w:r>
      <w:r w:rsidR="00441A1B" w:rsidRPr="00157E3D">
        <w:rPr>
          <w:rFonts w:ascii="Times New Roman" w:hAnsi="Times New Roman" w:cs="Times New Roman"/>
          <w:sz w:val="24"/>
          <w:szCs w:val="24"/>
        </w:rPr>
        <w:t>egislature</w:t>
      </w:r>
      <w:r w:rsidR="00E221D8" w:rsidRPr="00157E3D">
        <w:rPr>
          <w:rFonts w:ascii="Times New Roman" w:hAnsi="Times New Roman" w:cs="Times New Roman"/>
          <w:sz w:val="24"/>
          <w:szCs w:val="24"/>
        </w:rPr>
        <w:t xml:space="preserve">. </w:t>
      </w:r>
      <w:r w:rsidR="0051768D" w:rsidRPr="00157E3D">
        <w:rPr>
          <w:rFonts w:ascii="Times New Roman" w:hAnsi="Times New Roman" w:cs="Times New Roman"/>
          <w:sz w:val="24"/>
          <w:szCs w:val="24"/>
        </w:rPr>
        <w:t>A provision of a statute should be given a meaning which is consistent with the context in which it is found.</w:t>
      </w:r>
      <w:r w:rsidR="00045BB8" w:rsidRPr="00157E3D">
        <w:rPr>
          <w:rFonts w:ascii="Times New Roman" w:hAnsi="Times New Roman" w:cs="Times New Roman"/>
          <w:sz w:val="24"/>
          <w:szCs w:val="24"/>
        </w:rPr>
        <w:t xml:space="preserve"> </w:t>
      </w:r>
      <w:r w:rsidR="00E221D8" w:rsidRPr="00157E3D">
        <w:rPr>
          <w:rFonts w:ascii="Times New Roman" w:hAnsi="Times New Roman" w:cs="Times New Roman"/>
          <w:sz w:val="24"/>
          <w:szCs w:val="24"/>
        </w:rPr>
        <w:t>This position was laid down in</w:t>
      </w:r>
      <w:r w:rsidR="0051768D" w:rsidRPr="00157E3D">
        <w:rPr>
          <w:rFonts w:ascii="Times New Roman" w:hAnsi="Times New Roman" w:cs="Times New Roman"/>
          <w:sz w:val="24"/>
          <w:szCs w:val="24"/>
        </w:rPr>
        <w:t xml:space="preserve"> </w:t>
      </w:r>
      <w:r w:rsidR="0051768D" w:rsidRPr="00157E3D">
        <w:rPr>
          <w:rFonts w:ascii="Times New Roman" w:hAnsi="Times New Roman" w:cs="Times New Roman"/>
          <w:i/>
          <w:color w:val="000000"/>
          <w:sz w:val="24"/>
          <w:szCs w:val="24"/>
        </w:rPr>
        <w:t>Chegutu Municipality</w:t>
      </w:r>
      <w:r w:rsidR="0051768D" w:rsidRPr="00157E3D">
        <w:rPr>
          <w:rFonts w:ascii="Times New Roman" w:hAnsi="Times New Roman" w:cs="Times New Roman"/>
          <w:color w:val="000000"/>
          <w:sz w:val="24"/>
          <w:szCs w:val="24"/>
        </w:rPr>
        <w:t xml:space="preserve"> v </w:t>
      </w:r>
      <w:r w:rsidR="0051768D" w:rsidRPr="00157E3D">
        <w:rPr>
          <w:rFonts w:ascii="Times New Roman" w:hAnsi="Times New Roman" w:cs="Times New Roman"/>
          <w:i/>
          <w:color w:val="000000"/>
          <w:sz w:val="24"/>
          <w:szCs w:val="24"/>
        </w:rPr>
        <w:t>Manyora</w:t>
      </w:r>
      <w:r w:rsidR="0051768D" w:rsidRPr="00157E3D">
        <w:rPr>
          <w:rFonts w:ascii="Times New Roman" w:hAnsi="Times New Roman" w:cs="Times New Roman"/>
          <w:color w:val="000000"/>
          <w:sz w:val="24"/>
          <w:szCs w:val="24"/>
        </w:rPr>
        <w:t xml:space="preserve"> 1996 (1) ZLR 262 (S) at 264 D-E</w:t>
      </w:r>
      <w:r w:rsidR="00EF5213" w:rsidRPr="00157E3D">
        <w:rPr>
          <w:rFonts w:ascii="Times New Roman" w:hAnsi="Times New Roman" w:cs="Times New Roman"/>
          <w:color w:val="000000"/>
          <w:sz w:val="24"/>
          <w:szCs w:val="24"/>
        </w:rPr>
        <w:t xml:space="preserve">, </w:t>
      </w:r>
      <w:r w:rsidR="00E221D8" w:rsidRPr="00157E3D">
        <w:rPr>
          <w:rFonts w:ascii="Times New Roman" w:hAnsi="Times New Roman" w:cs="Times New Roman"/>
          <w:color w:val="000000"/>
          <w:sz w:val="24"/>
          <w:szCs w:val="24"/>
        </w:rPr>
        <w:t xml:space="preserve">where </w:t>
      </w:r>
      <w:r w:rsidR="0051768D" w:rsidRPr="00157E3D">
        <w:rPr>
          <w:rFonts w:ascii="Times New Roman" w:hAnsi="Times New Roman" w:cs="Times New Roman"/>
          <w:color w:val="000000"/>
          <w:sz w:val="24"/>
          <w:szCs w:val="24"/>
        </w:rPr>
        <w:t xml:space="preserve">McNALLY JA said:      </w:t>
      </w:r>
    </w:p>
    <w:p w:rsidR="00EF5213" w:rsidRPr="00157E3D" w:rsidRDefault="00C95A43" w:rsidP="008439F6">
      <w:pPr>
        <w:autoSpaceDE w:val="0"/>
        <w:autoSpaceDN w:val="0"/>
        <w:adjustRightInd w:val="0"/>
        <w:spacing w:after="0" w:line="240" w:lineRule="auto"/>
        <w:ind w:left="720"/>
        <w:jc w:val="both"/>
        <w:rPr>
          <w:rFonts w:ascii="Times New Roman" w:hAnsi="Times New Roman" w:cs="Times New Roman"/>
          <w:color w:val="000000"/>
          <w:sz w:val="24"/>
          <w:szCs w:val="24"/>
        </w:rPr>
      </w:pPr>
      <w:r w:rsidRPr="00157E3D">
        <w:rPr>
          <w:rFonts w:ascii="Times New Roman" w:hAnsi="Times New Roman" w:cs="Times New Roman"/>
          <w:color w:val="000000"/>
          <w:sz w:val="24"/>
          <w:szCs w:val="24"/>
        </w:rPr>
        <w:t>“</w:t>
      </w:r>
      <w:r w:rsidR="0051768D" w:rsidRPr="00157E3D">
        <w:rPr>
          <w:rFonts w:ascii="Times New Roman" w:hAnsi="Times New Roman" w:cs="Times New Roman"/>
          <w:color w:val="000000"/>
          <w:sz w:val="24"/>
          <w:szCs w:val="24"/>
        </w:rPr>
        <w:t xml:space="preserve">There is no magic about interpretation. Words must be taken in their context. The grammatical and ordinary sense of the words is to be adhered to, as Lord WENSLEYDALE said in </w:t>
      </w:r>
      <w:r w:rsidR="0051768D" w:rsidRPr="00157E3D">
        <w:rPr>
          <w:rFonts w:ascii="Times New Roman" w:hAnsi="Times New Roman" w:cs="Times New Roman"/>
          <w:i/>
          <w:color w:val="000000"/>
          <w:sz w:val="24"/>
          <w:szCs w:val="24"/>
        </w:rPr>
        <w:t>Grey</w:t>
      </w:r>
      <w:r w:rsidR="0051768D" w:rsidRPr="00157E3D">
        <w:rPr>
          <w:rFonts w:ascii="Times New Roman" w:hAnsi="Times New Roman" w:cs="Times New Roman"/>
          <w:color w:val="000000"/>
          <w:sz w:val="24"/>
          <w:szCs w:val="24"/>
        </w:rPr>
        <w:t xml:space="preserve"> v </w:t>
      </w:r>
      <w:r w:rsidR="0051768D" w:rsidRPr="00157E3D">
        <w:rPr>
          <w:rFonts w:ascii="Times New Roman" w:hAnsi="Times New Roman" w:cs="Times New Roman"/>
          <w:i/>
          <w:color w:val="000000"/>
          <w:sz w:val="24"/>
          <w:szCs w:val="24"/>
        </w:rPr>
        <w:t>Pearson</w:t>
      </w:r>
      <w:r w:rsidR="0051768D" w:rsidRPr="00157E3D">
        <w:rPr>
          <w:rFonts w:ascii="Times New Roman" w:hAnsi="Times New Roman" w:cs="Times New Roman"/>
          <w:color w:val="000000"/>
          <w:sz w:val="24"/>
          <w:szCs w:val="24"/>
        </w:rPr>
        <w:t xml:space="preserve"> (1857) 10 ER 1216 at 1234, 'unless that would lead to some absurdity, or some repugnance or inconsistency with the rest of the instrument, in which case the grammatical and ordinary sense of the words may be modified so as to avoid that absurdity and i</w:t>
      </w:r>
      <w:r w:rsidRPr="00157E3D">
        <w:rPr>
          <w:rFonts w:ascii="Times New Roman" w:hAnsi="Times New Roman" w:cs="Times New Roman"/>
          <w:color w:val="000000"/>
          <w:sz w:val="24"/>
          <w:szCs w:val="24"/>
        </w:rPr>
        <w:t>nconsistency, but no further.”</w:t>
      </w:r>
    </w:p>
    <w:p w:rsidR="008439F6" w:rsidRPr="00157E3D" w:rsidRDefault="008439F6" w:rsidP="008439F6">
      <w:pPr>
        <w:autoSpaceDE w:val="0"/>
        <w:autoSpaceDN w:val="0"/>
        <w:adjustRightInd w:val="0"/>
        <w:spacing w:after="0" w:line="480" w:lineRule="auto"/>
        <w:ind w:left="720"/>
        <w:jc w:val="both"/>
        <w:rPr>
          <w:rFonts w:ascii="Times New Roman" w:hAnsi="Times New Roman" w:cs="Times New Roman"/>
          <w:color w:val="000000"/>
          <w:sz w:val="24"/>
          <w:szCs w:val="24"/>
        </w:rPr>
      </w:pPr>
    </w:p>
    <w:p w:rsidR="00EF5213" w:rsidRPr="00157E3D" w:rsidRDefault="00EF5213" w:rsidP="00542A81">
      <w:pPr>
        <w:autoSpaceDE w:val="0"/>
        <w:autoSpaceDN w:val="0"/>
        <w:adjustRightInd w:val="0"/>
        <w:spacing w:after="0" w:line="240" w:lineRule="auto"/>
        <w:jc w:val="both"/>
        <w:rPr>
          <w:rFonts w:ascii="Times New Roman" w:hAnsi="Times New Roman" w:cs="Times New Roman"/>
          <w:color w:val="000000"/>
          <w:sz w:val="24"/>
          <w:szCs w:val="24"/>
        </w:rPr>
      </w:pPr>
    </w:p>
    <w:p w:rsidR="0051768D" w:rsidRPr="00157E3D" w:rsidRDefault="00EF5213" w:rsidP="00311155">
      <w:pPr>
        <w:autoSpaceDE w:val="0"/>
        <w:autoSpaceDN w:val="0"/>
        <w:adjustRightInd w:val="0"/>
        <w:spacing w:after="0" w:line="240" w:lineRule="auto"/>
        <w:ind w:firstLine="1134"/>
        <w:jc w:val="both"/>
        <w:rPr>
          <w:rFonts w:ascii="Times New Roman" w:hAnsi="Times New Roman" w:cs="Times New Roman"/>
          <w:sz w:val="24"/>
          <w:szCs w:val="24"/>
        </w:rPr>
      </w:pPr>
      <w:r w:rsidRPr="00157E3D">
        <w:rPr>
          <w:rFonts w:ascii="Times New Roman" w:hAnsi="Times New Roman" w:cs="Times New Roman"/>
          <w:color w:val="000000"/>
          <w:sz w:val="24"/>
          <w:szCs w:val="24"/>
        </w:rPr>
        <w:t xml:space="preserve">See also </w:t>
      </w:r>
      <w:r w:rsidRPr="00157E3D">
        <w:rPr>
          <w:rFonts w:ascii="Times New Roman" w:hAnsi="Times New Roman" w:cs="Times New Roman"/>
          <w:sz w:val="24"/>
          <w:szCs w:val="24"/>
        </w:rPr>
        <w:t xml:space="preserve">See </w:t>
      </w:r>
      <w:r w:rsidRPr="00157E3D">
        <w:rPr>
          <w:rFonts w:ascii="Times New Roman" w:hAnsi="Times New Roman" w:cs="Times New Roman"/>
          <w:i/>
          <w:sz w:val="24"/>
          <w:szCs w:val="24"/>
        </w:rPr>
        <w:t>Mudada v Tanganda Tea Co Ltd</w:t>
      </w:r>
      <w:r w:rsidRPr="00157E3D">
        <w:rPr>
          <w:rFonts w:ascii="Times New Roman" w:hAnsi="Times New Roman" w:cs="Times New Roman"/>
          <w:sz w:val="24"/>
          <w:szCs w:val="24"/>
        </w:rPr>
        <w:t xml:space="preserve"> 1999 (1) ZLR 374 (S) at 377.</w:t>
      </w:r>
    </w:p>
    <w:p w:rsidR="005546AD" w:rsidRPr="00157E3D" w:rsidRDefault="005546AD" w:rsidP="005546AD">
      <w:pPr>
        <w:autoSpaceDE w:val="0"/>
        <w:autoSpaceDN w:val="0"/>
        <w:adjustRightInd w:val="0"/>
        <w:spacing w:after="0" w:line="480" w:lineRule="auto"/>
        <w:ind w:firstLine="720"/>
        <w:jc w:val="both"/>
        <w:rPr>
          <w:rFonts w:ascii="Times New Roman" w:hAnsi="Times New Roman" w:cs="Times New Roman"/>
          <w:color w:val="000000"/>
          <w:sz w:val="24"/>
          <w:szCs w:val="24"/>
        </w:rPr>
      </w:pPr>
    </w:p>
    <w:p w:rsidR="005546AD" w:rsidRPr="00157E3D" w:rsidRDefault="005546AD" w:rsidP="00662E46">
      <w:pPr>
        <w:spacing w:after="0" w:line="480" w:lineRule="auto"/>
        <w:ind w:firstLine="1134"/>
        <w:jc w:val="both"/>
        <w:rPr>
          <w:rFonts w:ascii="Times New Roman" w:eastAsia="Times New Roman" w:hAnsi="Times New Roman" w:cs="Times New Roman"/>
          <w:sz w:val="24"/>
          <w:szCs w:val="24"/>
          <w:lang w:val="en-US"/>
        </w:rPr>
      </w:pPr>
      <w:r w:rsidRPr="00157E3D">
        <w:rPr>
          <w:rFonts w:ascii="Times New Roman" w:eastAsia="Times New Roman" w:hAnsi="Times New Roman" w:cs="Times New Roman"/>
          <w:sz w:val="24"/>
          <w:szCs w:val="24"/>
          <w:lang w:val="en-US"/>
        </w:rPr>
        <w:t xml:space="preserve">The same principles were expressed by this </w:t>
      </w:r>
      <w:r w:rsidR="00662E46" w:rsidRPr="00157E3D">
        <w:rPr>
          <w:rFonts w:ascii="Times New Roman" w:eastAsia="Times New Roman" w:hAnsi="Times New Roman" w:cs="Times New Roman"/>
          <w:sz w:val="24"/>
          <w:szCs w:val="24"/>
          <w:lang w:val="en-US"/>
        </w:rPr>
        <w:t>C</w:t>
      </w:r>
      <w:r w:rsidRPr="00157E3D">
        <w:rPr>
          <w:rFonts w:ascii="Times New Roman" w:eastAsia="Times New Roman" w:hAnsi="Times New Roman" w:cs="Times New Roman"/>
          <w:sz w:val="24"/>
          <w:szCs w:val="24"/>
          <w:lang w:val="en-US"/>
        </w:rPr>
        <w:t xml:space="preserve">ourt in </w:t>
      </w:r>
      <w:r w:rsidRPr="00157E3D">
        <w:rPr>
          <w:rFonts w:ascii="Times New Roman" w:eastAsia="Times New Roman" w:hAnsi="Times New Roman" w:cs="Times New Roman"/>
          <w:i/>
          <w:sz w:val="24"/>
          <w:szCs w:val="24"/>
          <w:lang w:val="en-US"/>
        </w:rPr>
        <w:t>Ende</w:t>
      </w:r>
      <w:r w:rsidR="005A7BFD">
        <w:rPr>
          <w:rFonts w:ascii="Times New Roman" w:eastAsia="Times New Roman" w:hAnsi="Times New Roman" w:cs="Times New Roman"/>
          <w:i/>
          <w:sz w:val="24"/>
          <w:szCs w:val="24"/>
          <w:lang w:val="en-US"/>
        </w:rPr>
        <w:t>a</w:t>
      </w:r>
      <w:r w:rsidRPr="00157E3D">
        <w:rPr>
          <w:rFonts w:ascii="Times New Roman" w:eastAsia="Times New Roman" w:hAnsi="Times New Roman" w:cs="Times New Roman"/>
          <w:i/>
          <w:sz w:val="24"/>
          <w:szCs w:val="24"/>
          <w:lang w:val="en-US"/>
        </w:rPr>
        <w:t>vour Foundation &amp; Anor</w:t>
      </w:r>
      <w:r w:rsidRPr="00157E3D">
        <w:rPr>
          <w:rFonts w:ascii="Times New Roman" w:eastAsia="Times New Roman" w:hAnsi="Times New Roman" w:cs="Times New Roman"/>
          <w:sz w:val="24"/>
          <w:szCs w:val="24"/>
          <w:lang w:val="en-US"/>
        </w:rPr>
        <w:t xml:space="preserve"> v </w:t>
      </w:r>
      <w:r w:rsidRPr="00157E3D">
        <w:rPr>
          <w:rFonts w:ascii="Times New Roman" w:eastAsia="Times New Roman" w:hAnsi="Times New Roman" w:cs="Times New Roman"/>
          <w:i/>
          <w:sz w:val="24"/>
          <w:szCs w:val="24"/>
          <w:lang w:val="en-US"/>
        </w:rPr>
        <w:t>Commissioner of Taxes</w:t>
      </w:r>
      <w:r w:rsidRPr="00157E3D">
        <w:rPr>
          <w:rFonts w:ascii="Times New Roman" w:eastAsia="Times New Roman" w:hAnsi="Times New Roman" w:cs="Times New Roman"/>
          <w:sz w:val="24"/>
          <w:szCs w:val="24"/>
          <w:lang w:val="en-US"/>
        </w:rPr>
        <w:t xml:space="preserve"> 1995 (1) ZLR 339 (S) at p 356 F-G to 357 A where GUBBAY CJ said:</w:t>
      </w:r>
    </w:p>
    <w:p w:rsidR="005546AD" w:rsidRPr="00157E3D" w:rsidRDefault="005546AD" w:rsidP="005546AD">
      <w:pPr>
        <w:spacing w:after="0" w:line="240" w:lineRule="auto"/>
        <w:ind w:firstLine="720"/>
        <w:jc w:val="both"/>
        <w:rPr>
          <w:rFonts w:ascii="Times New Roman" w:eastAsia="Times New Roman" w:hAnsi="Times New Roman" w:cs="Times New Roman"/>
          <w:sz w:val="24"/>
          <w:szCs w:val="24"/>
          <w:lang w:val="en-US"/>
        </w:rPr>
      </w:pPr>
    </w:p>
    <w:p w:rsidR="00E221D8" w:rsidRPr="00157E3D" w:rsidRDefault="005546AD" w:rsidP="00662E46">
      <w:pPr>
        <w:spacing w:after="0" w:line="240" w:lineRule="auto"/>
        <w:ind w:left="720"/>
        <w:jc w:val="both"/>
        <w:rPr>
          <w:rFonts w:ascii="Times New Roman" w:eastAsia="Times New Roman" w:hAnsi="Times New Roman" w:cs="Times New Roman"/>
          <w:sz w:val="24"/>
          <w:szCs w:val="24"/>
          <w:lang w:val="en-US"/>
        </w:rPr>
      </w:pPr>
      <w:r w:rsidRPr="00157E3D">
        <w:rPr>
          <w:rFonts w:ascii="Times New Roman" w:eastAsia="Times New Roman" w:hAnsi="Times New Roman" w:cs="Times New Roman"/>
          <w:sz w:val="24"/>
          <w:szCs w:val="24"/>
          <w:lang w:val="en-US"/>
        </w:rPr>
        <w:t xml:space="preserve">“The general principle of interpretation is that the ordinary, plain, literal meaning of the word or expression, that is as popularly understood, is to be adopted, unless that meaning is at variance with the intention of the legislature as shown by the context, or such other </w:t>
      </w:r>
      <w:r w:rsidRPr="00157E3D">
        <w:rPr>
          <w:rFonts w:ascii="Times New Roman" w:eastAsia="Times New Roman" w:hAnsi="Times New Roman" w:cs="Times New Roman"/>
          <w:i/>
          <w:sz w:val="24"/>
          <w:szCs w:val="24"/>
          <w:lang w:val="en-US"/>
        </w:rPr>
        <w:t>indicia</w:t>
      </w:r>
      <w:r w:rsidRPr="00157E3D">
        <w:rPr>
          <w:rFonts w:ascii="Times New Roman" w:eastAsia="Times New Roman" w:hAnsi="Times New Roman" w:cs="Times New Roman"/>
          <w:sz w:val="24"/>
          <w:szCs w:val="24"/>
          <w:lang w:val="en-US"/>
        </w:rPr>
        <w:t xml:space="preserve"> as the court is justified in taking into account, or creates an anomaly or otherwise produces an irrational result. See </w:t>
      </w:r>
      <w:r w:rsidRPr="00157E3D">
        <w:rPr>
          <w:rFonts w:ascii="Times New Roman" w:eastAsia="Times New Roman" w:hAnsi="Times New Roman" w:cs="Times New Roman"/>
          <w:i/>
          <w:sz w:val="24"/>
          <w:szCs w:val="24"/>
          <w:lang w:val="en-US"/>
        </w:rPr>
        <w:t>Stellenbosch Farmers</w:t>
      </w:r>
      <w:r w:rsidRPr="00157E3D">
        <w:rPr>
          <w:rFonts w:ascii="Times New Roman" w:eastAsia="Times New Roman" w:hAnsi="Times New Roman" w:cs="Times New Roman"/>
          <w:sz w:val="24"/>
          <w:szCs w:val="24"/>
          <w:lang w:val="en-US"/>
        </w:rPr>
        <w:t xml:space="preserve">’ </w:t>
      </w:r>
      <w:r w:rsidRPr="00157E3D">
        <w:rPr>
          <w:rFonts w:ascii="Times New Roman" w:eastAsia="Times New Roman" w:hAnsi="Times New Roman" w:cs="Times New Roman"/>
          <w:i/>
          <w:sz w:val="24"/>
          <w:szCs w:val="24"/>
          <w:lang w:val="en-US"/>
        </w:rPr>
        <w:t>Winery Ltd</w:t>
      </w:r>
      <w:r w:rsidRPr="00157E3D">
        <w:rPr>
          <w:rFonts w:ascii="Times New Roman" w:eastAsia="Times New Roman" w:hAnsi="Times New Roman" w:cs="Times New Roman"/>
          <w:sz w:val="24"/>
          <w:szCs w:val="24"/>
          <w:lang w:val="en-US"/>
        </w:rPr>
        <w:t xml:space="preserve"> v </w:t>
      </w:r>
      <w:r w:rsidRPr="00157E3D">
        <w:rPr>
          <w:rFonts w:ascii="Times New Roman" w:eastAsia="Times New Roman" w:hAnsi="Times New Roman" w:cs="Times New Roman"/>
          <w:i/>
          <w:sz w:val="24"/>
          <w:szCs w:val="24"/>
          <w:lang w:val="en-US"/>
        </w:rPr>
        <w:t>Distillers</w:t>
      </w:r>
      <w:r w:rsidRPr="00157E3D">
        <w:rPr>
          <w:rFonts w:ascii="Times New Roman" w:eastAsia="Times New Roman" w:hAnsi="Times New Roman" w:cs="Times New Roman"/>
          <w:sz w:val="24"/>
          <w:szCs w:val="24"/>
          <w:lang w:val="en-US"/>
        </w:rPr>
        <w:t xml:space="preserve">’ </w:t>
      </w:r>
      <w:r w:rsidRPr="00157E3D">
        <w:rPr>
          <w:rFonts w:ascii="Times New Roman" w:eastAsia="Times New Roman" w:hAnsi="Times New Roman" w:cs="Times New Roman"/>
          <w:i/>
          <w:sz w:val="24"/>
          <w:szCs w:val="24"/>
          <w:lang w:val="en-US"/>
        </w:rPr>
        <w:t>Corp</w:t>
      </w:r>
      <w:r w:rsidRPr="00157E3D">
        <w:rPr>
          <w:rFonts w:ascii="Times New Roman" w:eastAsia="Times New Roman" w:hAnsi="Times New Roman" w:cs="Times New Roman"/>
          <w:sz w:val="24"/>
          <w:szCs w:val="24"/>
          <w:lang w:val="en-US"/>
        </w:rPr>
        <w:t xml:space="preserve"> (SA) </w:t>
      </w:r>
      <w:r w:rsidRPr="00157E3D">
        <w:rPr>
          <w:rFonts w:ascii="Times New Roman" w:eastAsia="Times New Roman" w:hAnsi="Times New Roman" w:cs="Times New Roman"/>
          <w:i/>
          <w:sz w:val="24"/>
          <w:szCs w:val="24"/>
          <w:lang w:val="en-US"/>
        </w:rPr>
        <w:t>Ltd &amp; Anor</w:t>
      </w:r>
      <w:r w:rsidRPr="00157E3D">
        <w:rPr>
          <w:rFonts w:ascii="Times New Roman" w:eastAsia="Times New Roman" w:hAnsi="Times New Roman" w:cs="Times New Roman"/>
          <w:sz w:val="24"/>
          <w:szCs w:val="24"/>
          <w:lang w:val="en-US"/>
        </w:rPr>
        <w:t xml:space="preserve"> 1962 (1) SA 458 (A) at 476 E-F.”</w:t>
      </w:r>
    </w:p>
    <w:p w:rsidR="00662E46" w:rsidRPr="00157E3D" w:rsidRDefault="00662E46" w:rsidP="0014494C">
      <w:pPr>
        <w:spacing w:after="0" w:line="480" w:lineRule="auto"/>
        <w:jc w:val="both"/>
        <w:rPr>
          <w:rFonts w:ascii="Times New Roman" w:hAnsi="Times New Roman" w:cs="Times New Roman"/>
          <w:sz w:val="24"/>
          <w:szCs w:val="24"/>
        </w:rPr>
      </w:pPr>
    </w:p>
    <w:p w:rsidR="00E221D8" w:rsidRPr="00157E3D" w:rsidRDefault="00E221D8" w:rsidP="002605F3">
      <w:pPr>
        <w:spacing w:after="0"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lastRenderedPageBreak/>
        <w:t xml:space="preserve">The </w:t>
      </w:r>
      <w:r w:rsidR="006E60DA" w:rsidRPr="00157E3D">
        <w:rPr>
          <w:rFonts w:ascii="Times New Roman" w:hAnsi="Times New Roman" w:cs="Times New Roman"/>
          <w:sz w:val="24"/>
          <w:szCs w:val="24"/>
        </w:rPr>
        <w:t>circumstances in which the court may depart from the golden rule of interpretation were</w:t>
      </w:r>
      <w:r w:rsidRPr="00157E3D">
        <w:rPr>
          <w:rFonts w:ascii="Times New Roman" w:hAnsi="Times New Roman" w:cs="Times New Roman"/>
          <w:sz w:val="24"/>
          <w:szCs w:val="24"/>
        </w:rPr>
        <w:t xml:space="preserve"> authoritatively laid down by Innes CJ in </w:t>
      </w:r>
      <w:r w:rsidRPr="00157E3D">
        <w:rPr>
          <w:rFonts w:ascii="Times New Roman" w:hAnsi="Times New Roman" w:cs="Times New Roman"/>
          <w:i/>
          <w:sz w:val="24"/>
          <w:szCs w:val="24"/>
        </w:rPr>
        <w:t>Venter v R</w:t>
      </w:r>
      <w:r w:rsidRPr="00157E3D">
        <w:rPr>
          <w:rFonts w:ascii="Times New Roman" w:hAnsi="Times New Roman" w:cs="Times New Roman"/>
          <w:sz w:val="24"/>
          <w:szCs w:val="24"/>
        </w:rPr>
        <w:t xml:space="preserve"> 1097 TS 910, at 915 in the following terms:</w:t>
      </w:r>
    </w:p>
    <w:p w:rsidR="00E221D8" w:rsidRPr="00157E3D" w:rsidRDefault="00E221D8" w:rsidP="00B369E3">
      <w:pPr>
        <w:spacing w:after="0" w:line="240" w:lineRule="auto"/>
        <w:ind w:left="720"/>
        <w:jc w:val="both"/>
        <w:rPr>
          <w:rFonts w:ascii="Times New Roman" w:hAnsi="Times New Roman" w:cs="Times New Roman"/>
          <w:sz w:val="24"/>
          <w:szCs w:val="24"/>
        </w:rPr>
      </w:pPr>
      <w:r w:rsidRPr="00157E3D">
        <w:rPr>
          <w:rFonts w:ascii="Times New Roman" w:hAnsi="Times New Roman" w:cs="Times New Roman"/>
          <w:sz w:val="24"/>
          <w:szCs w:val="24"/>
        </w:rPr>
        <w:t>“… it appears to me that the principle we should adopt may be expressed somewhat in this way - when to give the plain words of the statute their ordinary meaning would lead to absurdity so glaring that it could never have been contemplated by the Legislature, where it would lead to a result contrary to the intention of the Legislature, as shown by the context or by su</w:t>
      </w:r>
      <w:r w:rsidR="008A5793" w:rsidRPr="00157E3D">
        <w:rPr>
          <w:rFonts w:ascii="Times New Roman" w:hAnsi="Times New Roman" w:cs="Times New Roman"/>
          <w:sz w:val="24"/>
          <w:szCs w:val="24"/>
        </w:rPr>
        <w:t>ch other considerations as the c</w:t>
      </w:r>
      <w:r w:rsidRPr="00157E3D">
        <w:rPr>
          <w:rFonts w:ascii="Times New Roman" w:hAnsi="Times New Roman" w:cs="Times New Roman"/>
          <w:sz w:val="24"/>
          <w:szCs w:val="24"/>
        </w:rPr>
        <w:t>ourt is justifi</w:t>
      </w:r>
      <w:r w:rsidR="008A5793" w:rsidRPr="00157E3D">
        <w:rPr>
          <w:rFonts w:ascii="Times New Roman" w:hAnsi="Times New Roman" w:cs="Times New Roman"/>
          <w:sz w:val="24"/>
          <w:szCs w:val="24"/>
        </w:rPr>
        <w:t>ed in taking into account, the c</w:t>
      </w:r>
      <w:r w:rsidRPr="00157E3D">
        <w:rPr>
          <w:rFonts w:ascii="Times New Roman" w:hAnsi="Times New Roman" w:cs="Times New Roman"/>
          <w:sz w:val="24"/>
          <w:szCs w:val="24"/>
        </w:rPr>
        <w:t>ourt may depart from the ordinary effect of the words to the extent necessary to remove the absurdity and give effect to the true intention of the legislature.”</w:t>
      </w:r>
    </w:p>
    <w:p w:rsidR="00990932" w:rsidRDefault="00990932" w:rsidP="002605F3">
      <w:pPr>
        <w:spacing w:after="0" w:line="480" w:lineRule="auto"/>
        <w:jc w:val="both"/>
        <w:rPr>
          <w:rFonts w:ascii="Times New Roman" w:hAnsi="Times New Roman" w:cs="Times New Roman"/>
          <w:sz w:val="24"/>
          <w:szCs w:val="24"/>
        </w:rPr>
      </w:pPr>
    </w:p>
    <w:p w:rsidR="00273FC9" w:rsidRPr="00157E3D" w:rsidRDefault="00273FC9" w:rsidP="00273FC9">
      <w:pPr>
        <w:spacing w:after="0" w:line="240" w:lineRule="auto"/>
        <w:jc w:val="both"/>
        <w:rPr>
          <w:rFonts w:ascii="Times New Roman" w:hAnsi="Times New Roman" w:cs="Times New Roman"/>
          <w:sz w:val="24"/>
          <w:szCs w:val="24"/>
        </w:rPr>
      </w:pPr>
    </w:p>
    <w:p w:rsidR="00480384" w:rsidRPr="00157E3D" w:rsidRDefault="00E221D8" w:rsidP="00B369E3">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t xml:space="preserve">In the instant case, the meaning of “energy industry” as contained in s 2 of the Act is </w:t>
      </w:r>
      <w:r w:rsidR="00480384" w:rsidRPr="00157E3D">
        <w:rPr>
          <w:rFonts w:ascii="Times New Roman" w:hAnsi="Times New Roman" w:cs="Times New Roman"/>
          <w:sz w:val="24"/>
          <w:szCs w:val="24"/>
        </w:rPr>
        <w:t>axiomatic</w:t>
      </w:r>
      <w:r w:rsidRPr="00157E3D">
        <w:rPr>
          <w:rFonts w:ascii="Times New Roman" w:hAnsi="Times New Roman" w:cs="Times New Roman"/>
          <w:sz w:val="24"/>
          <w:szCs w:val="24"/>
        </w:rPr>
        <w:t>, clear an</w:t>
      </w:r>
      <w:r w:rsidR="00E139D7" w:rsidRPr="00157E3D">
        <w:rPr>
          <w:rFonts w:ascii="Times New Roman" w:hAnsi="Times New Roman" w:cs="Times New Roman"/>
          <w:sz w:val="24"/>
          <w:szCs w:val="24"/>
        </w:rPr>
        <w:t>d</w:t>
      </w:r>
      <w:r w:rsidRPr="00157E3D">
        <w:rPr>
          <w:rFonts w:ascii="Times New Roman" w:hAnsi="Times New Roman" w:cs="Times New Roman"/>
          <w:sz w:val="24"/>
          <w:szCs w:val="24"/>
        </w:rPr>
        <w:t xml:space="preserve"> unambiguous. </w:t>
      </w:r>
      <w:r w:rsidR="00480384" w:rsidRPr="00157E3D">
        <w:rPr>
          <w:rFonts w:ascii="Times New Roman" w:hAnsi="Times New Roman" w:cs="Times New Roman"/>
          <w:sz w:val="24"/>
          <w:szCs w:val="24"/>
        </w:rPr>
        <w:t xml:space="preserve">The energy industry consists of persons who are concerned with the </w:t>
      </w:r>
      <w:r w:rsidR="00491C04">
        <w:rPr>
          <w:rFonts w:ascii="Times New Roman" w:hAnsi="Times New Roman" w:cs="Times New Roman"/>
          <w:sz w:val="24"/>
          <w:szCs w:val="24"/>
        </w:rPr>
        <w:t>‘</w:t>
      </w:r>
      <w:r w:rsidR="00480384" w:rsidRPr="00157E3D">
        <w:rPr>
          <w:rFonts w:ascii="Times New Roman" w:hAnsi="Times New Roman" w:cs="Times New Roman"/>
          <w:sz w:val="24"/>
          <w:szCs w:val="24"/>
        </w:rPr>
        <w:t>generation, procurement, distribution, transportation, and production of energy to consumers</w:t>
      </w:r>
      <w:r w:rsidR="00491C04">
        <w:rPr>
          <w:rFonts w:ascii="Times New Roman" w:hAnsi="Times New Roman" w:cs="Times New Roman"/>
          <w:sz w:val="24"/>
          <w:szCs w:val="24"/>
        </w:rPr>
        <w:t>’</w:t>
      </w:r>
      <w:r w:rsidR="00480384" w:rsidRPr="00157E3D">
        <w:rPr>
          <w:rFonts w:ascii="Times New Roman" w:hAnsi="Times New Roman" w:cs="Times New Roman"/>
          <w:sz w:val="24"/>
          <w:szCs w:val="24"/>
        </w:rPr>
        <w:t>. The ordinary meaning of this definition is that the persons covered by it must be in the business of providing the services listed therein to consumers. Clearly, the list does not include the regulation of the energy industry which is the key role of the first respondent.</w:t>
      </w:r>
      <w:r w:rsidR="00217AB9" w:rsidRPr="00157E3D">
        <w:rPr>
          <w:rFonts w:ascii="Times New Roman" w:hAnsi="Times New Roman" w:cs="Times New Roman"/>
          <w:sz w:val="24"/>
          <w:szCs w:val="24"/>
        </w:rPr>
        <w:t xml:space="preserve"> A reading of s 4 of the Act shows that the first respondent deals with the players in the energy industry</w:t>
      </w:r>
      <w:r w:rsidR="00E139D7" w:rsidRPr="00157E3D">
        <w:rPr>
          <w:rFonts w:ascii="Times New Roman" w:hAnsi="Times New Roman" w:cs="Times New Roman"/>
          <w:sz w:val="24"/>
          <w:szCs w:val="24"/>
        </w:rPr>
        <w:t>. T</w:t>
      </w:r>
      <w:r w:rsidR="00217AB9" w:rsidRPr="00157E3D">
        <w:rPr>
          <w:rFonts w:ascii="Times New Roman" w:hAnsi="Times New Roman" w:cs="Times New Roman"/>
          <w:sz w:val="24"/>
          <w:szCs w:val="24"/>
        </w:rPr>
        <w:t>his</w:t>
      </w:r>
      <w:r w:rsidR="00491C04">
        <w:rPr>
          <w:rFonts w:ascii="Times New Roman" w:hAnsi="Times New Roman" w:cs="Times New Roman"/>
          <w:sz w:val="24"/>
          <w:szCs w:val="24"/>
        </w:rPr>
        <w:t xml:space="preserve"> is in contrast to</w:t>
      </w:r>
      <w:r w:rsidR="00217AB9" w:rsidRPr="00157E3D">
        <w:rPr>
          <w:rFonts w:ascii="Times New Roman" w:hAnsi="Times New Roman" w:cs="Times New Roman"/>
          <w:sz w:val="24"/>
          <w:szCs w:val="24"/>
        </w:rPr>
        <w:t xml:space="preserve"> the definition as the envisaged members deal with and provide services directly to the consumers. </w:t>
      </w:r>
      <w:r w:rsidR="00480384" w:rsidRPr="00157E3D">
        <w:rPr>
          <w:rFonts w:ascii="Times New Roman" w:hAnsi="Times New Roman" w:cs="Times New Roman"/>
          <w:sz w:val="24"/>
          <w:szCs w:val="24"/>
        </w:rPr>
        <w:t xml:space="preserve"> </w:t>
      </w:r>
    </w:p>
    <w:p w:rsidR="00217AB9" w:rsidRPr="00157E3D" w:rsidRDefault="00217AB9" w:rsidP="002605F3">
      <w:pPr>
        <w:spacing w:after="0" w:line="480" w:lineRule="auto"/>
        <w:ind w:firstLine="720"/>
        <w:jc w:val="both"/>
        <w:rPr>
          <w:rFonts w:ascii="Times New Roman" w:hAnsi="Times New Roman" w:cs="Times New Roman"/>
          <w:sz w:val="24"/>
          <w:szCs w:val="24"/>
        </w:rPr>
      </w:pPr>
    </w:p>
    <w:p w:rsidR="00BB2BB7" w:rsidRPr="00157E3D" w:rsidRDefault="00480384" w:rsidP="00B369E3">
      <w:pPr>
        <w:spacing w:line="480" w:lineRule="auto"/>
        <w:ind w:firstLine="1134"/>
        <w:jc w:val="both"/>
        <w:rPr>
          <w:rFonts w:ascii="Times New Roman" w:hAnsi="Times New Roman" w:cs="Times New Roman"/>
          <w:sz w:val="24"/>
          <w:szCs w:val="24"/>
        </w:rPr>
      </w:pPr>
      <w:r w:rsidRPr="00157E3D">
        <w:rPr>
          <w:rFonts w:ascii="Times New Roman" w:hAnsi="Times New Roman" w:cs="Times New Roman"/>
          <w:sz w:val="24"/>
          <w:szCs w:val="24"/>
        </w:rPr>
        <w:t>The next enquiry then is, whether such an interpretation result</w:t>
      </w:r>
      <w:r w:rsidR="00217AB9" w:rsidRPr="00157E3D">
        <w:rPr>
          <w:rFonts w:ascii="Times New Roman" w:hAnsi="Times New Roman" w:cs="Times New Roman"/>
          <w:sz w:val="24"/>
          <w:szCs w:val="24"/>
        </w:rPr>
        <w:t>s</w:t>
      </w:r>
      <w:r w:rsidRPr="00157E3D">
        <w:rPr>
          <w:rFonts w:ascii="Times New Roman" w:hAnsi="Times New Roman" w:cs="Times New Roman"/>
          <w:sz w:val="24"/>
          <w:szCs w:val="24"/>
        </w:rPr>
        <w:t xml:space="preserve"> in absurdity or an inconsistency with the intention of</w:t>
      </w:r>
      <w:r w:rsidR="00E139D7" w:rsidRPr="00157E3D">
        <w:rPr>
          <w:rFonts w:ascii="Times New Roman" w:hAnsi="Times New Roman" w:cs="Times New Roman"/>
          <w:sz w:val="24"/>
          <w:szCs w:val="24"/>
        </w:rPr>
        <w:t xml:space="preserve"> the </w:t>
      </w:r>
      <w:r w:rsidR="007A7012" w:rsidRPr="00157E3D">
        <w:rPr>
          <w:rFonts w:ascii="Times New Roman" w:hAnsi="Times New Roman" w:cs="Times New Roman"/>
          <w:sz w:val="24"/>
          <w:szCs w:val="24"/>
        </w:rPr>
        <w:t>L</w:t>
      </w:r>
      <w:r w:rsidR="00217AB9" w:rsidRPr="00157E3D">
        <w:rPr>
          <w:rFonts w:ascii="Times New Roman" w:hAnsi="Times New Roman" w:cs="Times New Roman"/>
          <w:sz w:val="24"/>
          <w:szCs w:val="24"/>
        </w:rPr>
        <w:t>egislature warranting the</w:t>
      </w:r>
      <w:r w:rsidR="00441A1B" w:rsidRPr="00157E3D">
        <w:rPr>
          <w:rFonts w:ascii="Times New Roman" w:hAnsi="Times New Roman" w:cs="Times New Roman"/>
          <w:sz w:val="24"/>
          <w:szCs w:val="24"/>
        </w:rPr>
        <w:t xml:space="preserve"> </w:t>
      </w:r>
      <w:r w:rsidR="0027070C" w:rsidRPr="00157E3D">
        <w:rPr>
          <w:rFonts w:ascii="Times New Roman" w:hAnsi="Times New Roman" w:cs="Times New Roman"/>
          <w:sz w:val="24"/>
          <w:szCs w:val="24"/>
        </w:rPr>
        <w:t>c</w:t>
      </w:r>
      <w:r w:rsidRPr="00157E3D">
        <w:rPr>
          <w:rFonts w:ascii="Times New Roman" w:hAnsi="Times New Roman" w:cs="Times New Roman"/>
          <w:sz w:val="24"/>
          <w:szCs w:val="24"/>
        </w:rPr>
        <w:t xml:space="preserve">ourt to adopt the purposive approach to </w:t>
      </w:r>
      <w:r w:rsidR="00217AB9" w:rsidRPr="00157E3D">
        <w:rPr>
          <w:rFonts w:ascii="Times New Roman" w:hAnsi="Times New Roman" w:cs="Times New Roman"/>
          <w:sz w:val="24"/>
          <w:szCs w:val="24"/>
        </w:rPr>
        <w:t>interpret</w:t>
      </w:r>
      <w:r w:rsidRPr="00157E3D">
        <w:rPr>
          <w:rFonts w:ascii="Times New Roman" w:hAnsi="Times New Roman" w:cs="Times New Roman"/>
          <w:sz w:val="24"/>
          <w:szCs w:val="24"/>
        </w:rPr>
        <w:t xml:space="preserve"> the statute</w:t>
      </w:r>
      <w:r w:rsidR="00E139D7" w:rsidRPr="00157E3D">
        <w:rPr>
          <w:rFonts w:ascii="Times New Roman" w:hAnsi="Times New Roman" w:cs="Times New Roman"/>
          <w:sz w:val="24"/>
          <w:szCs w:val="24"/>
        </w:rPr>
        <w:t xml:space="preserve"> as suggested by the appellants. </w:t>
      </w:r>
      <w:r w:rsidR="00EF5213" w:rsidRPr="00157E3D">
        <w:rPr>
          <w:rFonts w:ascii="Times New Roman" w:hAnsi="Times New Roman" w:cs="Times New Roman"/>
          <w:sz w:val="24"/>
          <w:szCs w:val="24"/>
        </w:rPr>
        <w:t>This question is answered in the n</w:t>
      </w:r>
      <w:r w:rsidR="00DF7F4C" w:rsidRPr="00157E3D">
        <w:rPr>
          <w:rFonts w:ascii="Times New Roman" w:hAnsi="Times New Roman" w:cs="Times New Roman"/>
          <w:sz w:val="24"/>
          <w:szCs w:val="24"/>
        </w:rPr>
        <w:t>egative</w:t>
      </w:r>
      <w:r w:rsidR="00EF5213" w:rsidRPr="00157E3D">
        <w:rPr>
          <w:rFonts w:ascii="Times New Roman" w:hAnsi="Times New Roman" w:cs="Times New Roman"/>
          <w:sz w:val="24"/>
          <w:szCs w:val="24"/>
        </w:rPr>
        <w:t>.</w:t>
      </w:r>
      <w:r w:rsidR="00C90599" w:rsidRPr="00157E3D">
        <w:rPr>
          <w:rFonts w:ascii="Times New Roman" w:eastAsia="Times New Roman" w:hAnsi="Times New Roman" w:cs="Times New Roman"/>
          <w:sz w:val="24"/>
          <w:szCs w:val="24"/>
          <w:lang w:val="en-AU"/>
        </w:rPr>
        <w:t xml:space="preserve"> What the </w:t>
      </w:r>
      <w:r w:rsidR="00C31FCB">
        <w:rPr>
          <w:rFonts w:ascii="Times New Roman" w:eastAsia="Times New Roman" w:hAnsi="Times New Roman" w:cs="Times New Roman"/>
          <w:sz w:val="24"/>
          <w:szCs w:val="24"/>
          <w:lang w:val="en-AU"/>
        </w:rPr>
        <w:t>l</w:t>
      </w:r>
      <w:r w:rsidR="00C90599" w:rsidRPr="00157E3D">
        <w:rPr>
          <w:rFonts w:ascii="Times New Roman" w:eastAsia="Times New Roman" w:hAnsi="Times New Roman" w:cs="Times New Roman"/>
          <w:sz w:val="24"/>
          <w:szCs w:val="24"/>
          <w:lang w:val="en-AU"/>
        </w:rPr>
        <w:t xml:space="preserve">egislature intended to be done or not to be done can only be legitimately ascertained from that which it has chosen to enact, either in express words or by reasonable </w:t>
      </w:r>
      <w:r w:rsidR="00C90599" w:rsidRPr="00157E3D">
        <w:rPr>
          <w:rFonts w:ascii="Times New Roman" w:eastAsia="Times New Roman" w:hAnsi="Times New Roman" w:cs="Times New Roman"/>
          <w:sz w:val="24"/>
          <w:szCs w:val="24"/>
          <w:lang w:val="en-AU"/>
        </w:rPr>
        <w:lastRenderedPageBreak/>
        <w:t>and necessary implication.</w:t>
      </w:r>
      <w:r w:rsidR="00C90599" w:rsidRPr="00157E3D">
        <w:rPr>
          <w:rFonts w:ascii="Times New Roman" w:hAnsi="Times New Roman" w:cs="Times New Roman"/>
          <w:sz w:val="24"/>
          <w:szCs w:val="24"/>
        </w:rPr>
        <w:t xml:space="preserve"> This was well captured in </w:t>
      </w:r>
      <w:r w:rsidR="00C90599" w:rsidRPr="00157E3D">
        <w:rPr>
          <w:rFonts w:ascii="Times New Roman" w:hAnsi="Times New Roman" w:cs="Times New Roman"/>
          <w:i/>
          <w:sz w:val="24"/>
          <w:szCs w:val="24"/>
        </w:rPr>
        <w:t>Mukwereza v Minister of Home Aff</w:t>
      </w:r>
      <w:r w:rsidR="004B5032" w:rsidRPr="00157E3D">
        <w:rPr>
          <w:rFonts w:ascii="Times New Roman" w:hAnsi="Times New Roman" w:cs="Times New Roman"/>
          <w:i/>
          <w:sz w:val="24"/>
          <w:szCs w:val="24"/>
        </w:rPr>
        <w:t>a</w:t>
      </w:r>
      <w:r w:rsidR="00C90599" w:rsidRPr="00157E3D">
        <w:rPr>
          <w:rFonts w:ascii="Times New Roman" w:hAnsi="Times New Roman" w:cs="Times New Roman"/>
          <w:i/>
          <w:sz w:val="24"/>
          <w:szCs w:val="24"/>
        </w:rPr>
        <w:t>irs &amp; Anor 2004 (1) 445</w:t>
      </w:r>
      <w:r w:rsidR="00BB2BB7" w:rsidRPr="00157E3D">
        <w:rPr>
          <w:rFonts w:ascii="Times New Roman" w:hAnsi="Times New Roman" w:cs="Times New Roman"/>
          <w:i/>
          <w:sz w:val="24"/>
          <w:szCs w:val="24"/>
        </w:rPr>
        <w:t xml:space="preserve"> (S) </w:t>
      </w:r>
      <w:r w:rsidR="00BB2BB7" w:rsidRPr="00157E3D">
        <w:rPr>
          <w:rFonts w:ascii="Times New Roman" w:hAnsi="Times New Roman" w:cs="Times New Roman"/>
          <w:sz w:val="24"/>
          <w:szCs w:val="24"/>
        </w:rPr>
        <w:t>in the following words:</w:t>
      </w:r>
    </w:p>
    <w:p w:rsidR="00BB2BB7" w:rsidRPr="00447A14" w:rsidRDefault="00BB2BB7" w:rsidP="0086278A">
      <w:pPr>
        <w:pStyle w:val="BodyTextIndent"/>
        <w:spacing w:line="240" w:lineRule="auto"/>
        <w:ind w:left="720"/>
        <w:jc w:val="both"/>
      </w:pPr>
      <w:r w:rsidRPr="00447A14">
        <w:t>“</w:t>
      </w:r>
      <w:r w:rsidRPr="00447A14">
        <w:rPr>
          <w:iCs/>
        </w:rPr>
        <w:t>E A Kellaway</w:t>
      </w:r>
      <w:r w:rsidRPr="00447A14">
        <w:t>, the learned author of “</w:t>
      </w:r>
      <w:r w:rsidRPr="00447A14">
        <w:rPr>
          <w:iCs/>
        </w:rPr>
        <w:t>Principles of Legal Interpretation of Statutes, Contracts &amp; Wills</w:t>
      </w:r>
      <w:r w:rsidRPr="00447A14">
        <w:t xml:space="preserve">” looked at a number of British and South African authorities on what is meant by “Legislative </w:t>
      </w:r>
      <w:r w:rsidRPr="00447A14">
        <w:rPr>
          <w:iCs/>
        </w:rPr>
        <w:t>intention</w:t>
      </w:r>
      <w:r w:rsidRPr="00447A14">
        <w:t>” and concluded as follows at pg 175:</w:t>
      </w:r>
    </w:p>
    <w:p w:rsidR="0086278A" w:rsidRPr="00447A14" w:rsidRDefault="0086278A" w:rsidP="0086278A">
      <w:pPr>
        <w:pStyle w:val="BodyTextIndent"/>
        <w:spacing w:line="240" w:lineRule="auto"/>
        <w:ind w:left="720"/>
        <w:jc w:val="both"/>
      </w:pPr>
    </w:p>
    <w:p w:rsidR="00BB2BB7" w:rsidRPr="00447A14" w:rsidRDefault="00BB2BB7" w:rsidP="0086278A">
      <w:pPr>
        <w:pStyle w:val="BodyTextIndent"/>
        <w:spacing w:line="240" w:lineRule="auto"/>
        <w:jc w:val="both"/>
      </w:pPr>
      <w:r w:rsidRPr="00447A14">
        <w:t>“In summary, the purpose of the rules of construction is to discover the intention</w:t>
      </w:r>
      <w:r w:rsidRPr="00447A14">
        <w:rPr>
          <w:iCs/>
        </w:rPr>
        <w:t xml:space="preserve"> </w:t>
      </w:r>
      <w:r w:rsidRPr="00447A14">
        <w:t xml:space="preserve">of the law-giver, and such </w:t>
      </w:r>
      <w:r w:rsidRPr="00447A14">
        <w:rPr>
          <w:iCs/>
        </w:rPr>
        <w:t>intention</w:t>
      </w:r>
      <w:r w:rsidRPr="00447A14">
        <w:t xml:space="preserve"> should be deduced from the actual words used by the legislating body, its general plan and its objects.”  </w:t>
      </w:r>
    </w:p>
    <w:p w:rsidR="0086278A" w:rsidRPr="00447A14" w:rsidRDefault="0086278A" w:rsidP="0086278A">
      <w:pPr>
        <w:pStyle w:val="BodyTextIndent"/>
        <w:spacing w:line="240" w:lineRule="auto"/>
        <w:jc w:val="both"/>
      </w:pPr>
    </w:p>
    <w:p w:rsidR="00BB2BB7" w:rsidRPr="00447A14" w:rsidRDefault="00BB2BB7" w:rsidP="00447A14">
      <w:pPr>
        <w:pStyle w:val="BodyTextIndent"/>
        <w:spacing w:line="240" w:lineRule="auto"/>
        <w:ind w:left="1418"/>
        <w:jc w:val="both"/>
      </w:pPr>
      <w:r w:rsidRPr="00447A14">
        <w:rPr>
          <w:iCs/>
        </w:rPr>
        <w:t>GM Cockram</w:t>
      </w:r>
      <w:r w:rsidRPr="00447A14">
        <w:t xml:space="preserve"> expanded on this theory at pg 45 of h</w:t>
      </w:r>
      <w:r w:rsidR="00491C04" w:rsidRPr="00447A14">
        <w:t>is “Interpretation of Statues” third e</w:t>
      </w:r>
      <w:r w:rsidRPr="00447A14">
        <w:t>dition and stated that such objects must be gathered from ‘a comparison of its (the law’s) several parts, as well as from the history of the law and from the circumstances applicable to its subject matter</w:t>
      </w:r>
      <w:r w:rsidR="008A5793" w:rsidRPr="00447A14">
        <w:t>.</w:t>
      </w:r>
      <w:r w:rsidRPr="00447A14">
        <w:t>”</w:t>
      </w:r>
      <w:r w:rsidR="00491C04" w:rsidRPr="00447A14">
        <w:t>”</w:t>
      </w:r>
      <w:r w:rsidRPr="00447A14">
        <w:t xml:space="preserve"> (</w:t>
      </w:r>
      <w:r w:rsidRPr="00447A14">
        <w:rPr>
          <w:i/>
        </w:rPr>
        <w:t>my emphasis</w:t>
      </w:r>
      <w:r w:rsidRPr="00447A14">
        <w:t>)</w:t>
      </w:r>
    </w:p>
    <w:p w:rsidR="00BB2BB7" w:rsidRDefault="00BB2BB7" w:rsidP="00595AE0">
      <w:pPr>
        <w:spacing w:after="0" w:line="480" w:lineRule="auto"/>
        <w:ind w:firstLine="720"/>
        <w:jc w:val="both"/>
        <w:rPr>
          <w:rFonts w:ascii="Times New Roman" w:hAnsi="Times New Roman" w:cs="Times New Roman"/>
          <w:i/>
        </w:rPr>
      </w:pPr>
    </w:p>
    <w:p w:rsidR="00447A14" w:rsidRPr="00491C04" w:rsidRDefault="00447A14" w:rsidP="00447A14">
      <w:pPr>
        <w:spacing w:after="0" w:line="240" w:lineRule="auto"/>
        <w:ind w:firstLine="720"/>
        <w:jc w:val="both"/>
        <w:rPr>
          <w:rFonts w:ascii="Times New Roman" w:hAnsi="Times New Roman" w:cs="Times New Roman"/>
          <w:i/>
        </w:rPr>
      </w:pPr>
    </w:p>
    <w:p w:rsidR="00491C04" w:rsidRPr="00491C04" w:rsidRDefault="00283583" w:rsidP="00447A1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the same effect but put refreshingly differently, i</w:t>
      </w:r>
      <w:r w:rsidR="00491C04" w:rsidRPr="00491C04">
        <w:rPr>
          <w:rFonts w:ascii="Times New Roman" w:hAnsi="Times New Roman" w:cs="Times New Roman"/>
          <w:sz w:val="24"/>
          <w:szCs w:val="24"/>
        </w:rPr>
        <w:t xml:space="preserve">n the case of </w:t>
      </w:r>
      <w:r w:rsidR="00491C04" w:rsidRPr="00491C04">
        <w:rPr>
          <w:rFonts w:ascii="Times New Roman" w:hAnsi="Times New Roman" w:cs="Times New Roman"/>
          <w:i/>
          <w:sz w:val="24"/>
          <w:szCs w:val="24"/>
        </w:rPr>
        <w:t>Buchanan &amp; Co v Babco Ltd (C.A</w:t>
      </w:r>
      <w:r w:rsidR="00491C04" w:rsidRPr="00491C04">
        <w:rPr>
          <w:rFonts w:ascii="Times New Roman" w:hAnsi="Times New Roman" w:cs="Times New Roman"/>
          <w:sz w:val="24"/>
          <w:szCs w:val="24"/>
        </w:rPr>
        <w:t>.) [1977] QBD 208 at 213 Lord Denning followed the method of interpretation adopted by the European Court of Justice at Luxenburg, thus:</w:t>
      </w:r>
    </w:p>
    <w:p w:rsidR="00491C04" w:rsidRDefault="00491C04" w:rsidP="00447A14">
      <w:pPr>
        <w:spacing w:after="0" w:line="240" w:lineRule="auto"/>
        <w:ind w:left="720"/>
        <w:jc w:val="both"/>
        <w:rPr>
          <w:rFonts w:ascii="Times New Roman" w:hAnsi="Times New Roman" w:cs="Times New Roman"/>
          <w:sz w:val="24"/>
          <w:szCs w:val="24"/>
        </w:rPr>
      </w:pPr>
      <w:r w:rsidRPr="00447A14">
        <w:rPr>
          <w:rFonts w:ascii="Times New Roman" w:hAnsi="Times New Roman" w:cs="Times New Roman"/>
          <w:sz w:val="24"/>
          <w:szCs w:val="24"/>
        </w:rPr>
        <w:t>“They adopt a method which they call in English by strange words – at any rate they were strange to me – the “schematic and teleological” method of interpretation.  It is not really so alarming as it sounds.  All it means is that the judges do not go by the literal meaning of the words or by the grammatical structure of the sentence.  They go by the design or purpose which lies behind it.  When they come upon a situation which is to their minds within the spirit – but not the letter- of the legislation, they solve the problem by looking at the design and purpose of the legislation – at the effect which it was sought to achieve.  They then interpret the legislation so as to achieve the desired effect.  This means that they fill in gaps, quite unashamedly, without hesitation. They ask simply: what is the sensible way of dealing with this situation so as to give effect to the presumed purpose of the legislation? To our eyes –shortsighted by tradition – it is legislation, pure and simple. But to their eyes, it is fulfilling the true role of the courts.  They are giving effect to what the legislature intended, or may be presumed to have intended.”</w:t>
      </w:r>
    </w:p>
    <w:p w:rsidR="00447A14" w:rsidRDefault="00447A14" w:rsidP="00447A14">
      <w:pPr>
        <w:spacing w:after="0" w:line="240" w:lineRule="auto"/>
        <w:ind w:left="720"/>
        <w:jc w:val="both"/>
        <w:rPr>
          <w:rFonts w:ascii="Times New Roman" w:hAnsi="Times New Roman" w:cs="Times New Roman"/>
          <w:sz w:val="24"/>
          <w:szCs w:val="24"/>
        </w:rPr>
      </w:pPr>
    </w:p>
    <w:p w:rsidR="00447A14" w:rsidRPr="00447A14" w:rsidRDefault="00447A14" w:rsidP="00447A14">
      <w:pPr>
        <w:spacing w:after="0" w:line="240" w:lineRule="auto"/>
        <w:ind w:left="720"/>
        <w:jc w:val="both"/>
        <w:rPr>
          <w:rFonts w:ascii="Times New Roman" w:hAnsi="Times New Roman" w:cs="Times New Roman"/>
          <w:sz w:val="24"/>
          <w:szCs w:val="24"/>
        </w:rPr>
      </w:pPr>
    </w:p>
    <w:p w:rsidR="00491C04" w:rsidRPr="00491C04" w:rsidRDefault="00491C04" w:rsidP="00283583">
      <w:pPr>
        <w:spacing w:after="0" w:line="240" w:lineRule="auto"/>
        <w:jc w:val="both"/>
        <w:rPr>
          <w:rFonts w:ascii="Times New Roman" w:hAnsi="Times New Roman" w:cs="Times New Roman"/>
          <w:sz w:val="24"/>
          <w:szCs w:val="24"/>
        </w:rPr>
      </w:pPr>
    </w:p>
    <w:p w:rsidR="009A5983" w:rsidRPr="00157E3D" w:rsidRDefault="00BB2BB7" w:rsidP="00595AE0">
      <w:pPr>
        <w:spacing w:line="480" w:lineRule="auto"/>
        <w:ind w:firstLine="1134"/>
        <w:jc w:val="both"/>
        <w:rPr>
          <w:rFonts w:ascii="Times New Roman" w:hAnsi="Times New Roman" w:cs="Times New Roman"/>
          <w:sz w:val="24"/>
          <w:szCs w:val="24"/>
        </w:rPr>
      </w:pPr>
      <w:r w:rsidRPr="00050C58">
        <w:rPr>
          <w:rFonts w:ascii="Times New Roman" w:hAnsi="Times New Roman" w:cs="Times New Roman"/>
          <w:sz w:val="24"/>
          <w:szCs w:val="24"/>
        </w:rPr>
        <w:t>In</w:t>
      </w:r>
      <w:r w:rsidRPr="00157E3D">
        <w:rPr>
          <w:rFonts w:ascii="Times New Roman" w:hAnsi="Times New Roman" w:cs="Times New Roman"/>
          <w:i/>
          <w:sz w:val="24"/>
          <w:szCs w:val="24"/>
        </w:rPr>
        <w:t xml:space="preserve"> casu</w:t>
      </w:r>
      <w:r w:rsidRPr="00157E3D">
        <w:rPr>
          <w:rFonts w:ascii="Times New Roman" w:hAnsi="Times New Roman" w:cs="Times New Roman"/>
          <w:sz w:val="24"/>
          <w:szCs w:val="24"/>
        </w:rPr>
        <w:t>, i</w:t>
      </w:r>
      <w:r w:rsidR="004B5032" w:rsidRPr="00157E3D">
        <w:rPr>
          <w:rFonts w:ascii="Times New Roman" w:hAnsi="Times New Roman" w:cs="Times New Roman"/>
          <w:sz w:val="24"/>
          <w:szCs w:val="24"/>
        </w:rPr>
        <w:t xml:space="preserve">t is no mistake that the </w:t>
      </w:r>
      <w:r w:rsidR="00C31FCB">
        <w:rPr>
          <w:rFonts w:ascii="Times New Roman" w:hAnsi="Times New Roman" w:cs="Times New Roman"/>
          <w:sz w:val="24"/>
          <w:szCs w:val="24"/>
        </w:rPr>
        <w:t>l</w:t>
      </w:r>
      <w:r w:rsidR="00EF5213" w:rsidRPr="00157E3D">
        <w:rPr>
          <w:rFonts w:ascii="Times New Roman" w:hAnsi="Times New Roman" w:cs="Times New Roman"/>
          <w:sz w:val="24"/>
          <w:szCs w:val="24"/>
        </w:rPr>
        <w:t xml:space="preserve">egislature did not include </w:t>
      </w:r>
      <w:r w:rsidR="002619C9" w:rsidRPr="00157E3D">
        <w:rPr>
          <w:rFonts w:ascii="Times New Roman" w:hAnsi="Times New Roman" w:cs="Times New Roman"/>
          <w:sz w:val="24"/>
          <w:szCs w:val="24"/>
        </w:rPr>
        <w:t>the first respondent</w:t>
      </w:r>
      <w:r w:rsidR="00EF5213" w:rsidRPr="00157E3D">
        <w:rPr>
          <w:rFonts w:ascii="Times New Roman" w:hAnsi="Times New Roman" w:cs="Times New Roman"/>
          <w:sz w:val="24"/>
          <w:szCs w:val="24"/>
        </w:rPr>
        <w:t xml:space="preserve"> in the definition.</w:t>
      </w:r>
      <w:r w:rsidR="00E139D7" w:rsidRPr="00157E3D">
        <w:rPr>
          <w:rFonts w:ascii="Times New Roman" w:hAnsi="Times New Roman" w:cs="Times New Roman"/>
          <w:sz w:val="24"/>
          <w:szCs w:val="24"/>
        </w:rPr>
        <w:t xml:space="preserve"> The </w:t>
      </w:r>
      <w:r w:rsidR="00C31FCB">
        <w:rPr>
          <w:rFonts w:ascii="Times New Roman" w:hAnsi="Times New Roman" w:cs="Times New Roman"/>
          <w:sz w:val="24"/>
          <w:szCs w:val="24"/>
        </w:rPr>
        <w:t>l</w:t>
      </w:r>
      <w:r w:rsidR="00E139D7" w:rsidRPr="00157E3D">
        <w:rPr>
          <w:rFonts w:ascii="Times New Roman" w:hAnsi="Times New Roman" w:cs="Times New Roman"/>
          <w:sz w:val="24"/>
          <w:szCs w:val="24"/>
        </w:rPr>
        <w:t>egislature had a good appreciation of what it intended to include in the definition of the energy industry.</w:t>
      </w:r>
      <w:r w:rsidR="00EF5213" w:rsidRPr="00157E3D">
        <w:rPr>
          <w:rFonts w:ascii="Times New Roman" w:hAnsi="Times New Roman" w:cs="Times New Roman"/>
          <w:sz w:val="24"/>
          <w:szCs w:val="24"/>
        </w:rPr>
        <w:t xml:space="preserve"> This is s</w:t>
      </w:r>
      <w:r w:rsidR="00701DDC" w:rsidRPr="00157E3D">
        <w:rPr>
          <w:rFonts w:ascii="Times New Roman" w:hAnsi="Times New Roman" w:cs="Times New Roman"/>
          <w:sz w:val="24"/>
          <w:szCs w:val="24"/>
        </w:rPr>
        <w:t xml:space="preserve">o if regard is had to the fact that the creation of the first respondent through </w:t>
      </w:r>
      <w:r w:rsidR="008207A0" w:rsidRPr="00157E3D">
        <w:rPr>
          <w:rFonts w:ascii="Times New Roman" w:hAnsi="Times New Roman" w:cs="Times New Roman"/>
          <w:sz w:val="24"/>
          <w:szCs w:val="24"/>
        </w:rPr>
        <w:t>s </w:t>
      </w:r>
      <w:r w:rsidR="00217AB9" w:rsidRPr="00157E3D">
        <w:rPr>
          <w:rFonts w:ascii="Times New Roman" w:hAnsi="Times New Roman" w:cs="Times New Roman"/>
          <w:sz w:val="24"/>
          <w:szCs w:val="24"/>
        </w:rPr>
        <w:t>3 of the Act was not novel</w:t>
      </w:r>
      <w:r w:rsidR="00283583">
        <w:rPr>
          <w:rFonts w:ascii="Times New Roman" w:hAnsi="Times New Roman" w:cs="Times New Roman"/>
          <w:sz w:val="24"/>
          <w:szCs w:val="24"/>
        </w:rPr>
        <w:t>.  R</w:t>
      </w:r>
      <w:r w:rsidR="00701DDC" w:rsidRPr="00157E3D">
        <w:rPr>
          <w:rFonts w:ascii="Times New Roman" w:hAnsi="Times New Roman" w:cs="Times New Roman"/>
          <w:sz w:val="24"/>
          <w:szCs w:val="24"/>
        </w:rPr>
        <w:t>ather</w:t>
      </w:r>
      <w:r w:rsidR="00E139D7" w:rsidRPr="00157E3D">
        <w:rPr>
          <w:rFonts w:ascii="Times New Roman" w:hAnsi="Times New Roman" w:cs="Times New Roman"/>
          <w:sz w:val="24"/>
          <w:szCs w:val="24"/>
        </w:rPr>
        <w:t>,</w:t>
      </w:r>
      <w:r w:rsidR="00701DDC" w:rsidRPr="00157E3D">
        <w:rPr>
          <w:rFonts w:ascii="Times New Roman" w:hAnsi="Times New Roman" w:cs="Times New Roman"/>
          <w:sz w:val="24"/>
          <w:szCs w:val="24"/>
        </w:rPr>
        <w:t xml:space="preserve"> the first respondent is a successor </w:t>
      </w:r>
      <w:r w:rsidR="00701DDC" w:rsidRPr="00157E3D">
        <w:rPr>
          <w:rFonts w:ascii="Times New Roman" w:hAnsi="Times New Roman" w:cs="Times New Roman"/>
          <w:sz w:val="24"/>
          <w:szCs w:val="24"/>
        </w:rPr>
        <w:lastRenderedPageBreak/>
        <w:t>of the Zimbabwe Electricity Regulatory Commission and the Petroleum Regulatory Co</w:t>
      </w:r>
      <w:r w:rsidR="008116E3" w:rsidRPr="00157E3D">
        <w:rPr>
          <w:rFonts w:ascii="Times New Roman" w:hAnsi="Times New Roman" w:cs="Times New Roman"/>
          <w:sz w:val="24"/>
          <w:szCs w:val="24"/>
        </w:rPr>
        <w:t>m</w:t>
      </w:r>
      <w:r w:rsidR="00701DDC" w:rsidRPr="00157E3D">
        <w:rPr>
          <w:rFonts w:ascii="Times New Roman" w:hAnsi="Times New Roman" w:cs="Times New Roman"/>
          <w:sz w:val="24"/>
          <w:szCs w:val="24"/>
        </w:rPr>
        <w:t>mission</w:t>
      </w:r>
      <w:r w:rsidR="008207A0" w:rsidRPr="00157E3D">
        <w:rPr>
          <w:rFonts w:ascii="Times New Roman" w:hAnsi="Times New Roman" w:cs="Times New Roman"/>
          <w:sz w:val="24"/>
          <w:szCs w:val="24"/>
        </w:rPr>
        <w:t>. This is provided for in s </w:t>
      </w:r>
      <w:r w:rsidR="004B5032" w:rsidRPr="00157E3D">
        <w:rPr>
          <w:rFonts w:ascii="Times New Roman" w:hAnsi="Times New Roman" w:cs="Times New Roman"/>
          <w:sz w:val="24"/>
          <w:szCs w:val="24"/>
        </w:rPr>
        <w:t>29(1) of the Act</w:t>
      </w:r>
      <w:r w:rsidR="008116E3" w:rsidRPr="00157E3D">
        <w:rPr>
          <w:rFonts w:ascii="Times New Roman" w:hAnsi="Times New Roman" w:cs="Times New Roman"/>
          <w:sz w:val="24"/>
          <w:szCs w:val="24"/>
        </w:rPr>
        <w:t>.</w:t>
      </w:r>
      <w:r w:rsidR="002619C9" w:rsidRPr="00157E3D">
        <w:rPr>
          <w:rFonts w:ascii="Times New Roman" w:hAnsi="Times New Roman" w:cs="Times New Roman"/>
          <w:sz w:val="24"/>
          <w:szCs w:val="24"/>
        </w:rPr>
        <w:t xml:space="preserve"> It follows that if the </w:t>
      </w:r>
      <w:r w:rsidR="00C31FCB">
        <w:rPr>
          <w:rFonts w:ascii="Times New Roman" w:hAnsi="Times New Roman" w:cs="Times New Roman"/>
          <w:sz w:val="24"/>
          <w:szCs w:val="24"/>
        </w:rPr>
        <w:t>l</w:t>
      </w:r>
      <w:r w:rsidR="008116E3" w:rsidRPr="00157E3D">
        <w:rPr>
          <w:rFonts w:ascii="Times New Roman" w:hAnsi="Times New Roman" w:cs="Times New Roman"/>
          <w:sz w:val="24"/>
          <w:szCs w:val="24"/>
        </w:rPr>
        <w:t>egislature intended the first respondent to be a member of the energy sector then it wou</w:t>
      </w:r>
      <w:r w:rsidR="00217AB9" w:rsidRPr="00157E3D">
        <w:rPr>
          <w:rFonts w:ascii="Times New Roman" w:hAnsi="Times New Roman" w:cs="Times New Roman"/>
          <w:sz w:val="24"/>
          <w:szCs w:val="24"/>
        </w:rPr>
        <w:t>ld have included it in the definition</w:t>
      </w:r>
      <w:r w:rsidR="002619C9" w:rsidRPr="00157E3D">
        <w:rPr>
          <w:rFonts w:ascii="Times New Roman" w:hAnsi="Times New Roman" w:cs="Times New Roman"/>
          <w:sz w:val="24"/>
          <w:szCs w:val="24"/>
        </w:rPr>
        <w:t xml:space="preserve"> of “energy industry.” </w:t>
      </w:r>
      <w:r w:rsidR="008116E3" w:rsidRPr="00157E3D">
        <w:rPr>
          <w:rFonts w:ascii="Times New Roman" w:hAnsi="Times New Roman" w:cs="Times New Roman"/>
          <w:sz w:val="24"/>
          <w:szCs w:val="24"/>
        </w:rPr>
        <w:t xml:space="preserve"> </w:t>
      </w:r>
    </w:p>
    <w:p w:rsidR="009A5983" w:rsidRPr="00157E3D" w:rsidRDefault="009A5983" w:rsidP="009D4A6C">
      <w:pPr>
        <w:spacing w:after="0" w:line="480" w:lineRule="auto"/>
        <w:ind w:firstLine="720"/>
        <w:jc w:val="both"/>
        <w:rPr>
          <w:rFonts w:ascii="Times New Roman" w:hAnsi="Times New Roman" w:cs="Times New Roman"/>
          <w:sz w:val="24"/>
          <w:szCs w:val="24"/>
        </w:rPr>
      </w:pPr>
    </w:p>
    <w:p w:rsidR="00C90599" w:rsidRPr="00157E3D" w:rsidRDefault="009A5983" w:rsidP="0081240A">
      <w:pPr>
        <w:spacing w:line="480" w:lineRule="auto"/>
        <w:ind w:firstLine="1134"/>
        <w:jc w:val="both"/>
        <w:rPr>
          <w:rFonts w:ascii="Times New Roman" w:eastAsia="Times New Roman" w:hAnsi="Times New Roman" w:cs="Times New Roman"/>
          <w:sz w:val="24"/>
          <w:szCs w:val="24"/>
          <w:lang w:val="en-US"/>
        </w:rPr>
      </w:pPr>
      <w:r w:rsidRPr="00157E3D">
        <w:rPr>
          <w:rFonts w:ascii="Times New Roman" w:hAnsi="Times New Roman" w:cs="Times New Roman"/>
          <w:sz w:val="24"/>
          <w:szCs w:val="24"/>
        </w:rPr>
        <w:t xml:space="preserve">On the principle of </w:t>
      </w:r>
      <w:r w:rsidRPr="00157E3D">
        <w:rPr>
          <w:rFonts w:ascii="Times New Roman" w:hAnsi="Times New Roman" w:cs="Times New Roman"/>
          <w:i/>
          <w:sz w:val="24"/>
          <w:szCs w:val="24"/>
          <w:lang w:val="en-US"/>
        </w:rPr>
        <w:t>expressio unius est exclusio alterius</w:t>
      </w:r>
      <w:r w:rsidR="00E139D7" w:rsidRPr="00157E3D">
        <w:rPr>
          <w:rFonts w:ascii="Times New Roman" w:hAnsi="Times New Roman" w:cs="Times New Roman"/>
          <w:i/>
          <w:sz w:val="24"/>
          <w:szCs w:val="24"/>
          <w:lang w:val="en-US"/>
        </w:rPr>
        <w:t>,</w:t>
      </w:r>
      <w:r w:rsidRPr="00157E3D">
        <w:rPr>
          <w:rFonts w:ascii="Times New Roman" w:hAnsi="Times New Roman" w:cs="Times New Roman"/>
          <w:i/>
          <w:sz w:val="24"/>
          <w:szCs w:val="24"/>
          <w:lang w:val="en-US"/>
        </w:rPr>
        <w:t xml:space="preserve"> </w:t>
      </w:r>
      <w:r w:rsidRPr="00157E3D">
        <w:rPr>
          <w:rFonts w:ascii="Times New Roman" w:hAnsi="Times New Roman" w:cs="Times New Roman"/>
          <w:sz w:val="24"/>
          <w:szCs w:val="24"/>
        </w:rPr>
        <w:t>the fact that s 2 of the Act does not mention the persons concerned with regulation of</w:t>
      </w:r>
      <w:r w:rsidR="005546AD" w:rsidRPr="00157E3D">
        <w:rPr>
          <w:rFonts w:ascii="Times New Roman" w:hAnsi="Times New Roman" w:cs="Times New Roman"/>
          <w:sz w:val="24"/>
          <w:szCs w:val="24"/>
        </w:rPr>
        <w:t xml:space="preserve"> the energy sector in the defini</w:t>
      </w:r>
      <w:r w:rsidRPr="00157E3D">
        <w:rPr>
          <w:rFonts w:ascii="Times New Roman" w:hAnsi="Times New Roman" w:cs="Times New Roman"/>
          <w:sz w:val="24"/>
          <w:szCs w:val="24"/>
        </w:rPr>
        <w:t>tion means that the first respondent does not fall within the energy industry.</w:t>
      </w:r>
      <w:r w:rsidR="00C90599" w:rsidRPr="00157E3D">
        <w:rPr>
          <w:rFonts w:ascii="Times New Roman" w:hAnsi="Times New Roman" w:cs="Times New Roman"/>
          <w:sz w:val="24"/>
          <w:szCs w:val="24"/>
          <w:lang w:val="en-US"/>
        </w:rPr>
        <w:t xml:space="preserve"> </w:t>
      </w:r>
      <w:r w:rsidR="00C90599" w:rsidRPr="00157E3D">
        <w:rPr>
          <w:rFonts w:ascii="Times New Roman" w:eastAsia="Times New Roman" w:hAnsi="Times New Roman" w:cs="Times New Roman"/>
          <w:sz w:val="24"/>
          <w:szCs w:val="24"/>
          <w:lang w:val="en-US"/>
        </w:rPr>
        <w:t xml:space="preserve">In </w:t>
      </w:r>
      <w:r w:rsidR="00C90599" w:rsidRPr="00157E3D">
        <w:rPr>
          <w:rFonts w:ascii="Times New Roman" w:eastAsia="Times New Roman" w:hAnsi="Times New Roman" w:cs="Times New Roman"/>
          <w:i/>
          <w:sz w:val="24"/>
          <w:szCs w:val="24"/>
          <w:lang w:val="en-US"/>
        </w:rPr>
        <w:t>Eagle Insurance Co Ltd</w:t>
      </w:r>
      <w:r w:rsidR="00C90599" w:rsidRPr="00157E3D">
        <w:rPr>
          <w:rFonts w:ascii="Times New Roman" w:eastAsia="Times New Roman" w:hAnsi="Times New Roman" w:cs="Times New Roman"/>
          <w:sz w:val="24"/>
          <w:szCs w:val="24"/>
          <w:lang w:val="en-US"/>
        </w:rPr>
        <w:t xml:space="preserve"> v </w:t>
      </w:r>
      <w:r w:rsidR="00C90599" w:rsidRPr="00157E3D">
        <w:rPr>
          <w:rFonts w:ascii="Times New Roman" w:eastAsia="Times New Roman" w:hAnsi="Times New Roman" w:cs="Times New Roman"/>
          <w:i/>
          <w:sz w:val="24"/>
          <w:szCs w:val="24"/>
          <w:lang w:val="en-US"/>
        </w:rPr>
        <w:t>Grant</w:t>
      </w:r>
      <w:r w:rsidR="00C90599" w:rsidRPr="00157E3D">
        <w:rPr>
          <w:rFonts w:ascii="Times New Roman" w:eastAsia="Times New Roman" w:hAnsi="Times New Roman" w:cs="Times New Roman"/>
          <w:sz w:val="24"/>
          <w:szCs w:val="24"/>
          <w:lang w:val="en-US"/>
        </w:rPr>
        <w:t xml:space="preserve"> 1989 (3) ZLR 278 (SC) at 280F, KORSAH JA commenting on the operation of the maxim said:</w:t>
      </w:r>
    </w:p>
    <w:p w:rsidR="00C90599" w:rsidRPr="00157E3D" w:rsidRDefault="00C90599" w:rsidP="000C76A7">
      <w:pPr>
        <w:spacing w:after="0" w:line="240" w:lineRule="auto"/>
        <w:ind w:left="720"/>
        <w:jc w:val="both"/>
        <w:rPr>
          <w:rFonts w:ascii="Times New Roman" w:eastAsia="Times New Roman" w:hAnsi="Times New Roman" w:cs="Times New Roman"/>
          <w:sz w:val="24"/>
          <w:szCs w:val="24"/>
          <w:lang w:val="en-US"/>
        </w:rPr>
      </w:pPr>
      <w:r w:rsidRPr="00157E3D">
        <w:rPr>
          <w:rFonts w:ascii="Times New Roman" w:eastAsia="Times New Roman" w:hAnsi="Times New Roman" w:cs="Times New Roman"/>
          <w:sz w:val="24"/>
          <w:szCs w:val="24"/>
          <w:lang w:val="en-US"/>
        </w:rPr>
        <w:t>“A rule which is variably resorted to in the interpretation of statutes</w:t>
      </w:r>
      <w:r w:rsidR="00BB2BB7" w:rsidRPr="00157E3D">
        <w:rPr>
          <w:rFonts w:ascii="Times New Roman" w:eastAsia="Times New Roman" w:hAnsi="Times New Roman" w:cs="Times New Roman"/>
          <w:sz w:val="24"/>
          <w:szCs w:val="24"/>
          <w:lang w:val="en-US"/>
        </w:rPr>
        <w:t>,</w:t>
      </w:r>
      <w:r w:rsidRPr="00157E3D">
        <w:rPr>
          <w:rFonts w:ascii="Times New Roman" w:eastAsia="Times New Roman" w:hAnsi="Times New Roman" w:cs="Times New Roman"/>
          <w:sz w:val="24"/>
          <w:szCs w:val="24"/>
          <w:lang w:val="en-US"/>
        </w:rPr>
        <w:t xml:space="preserve"> the </w:t>
      </w:r>
      <w:r w:rsidRPr="00157E3D">
        <w:rPr>
          <w:rFonts w:ascii="Times New Roman" w:eastAsia="Times New Roman" w:hAnsi="Times New Roman" w:cs="Times New Roman"/>
          <w:i/>
          <w:sz w:val="24"/>
          <w:szCs w:val="24"/>
          <w:lang w:val="en-US"/>
        </w:rPr>
        <w:t>expressio unius</w:t>
      </w:r>
      <w:r w:rsidRPr="00157E3D">
        <w:rPr>
          <w:rFonts w:ascii="Times New Roman" w:eastAsia="Times New Roman" w:hAnsi="Times New Roman" w:cs="Times New Roman"/>
          <w:sz w:val="24"/>
          <w:szCs w:val="24"/>
          <w:lang w:val="en-US"/>
        </w:rPr>
        <w:t xml:space="preserve"> rule – is that the mention of one or more things of a particular class may be regarded as silently excluding all other members of the class”.</w:t>
      </w:r>
    </w:p>
    <w:p w:rsidR="00DD5CB9" w:rsidRPr="00157E3D" w:rsidRDefault="00DD5CB9" w:rsidP="00DD5CB9">
      <w:pPr>
        <w:spacing w:after="0" w:line="480" w:lineRule="auto"/>
        <w:jc w:val="both"/>
        <w:rPr>
          <w:rFonts w:ascii="Times New Roman" w:eastAsia="Times New Roman" w:hAnsi="Times New Roman" w:cs="Times New Roman"/>
          <w:sz w:val="24"/>
          <w:szCs w:val="24"/>
          <w:lang w:val="en-US"/>
        </w:rPr>
      </w:pPr>
    </w:p>
    <w:p w:rsidR="00C90599" w:rsidRPr="00157E3D" w:rsidRDefault="00C90599" w:rsidP="000C76A7">
      <w:pPr>
        <w:spacing w:after="0" w:line="480" w:lineRule="auto"/>
        <w:ind w:firstLine="1134"/>
        <w:jc w:val="both"/>
        <w:rPr>
          <w:rFonts w:ascii="Times New Roman" w:eastAsia="Times New Roman" w:hAnsi="Times New Roman" w:cs="Times New Roman"/>
          <w:sz w:val="24"/>
          <w:szCs w:val="24"/>
          <w:lang w:val="en-US"/>
        </w:rPr>
      </w:pPr>
      <w:r w:rsidRPr="00157E3D">
        <w:rPr>
          <w:rFonts w:ascii="Times New Roman" w:eastAsia="Times New Roman" w:hAnsi="Times New Roman" w:cs="Times New Roman"/>
          <w:sz w:val="24"/>
          <w:szCs w:val="24"/>
          <w:lang w:val="en-US"/>
        </w:rPr>
        <w:t>Furthermore, in</w:t>
      </w:r>
      <w:r w:rsidRPr="00157E3D">
        <w:rPr>
          <w:rFonts w:ascii="Times New Roman" w:eastAsia="Times New Roman" w:hAnsi="Times New Roman" w:cs="Times New Roman"/>
          <w:i/>
          <w:sz w:val="24"/>
          <w:szCs w:val="24"/>
          <w:lang w:val="en-US"/>
        </w:rPr>
        <w:t xml:space="preserve"> Nkomo &amp; Anor</w:t>
      </w:r>
      <w:r w:rsidRPr="00157E3D">
        <w:rPr>
          <w:rFonts w:ascii="Times New Roman" w:eastAsia="Times New Roman" w:hAnsi="Times New Roman" w:cs="Times New Roman"/>
          <w:sz w:val="24"/>
          <w:szCs w:val="24"/>
          <w:lang w:val="en-US"/>
        </w:rPr>
        <w:t xml:space="preserve"> v </w:t>
      </w:r>
      <w:r w:rsidRPr="00157E3D">
        <w:rPr>
          <w:rFonts w:ascii="Times New Roman" w:eastAsia="Times New Roman" w:hAnsi="Times New Roman" w:cs="Times New Roman"/>
          <w:i/>
          <w:sz w:val="24"/>
          <w:szCs w:val="24"/>
          <w:lang w:val="en-US"/>
        </w:rPr>
        <w:t>Attorney-General &amp; Ors</w:t>
      </w:r>
      <w:r w:rsidRPr="00157E3D">
        <w:rPr>
          <w:rFonts w:ascii="Times New Roman" w:eastAsia="Times New Roman" w:hAnsi="Times New Roman" w:cs="Times New Roman"/>
          <w:sz w:val="24"/>
          <w:szCs w:val="24"/>
          <w:lang w:val="en-US"/>
        </w:rPr>
        <w:t xml:space="preserve"> 1993 (2) ZLR 422 (SC) at 434D-E GUBBAY CJ stated:</w:t>
      </w:r>
    </w:p>
    <w:p w:rsidR="00C90599" w:rsidRPr="00157E3D" w:rsidRDefault="00C90599" w:rsidP="00DA288F">
      <w:pPr>
        <w:spacing w:after="0" w:line="240" w:lineRule="auto"/>
        <w:ind w:left="720"/>
        <w:jc w:val="both"/>
        <w:rPr>
          <w:rFonts w:ascii="Times New Roman" w:eastAsia="Times New Roman" w:hAnsi="Times New Roman" w:cs="Times New Roman"/>
          <w:sz w:val="24"/>
          <w:szCs w:val="24"/>
          <w:lang w:val="en-US"/>
        </w:rPr>
      </w:pPr>
      <w:r w:rsidRPr="00157E3D">
        <w:rPr>
          <w:rFonts w:ascii="Times New Roman" w:eastAsia="Times New Roman" w:hAnsi="Times New Roman" w:cs="Times New Roman"/>
          <w:sz w:val="24"/>
          <w:szCs w:val="24"/>
          <w:lang w:val="en-US"/>
        </w:rPr>
        <w:t>“To ascribe a sensible meaning to subs (5) and to avoid superfluity necessitates the legitimate recourse of construing the general words “any sentence” in subs (6) as excluding the specific reference to “a sentence of death” in subs (5). This is no more than an application of the rule embodied in the maxim “</w:t>
      </w:r>
      <w:r w:rsidRPr="00157E3D">
        <w:rPr>
          <w:rFonts w:ascii="Times New Roman" w:eastAsia="Times New Roman" w:hAnsi="Times New Roman" w:cs="Times New Roman"/>
          <w:i/>
          <w:sz w:val="24"/>
          <w:szCs w:val="24"/>
          <w:lang w:val="en-US"/>
        </w:rPr>
        <w:t xml:space="preserve">expressio unius </w:t>
      </w:r>
      <w:r w:rsidR="008A1B47" w:rsidRPr="00157E3D">
        <w:rPr>
          <w:rFonts w:ascii="Times New Roman" w:eastAsia="Times New Roman" w:hAnsi="Times New Roman" w:cs="Times New Roman"/>
          <w:i/>
          <w:sz w:val="24"/>
          <w:szCs w:val="24"/>
          <w:lang w:val="en-US"/>
        </w:rPr>
        <w:t xml:space="preserve">est </w:t>
      </w:r>
      <w:r w:rsidRPr="00157E3D">
        <w:rPr>
          <w:rFonts w:ascii="Times New Roman" w:eastAsia="Times New Roman" w:hAnsi="Times New Roman" w:cs="Times New Roman"/>
          <w:i/>
          <w:sz w:val="24"/>
          <w:szCs w:val="24"/>
          <w:lang w:val="en-US"/>
        </w:rPr>
        <w:t>exclusio alterius</w:t>
      </w:r>
      <w:r w:rsidRPr="00157E3D">
        <w:rPr>
          <w:rFonts w:ascii="Times New Roman" w:eastAsia="Times New Roman" w:hAnsi="Times New Roman" w:cs="Times New Roman"/>
          <w:sz w:val="24"/>
          <w:szCs w:val="24"/>
          <w:lang w:val="en-US"/>
        </w:rPr>
        <w:t xml:space="preserve">”. It draws attention to the fairly obvious linguistic point that in many contexts the mention of some matters warrants an inference that other cognate matters were intentionally excluded. See Maxwell on </w:t>
      </w:r>
      <w:r w:rsidRPr="00283583">
        <w:rPr>
          <w:rFonts w:ascii="Times New Roman" w:eastAsia="Times New Roman" w:hAnsi="Times New Roman" w:cs="Times New Roman"/>
          <w:i/>
          <w:sz w:val="24"/>
          <w:szCs w:val="24"/>
          <w:lang w:val="en-US"/>
        </w:rPr>
        <w:t>The Interpretation of Statutes</w:t>
      </w:r>
      <w:r w:rsidRPr="00157E3D">
        <w:rPr>
          <w:rFonts w:ascii="Times New Roman" w:eastAsia="Times New Roman" w:hAnsi="Times New Roman" w:cs="Times New Roman"/>
          <w:sz w:val="24"/>
          <w:szCs w:val="24"/>
          <w:lang w:val="en-US"/>
        </w:rPr>
        <w:t xml:space="preserve"> 12 ed at p 293.” </w:t>
      </w:r>
    </w:p>
    <w:p w:rsidR="00C31FCB" w:rsidRDefault="00C31FCB" w:rsidP="002B14CC">
      <w:pPr>
        <w:spacing w:after="0" w:line="480" w:lineRule="auto"/>
        <w:jc w:val="both"/>
        <w:rPr>
          <w:rFonts w:ascii="Times New Roman" w:eastAsia="Times New Roman" w:hAnsi="Times New Roman" w:cs="Times New Roman"/>
          <w:sz w:val="24"/>
          <w:szCs w:val="24"/>
          <w:lang w:val="en-US"/>
        </w:rPr>
      </w:pPr>
    </w:p>
    <w:p w:rsidR="00452E20" w:rsidRPr="00157E3D" w:rsidRDefault="00452E20" w:rsidP="00452E20">
      <w:pPr>
        <w:spacing w:after="0" w:line="240" w:lineRule="auto"/>
        <w:jc w:val="both"/>
        <w:rPr>
          <w:rFonts w:ascii="Times New Roman" w:eastAsia="Times New Roman" w:hAnsi="Times New Roman" w:cs="Times New Roman"/>
          <w:sz w:val="24"/>
          <w:szCs w:val="24"/>
          <w:lang w:val="en-US"/>
        </w:rPr>
      </w:pPr>
    </w:p>
    <w:p w:rsidR="00E76435" w:rsidRPr="00157E3D" w:rsidRDefault="00C90599" w:rsidP="002B14CC">
      <w:pPr>
        <w:spacing w:line="480" w:lineRule="auto"/>
        <w:ind w:firstLine="1134"/>
        <w:jc w:val="both"/>
        <w:rPr>
          <w:rFonts w:ascii="Times New Roman" w:hAnsi="Times New Roman" w:cs="Times New Roman"/>
          <w:sz w:val="24"/>
          <w:szCs w:val="24"/>
          <w:lang w:val="en-US"/>
        </w:rPr>
      </w:pPr>
      <w:r w:rsidRPr="00157E3D">
        <w:rPr>
          <w:rFonts w:ascii="Times New Roman" w:hAnsi="Times New Roman" w:cs="Times New Roman"/>
          <w:sz w:val="24"/>
          <w:szCs w:val="24"/>
          <w:lang w:val="en-US"/>
        </w:rPr>
        <w:t>In light of the above, t</w:t>
      </w:r>
      <w:r w:rsidR="004B5032" w:rsidRPr="00157E3D">
        <w:rPr>
          <w:rFonts w:ascii="Times New Roman" w:hAnsi="Times New Roman" w:cs="Times New Roman"/>
          <w:sz w:val="24"/>
          <w:szCs w:val="24"/>
          <w:lang w:val="en-US"/>
        </w:rPr>
        <w:t xml:space="preserve">he </w:t>
      </w:r>
      <w:r w:rsidR="00637C52" w:rsidRPr="00157E3D">
        <w:rPr>
          <w:rFonts w:ascii="Times New Roman" w:hAnsi="Times New Roman" w:cs="Times New Roman"/>
          <w:sz w:val="24"/>
          <w:szCs w:val="24"/>
          <w:lang w:val="en-US"/>
        </w:rPr>
        <w:t>c</w:t>
      </w:r>
      <w:r w:rsidR="009A5983" w:rsidRPr="00157E3D">
        <w:rPr>
          <w:rFonts w:ascii="Times New Roman" w:hAnsi="Times New Roman" w:cs="Times New Roman"/>
          <w:sz w:val="24"/>
          <w:szCs w:val="24"/>
          <w:lang w:val="en-US"/>
        </w:rPr>
        <w:t>ourt is of the view that had th</w:t>
      </w:r>
      <w:r w:rsidR="002619C9" w:rsidRPr="00157E3D">
        <w:rPr>
          <w:rFonts w:ascii="Times New Roman" w:hAnsi="Times New Roman" w:cs="Times New Roman"/>
          <w:sz w:val="24"/>
          <w:szCs w:val="24"/>
          <w:lang w:val="en-US"/>
        </w:rPr>
        <w:t>e L</w:t>
      </w:r>
      <w:r w:rsidR="009A5983" w:rsidRPr="00157E3D">
        <w:rPr>
          <w:rFonts w:ascii="Times New Roman" w:hAnsi="Times New Roman" w:cs="Times New Roman"/>
          <w:sz w:val="24"/>
          <w:szCs w:val="24"/>
          <w:lang w:val="en-US"/>
        </w:rPr>
        <w:t>egislature intended that the</w:t>
      </w:r>
      <w:r w:rsidR="005546AD" w:rsidRPr="00157E3D">
        <w:rPr>
          <w:rFonts w:ascii="Times New Roman" w:hAnsi="Times New Roman" w:cs="Times New Roman"/>
          <w:sz w:val="24"/>
          <w:szCs w:val="24"/>
          <w:lang w:val="en-US"/>
        </w:rPr>
        <w:t xml:space="preserve"> first respondent be a player in the energy industry</w:t>
      </w:r>
      <w:r w:rsidR="00E139D7" w:rsidRPr="00157E3D">
        <w:rPr>
          <w:rFonts w:ascii="Times New Roman" w:hAnsi="Times New Roman" w:cs="Times New Roman"/>
          <w:sz w:val="24"/>
          <w:szCs w:val="24"/>
          <w:lang w:val="en-US"/>
        </w:rPr>
        <w:t>,</w:t>
      </w:r>
      <w:r w:rsidR="005546AD" w:rsidRPr="00157E3D">
        <w:rPr>
          <w:rFonts w:ascii="Times New Roman" w:hAnsi="Times New Roman" w:cs="Times New Roman"/>
          <w:sz w:val="24"/>
          <w:szCs w:val="24"/>
          <w:lang w:val="en-US"/>
        </w:rPr>
        <w:t xml:space="preserve"> </w:t>
      </w:r>
      <w:r w:rsidR="009A5983" w:rsidRPr="00157E3D">
        <w:rPr>
          <w:rFonts w:ascii="Times New Roman" w:hAnsi="Times New Roman" w:cs="Times New Roman"/>
          <w:sz w:val="24"/>
          <w:szCs w:val="24"/>
          <w:lang w:val="en-US"/>
        </w:rPr>
        <w:t>it would have expressly prov</w:t>
      </w:r>
      <w:r w:rsidR="004B5032" w:rsidRPr="00157E3D">
        <w:rPr>
          <w:rFonts w:ascii="Times New Roman" w:hAnsi="Times New Roman" w:cs="Times New Roman"/>
          <w:sz w:val="24"/>
          <w:szCs w:val="24"/>
          <w:lang w:val="en-US"/>
        </w:rPr>
        <w:t xml:space="preserve">ided for it. The fact that the </w:t>
      </w:r>
      <w:r w:rsidR="00C31FCB">
        <w:rPr>
          <w:rFonts w:ascii="Times New Roman" w:hAnsi="Times New Roman" w:cs="Times New Roman"/>
          <w:sz w:val="24"/>
          <w:szCs w:val="24"/>
          <w:lang w:val="en-US"/>
        </w:rPr>
        <w:t>l</w:t>
      </w:r>
      <w:r w:rsidR="009A5983" w:rsidRPr="00157E3D">
        <w:rPr>
          <w:rFonts w:ascii="Times New Roman" w:hAnsi="Times New Roman" w:cs="Times New Roman"/>
          <w:sz w:val="24"/>
          <w:szCs w:val="24"/>
          <w:lang w:val="en-US"/>
        </w:rPr>
        <w:t xml:space="preserve">egislature omitted the </w:t>
      </w:r>
      <w:r w:rsidR="00BB2BB7" w:rsidRPr="00157E3D">
        <w:rPr>
          <w:rFonts w:ascii="Times New Roman" w:hAnsi="Times New Roman" w:cs="Times New Roman"/>
          <w:sz w:val="24"/>
          <w:szCs w:val="24"/>
          <w:lang w:val="en-US"/>
        </w:rPr>
        <w:t>first respondent from the definition</w:t>
      </w:r>
      <w:r w:rsidR="009A5983" w:rsidRPr="00157E3D">
        <w:rPr>
          <w:rFonts w:ascii="Times New Roman" w:hAnsi="Times New Roman" w:cs="Times New Roman"/>
          <w:sz w:val="24"/>
          <w:szCs w:val="24"/>
          <w:lang w:val="en-US"/>
        </w:rPr>
        <w:t xml:space="preserve"> means that </w:t>
      </w:r>
      <w:r w:rsidR="00A70349" w:rsidRPr="00157E3D">
        <w:rPr>
          <w:rFonts w:ascii="Times New Roman" w:hAnsi="Times New Roman" w:cs="Times New Roman"/>
          <w:sz w:val="24"/>
          <w:szCs w:val="24"/>
          <w:lang w:val="en-US"/>
        </w:rPr>
        <w:t>it does not</w:t>
      </w:r>
      <w:r w:rsidR="00846CAD" w:rsidRPr="00157E3D">
        <w:rPr>
          <w:rFonts w:ascii="Times New Roman" w:hAnsi="Times New Roman" w:cs="Times New Roman"/>
          <w:sz w:val="24"/>
          <w:szCs w:val="24"/>
          <w:lang w:val="en-US"/>
        </w:rPr>
        <w:t xml:space="preserve"> fall within the energy industry. </w:t>
      </w:r>
      <w:r w:rsidR="009362B7" w:rsidRPr="00157E3D">
        <w:rPr>
          <w:rFonts w:ascii="Times New Roman" w:hAnsi="Times New Roman" w:cs="Times New Roman"/>
          <w:sz w:val="24"/>
          <w:szCs w:val="24"/>
          <w:lang w:val="en-US"/>
        </w:rPr>
        <w:t xml:space="preserve">The </w:t>
      </w:r>
      <w:r w:rsidR="00C31FCB">
        <w:rPr>
          <w:rFonts w:ascii="Times New Roman" w:hAnsi="Times New Roman" w:cs="Times New Roman"/>
          <w:sz w:val="24"/>
          <w:szCs w:val="24"/>
          <w:lang w:val="en-US"/>
        </w:rPr>
        <w:t>l</w:t>
      </w:r>
      <w:r w:rsidR="009362B7" w:rsidRPr="00157E3D">
        <w:rPr>
          <w:rFonts w:ascii="Times New Roman" w:hAnsi="Times New Roman" w:cs="Times New Roman"/>
          <w:sz w:val="24"/>
          <w:szCs w:val="24"/>
          <w:lang w:val="en-US"/>
        </w:rPr>
        <w:t xml:space="preserve">egislature did not include the word “regulation” in the definition and such a gap cannot be filled by the court under the guise of interpreting s 2 </w:t>
      </w:r>
      <w:r w:rsidR="009362B7" w:rsidRPr="00157E3D">
        <w:rPr>
          <w:rFonts w:ascii="Times New Roman" w:hAnsi="Times New Roman" w:cs="Times New Roman"/>
          <w:sz w:val="24"/>
          <w:szCs w:val="24"/>
          <w:lang w:val="en-US"/>
        </w:rPr>
        <w:lastRenderedPageBreak/>
        <w:t xml:space="preserve">purposively as suggested by the appellants. </w:t>
      </w:r>
      <w:r w:rsidR="00E76435" w:rsidRPr="00157E3D">
        <w:rPr>
          <w:rFonts w:ascii="Times New Roman" w:hAnsi="Times New Roman" w:cs="Times New Roman"/>
          <w:sz w:val="24"/>
          <w:szCs w:val="24"/>
          <w:lang w:val="en-US"/>
        </w:rPr>
        <w:t>In</w:t>
      </w:r>
      <w:r w:rsidR="00A70349" w:rsidRPr="00157E3D">
        <w:rPr>
          <w:rFonts w:ascii="Times New Roman" w:hAnsi="Times New Roman" w:cs="Times New Roman"/>
          <w:sz w:val="24"/>
          <w:szCs w:val="24"/>
          <w:lang w:val="en-US"/>
        </w:rPr>
        <w:t xml:space="preserve"> this regard, this Court in</w:t>
      </w:r>
      <w:r w:rsidR="00E76435" w:rsidRPr="00157E3D">
        <w:rPr>
          <w:rFonts w:ascii="Times New Roman" w:hAnsi="Times New Roman" w:cs="Times New Roman"/>
          <w:sz w:val="24"/>
          <w:szCs w:val="24"/>
          <w:lang w:val="en-US"/>
        </w:rPr>
        <w:t xml:space="preserve"> </w:t>
      </w:r>
      <w:r w:rsidR="00E76435" w:rsidRPr="00157E3D">
        <w:rPr>
          <w:rFonts w:ascii="Times New Roman" w:hAnsi="Times New Roman" w:cs="Times New Roman"/>
          <w:i/>
          <w:sz w:val="24"/>
          <w:szCs w:val="24"/>
          <w:lang w:val="en-US"/>
        </w:rPr>
        <w:t xml:space="preserve">Car Rental Services (Pvt) Ltd v Director of Customs &amp; Exercise </w:t>
      </w:r>
      <w:r w:rsidR="00E76435" w:rsidRPr="00157E3D">
        <w:rPr>
          <w:rFonts w:ascii="Times New Roman" w:hAnsi="Times New Roman" w:cs="Times New Roman"/>
          <w:sz w:val="24"/>
          <w:szCs w:val="24"/>
          <w:lang w:val="en-US"/>
        </w:rPr>
        <w:t xml:space="preserve">1988 (1) ZLR </w:t>
      </w:r>
      <w:r w:rsidR="00A70349" w:rsidRPr="00157E3D">
        <w:rPr>
          <w:rFonts w:ascii="Times New Roman" w:hAnsi="Times New Roman" w:cs="Times New Roman"/>
          <w:sz w:val="24"/>
          <w:szCs w:val="24"/>
          <w:lang w:val="en-US"/>
        </w:rPr>
        <w:t>402 (SC) at 409 had the occasion to comment on this aspect in the following manner</w:t>
      </w:r>
      <w:r w:rsidR="00E76435" w:rsidRPr="00157E3D">
        <w:rPr>
          <w:rFonts w:ascii="Times New Roman" w:hAnsi="Times New Roman" w:cs="Times New Roman"/>
          <w:sz w:val="24"/>
          <w:szCs w:val="24"/>
          <w:lang w:val="en-US"/>
        </w:rPr>
        <w:t>:</w:t>
      </w:r>
    </w:p>
    <w:p w:rsidR="00E221D8" w:rsidRPr="00157E3D" w:rsidRDefault="000F250F" w:rsidP="00637C52">
      <w:pPr>
        <w:spacing w:after="0" w:line="240" w:lineRule="auto"/>
        <w:ind w:left="720"/>
        <w:jc w:val="both"/>
        <w:rPr>
          <w:rFonts w:ascii="Times New Roman" w:hAnsi="Times New Roman" w:cs="Times New Roman"/>
          <w:sz w:val="24"/>
          <w:szCs w:val="24"/>
          <w:lang w:val="en-US"/>
        </w:rPr>
      </w:pPr>
      <w:r w:rsidRPr="00157E3D">
        <w:rPr>
          <w:rFonts w:ascii="Times New Roman" w:hAnsi="Times New Roman" w:cs="Times New Roman"/>
          <w:sz w:val="24"/>
          <w:szCs w:val="24"/>
          <w:lang w:val="en-US"/>
        </w:rPr>
        <w:t>“It is not for the c</w:t>
      </w:r>
      <w:r w:rsidR="00E76435" w:rsidRPr="00157E3D">
        <w:rPr>
          <w:rFonts w:ascii="Times New Roman" w:hAnsi="Times New Roman" w:cs="Times New Roman"/>
          <w:sz w:val="24"/>
          <w:szCs w:val="24"/>
          <w:lang w:val="en-US"/>
        </w:rPr>
        <w:t xml:space="preserve">ourts to legislate or attempt to improve on the situation achieved by Parliament through the language it has chosen in its enactment. Effect must be given to what the Act says or permits and not to what it may be thought it ought to have said or prohibited. If there is a </w:t>
      </w:r>
      <w:r w:rsidR="00E76435" w:rsidRPr="00157E3D">
        <w:rPr>
          <w:rFonts w:ascii="Times New Roman" w:hAnsi="Times New Roman" w:cs="Times New Roman"/>
          <w:i/>
          <w:sz w:val="24"/>
          <w:szCs w:val="24"/>
          <w:lang w:val="en-US"/>
        </w:rPr>
        <w:t>casus omissus</w:t>
      </w:r>
      <w:r w:rsidR="00E76435" w:rsidRPr="00157E3D">
        <w:rPr>
          <w:rFonts w:ascii="Times New Roman" w:hAnsi="Times New Roman" w:cs="Times New Roman"/>
          <w:sz w:val="24"/>
          <w:szCs w:val="24"/>
          <w:lang w:val="en-US"/>
        </w:rPr>
        <w:t xml:space="preserve"> in the Act, and if it could lead to</w:t>
      </w:r>
      <w:r w:rsidRPr="00157E3D">
        <w:rPr>
          <w:rFonts w:ascii="Times New Roman" w:hAnsi="Times New Roman" w:cs="Times New Roman"/>
          <w:sz w:val="24"/>
          <w:szCs w:val="24"/>
          <w:lang w:val="en-US"/>
        </w:rPr>
        <w:t xml:space="preserve"> undesirable consequences, the c</w:t>
      </w:r>
      <w:r w:rsidR="00E76435" w:rsidRPr="00157E3D">
        <w:rPr>
          <w:rFonts w:ascii="Times New Roman" w:hAnsi="Times New Roman" w:cs="Times New Roman"/>
          <w:sz w:val="24"/>
          <w:szCs w:val="24"/>
          <w:lang w:val="en-US"/>
        </w:rPr>
        <w:t xml:space="preserve">ourt has no power to fill it. It is a matter for the Legislature.” </w:t>
      </w:r>
      <w:r w:rsidR="00BB2BB7" w:rsidRPr="00157E3D">
        <w:rPr>
          <w:rFonts w:ascii="Times New Roman" w:hAnsi="Times New Roman" w:cs="Times New Roman"/>
          <w:sz w:val="24"/>
          <w:szCs w:val="24"/>
          <w:lang w:val="en-US"/>
        </w:rPr>
        <w:t xml:space="preserve"> </w:t>
      </w:r>
    </w:p>
    <w:p w:rsidR="00391282" w:rsidRDefault="00391282" w:rsidP="00637C52">
      <w:pPr>
        <w:spacing w:after="0" w:line="480" w:lineRule="auto"/>
        <w:ind w:firstLine="720"/>
        <w:jc w:val="both"/>
        <w:rPr>
          <w:rFonts w:ascii="Times New Roman" w:hAnsi="Times New Roman" w:cs="Times New Roman"/>
          <w:sz w:val="24"/>
          <w:szCs w:val="24"/>
          <w:lang w:val="en-US"/>
        </w:rPr>
      </w:pPr>
    </w:p>
    <w:p w:rsidR="00452E20" w:rsidRPr="00157E3D" w:rsidRDefault="00452E20" w:rsidP="00452E20">
      <w:pPr>
        <w:spacing w:after="0" w:line="240" w:lineRule="auto"/>
        <w:ind w:firstLine="720"/>
        <w:jc w:val="both"/>
        <w:rPr>
          <w:rFonts w:ascii="Times New Roman" w:hAnsi="Times New Roman" w:cs="Times New Roman"/>
          <w:sz w:val="24"/>
          <w:szCs w:val="24"/>
          <w:lang w:val="en-US"/>
        </w:rPr>
      </w:pPr>
    </w:p>
    <w:p w:rsidR="00AA78CE" w:rsidRPr="00157E3D" w:rsidRDefault="00AA78CE" w:rsidP="00637C52">
      <w:pPr>
        <w:spacing w:line="480" w:lineRule="auto"/>
        <w:ind w:firstLine="1134"/>
        <w:jc w:val="both"/>
        <w:rPr>
          <w:rFonts w:ascii="Times New Roman" w:hAnsi="Times New Roman" w:cs="Times New Roman"/>
          <w:sz w:val="24"/>
          <w:szCs w:val="24"/>
          <w:lang w:val="en-US"/>
        </w:rPr>
      </w:pPr>
      <w:r w:rsidRPr="00157E3D">
        <w:rPr>
          <w:rFonts w:ascii="Times New Roman" w:hAnsi="Times New Roman" w:cs="Times New Roman"/>
          <w:sz w:val="24"/>
          <w:szCs w:val="24"/>
          <w:lang w:val="en-US"/>
        </w:rPr>
        <w:t xml:space="preserve">The above quoted words are particularly apposite in the instant case because the literal meaning of the provision in question leads to no absurdity and it is not inconsistent with the intention of the </w:t>
      </w:r>
      <w:r w:rsidR="00C31FCB">
        <w:rPr>
          <w:rFonts w:ascii="Times New Roman" w:hAnsi="Times New Roman" w:cs="Times New Roman"/>
          <w:sz w:val="24"/>
          <w:szCs w:val="24"/>
          <w:lang w:val="en-US"/>
        </w:rPr>
        <w:t>l</w:t>
      </w:r>
      <w:r w:rsidRPr="00157E3D">
        <w:rPr>
          <w:rFonts w:ascii="Times New Roman" w:hAnsi="Times New Roman" w:cs="Times New Roman"/>
          <w:sz w:val="24"/>
          <w:szCs w:val="24"/>
          <w:lang w:val="en-US"/>
        </w:rPr>
        <w:t xml:space="preserve">egislature. The definition </w:t>
      </w:r>
      <w:r w:rsidR="00391282" w:rsidRPr="00157E3D">
        <w:rPr>
          <w:rFonts w:ascii="Times New Roman" w:hAnsi="Times New Roman" w:cs="Times New Roman"/>
          <w:sz w:val="24"/>
          <w:szCs w:val="24"/>
          <w:lang w:val="en-US"/>
        </w:rPr>
        <w:t>expressly spells out the persons who constitute the en</w:t>
      </w:r>
      <w:r w:rsidR="00A70349" w:rsidRPr="00157E3D">
        <w:rPr>
          <w:rFonts w:ascii="Times New Roman" w:hAnsi="Times New Roman" w:cs="Times New Roman"/>
          <w:sz w:val="24"/>
          <w:szCs w:val="24"/>
          <w:lang w:val="en-US"/>
        </w:rPr>
        <w:t xml:space="preserve">ergy industry with the </w:t>
      </w:r>
      <w:r w:rsidR="00C054EE" w:rsidRPr="00157E3D">
        <w:rPr>
          <w:rFonts w:ascii="Times New Roman" w:hAnsi="Times New Roman" w:cs="Times New Roman"/>
          <w:sz w:val="24"/>
          <w:szCs w:val="24"/>
          <w:lang w:val="en-US"/>
        </w:rPr>
        <w:t>exclusion</w:t>
      </w:r>
      <w:r w:rsidR="00391282" w:rsidRPr="00157E3D">
        <w:rPr>
          <w:rFonts w:ascii="Times New Roman" w:hAnsi="Times New Roman" w:cs="Times New Roman"/>
          <w:sz w:val="24"/>
          <w:szCs w:val="24"/>
          <w:lang w:val="en-US"/>
        </w:rPr>
        <w:t xml:space="preserve"> of the regulator, which is a clear indication that the first respondent was not intended to be part of the energy industry. The first respondent does not fall within the energy industry and</w:t>
      </w:r>
      <w:r w:rsidR="00455092">
        <w:rPr>
          <w:rFonts w:ascii="Times New Roman" w:hAnsi="Times New Roman" w:cs="Times New Roman"/>
          <w:sz w:val="24"/>
          <w:szCs w:val="24"/>
          <w:lang w:val="en-US"/>
        </w:rPr>
        <w:t>,</w:t>
      </w:r>
      <w:r w:rsidR="00391282" w:rsidRPr="00157E3D">
        <w:rPr>
          <w:rFonts w:ascii="Times New Roman" w:hAnsi="Times New Roman" w:cs="Times New Roman"/>
          <w:sz w:val="24"/>
          <w:szCs w:val="24"/>
          <w:lang w:val="en-US"/>
        </w:rPr>
        <w:t xml:space="preserve"> by extension, it is not bound by the CBA for the energy sector.</w:t>
      </w:r>
    </w:p>
    <w:p w:rsidR="008F1C80" w:rsidRPr="00157E3D" w:rsidRDefault="008F1C80" w:rsidP="00C054EE">
      <w:pPr>
        <w:spacing w:after="0" w:line="480" w:lineRule="auto"/>
        <w:ind w:firstLine="1134"/>
        <w:jc w:val="both"/>
        <w:rPr>
          <w:rFonts w:ascii="Times New Roman" w:hAnsi="Times New Roman" w:cs="Times New Roman"/>
          <w:sz w:val="24"/>
          <w:szCs w:val="24"/>
          <w:lang w:val="en-US"/>
        </w:rPr>
      </w:pPr>
    </w:p>
    <w:p w:rsidR="00AE7C1C" w:rsidRPr="00157E3D" w:rsidRDefault="00091534" w:rsidP="00205E22">
      <w:pPr>
        <w:spacing w:line="480" w:lineRule="auto"/>
        <w:jc w:val="both"/>
        <w:rPr>
          <w:rFonts w:ascii="Times New Roman" w:hAnsi="Times New Roman" w:cs="Times New Roman"/>
          <w:b/>
          <w:sz w:val="24"/>
          <w:szCs w:val="24"/>
          <w:lang w:val="en-US"/>
        </w:rPr>
      </w:pPr>
      <w:r w:rsidRPr="00157E3D">
        <w:rPr>
          <w:rFonts w:ascii="Times New Roman" w:hAnsi="Times New Roman" w:cs="Times New Roman"/>
          <w:b/>
          <w:sz w:val="24"/>
          <w:szCs w:val="24"/>
          <w:lang w:val="en-US"/>
        </w:rPr>
        <w:t>DISPOSITION</w:t>
      </w:r>
    </w:p>
    <w:p w:rsidR="00205E22" w:rsidRPr="00157E3D" w:rsidRDefault="00205E22" w:rsidP="002F1F10">
      <w:pPr>
        <w:spacing w:line="480" w:lineRule="auto"/>
        <w:ind w:firstLine="1134"/>
        <w:jc w:val="both"/>
        <w:rPr>
          <w:rFonts w:ascii="Times New Roman" w:hAnsi="Times New Roman" w:cs="Times New Roman"/>
          <w:sz w:val="24"/>
          <w:szCs w:val="24"/>
          <w:lang w:val="en-US"/>
        </w:rPr>
      </w:pPr>
      <w:r w:rsidRPr="00157E3D">
        <w:rPr>
          <w:rFonts w:ascii="Times New Roman" w:hAnsi="Times New Roman" w:cs="Times New Roman"/>
          <w:sz w:val="24"/>
          <w:szCs w:val="24"/>
          <w:lang w:val="en-US"/>
        </w:rPr>
        <w:t xml:space="preserve">The interpretation of s 2 of the Act shows that the first respondent does not fall within the energy industry. This means that the CBA is not binding on the first respondent. The court </w:t>
      </w:r>
      <w:r w:rsidRPr="00157E3D">
        <w:rPr>
          <w:rFonts w:ascii="Times New Roman" w:hAnsi="Times New Roman" w:cs="Times New Roman"/>
          <w:i/>
          <w:sz w:val="24"/>
          <w:szCs w:val="24"/>
          <w:lang w:val="en-US"/>
        </w:rPr>
        <w:t>a quo</w:t>
      </w:r>
      <w:r w:rsidRPr="00157E3D">
        <w:rPr>
          <w:rFonts w:ascii="Times New Roman" w:hAnsi="Times New Roman" w:cs="Times New Roman"/>
          <w:sz w:val="24"/>
          <w:szCs w:val="24"/>
          <w:lang w:val="en-US"/>
        </w:rPr>
        <w:t xml:space="preserve"> did not fall into any error in holding that the first respondent is not an employer in the energy industry and therefore</w:t>
      </w:r>
      <w:r w:rsidR="00283583">
        <w:rPr>
          <w:rFonts w:ascii="Times New Roman" w:hAnsi="Times New Roman" w:cs="Times New Roman"/>
          <w:sz w:val="24"/>
          <w:szCs w:val="24"/>
          <w:lang w:val="en-US"/>
        </w:rPr>
        <w:t xml:space="preserve"> is</w:t>
      </w:r>
      <w:r w:rsidRPr="00157E3D">
        <w:rPr>
          <w:rFonts w:ascii="Times New Roman" w:hAnsi="Times New Roman" w:cs="Times New Roman"/>
          <w:sz w:val="24"/>
          <w:szCs w:val="24"/>
          <w:lang w:val="en-US"/>
        </w:rPr>
        <w:t xml:space="preserve"> not bound by the CBA. This appeal is wit</w:t>
      </w:r>
      <w:r w:rsidR="00C17AD4">
        <w:rPr>
          <w:rFonts w:ascii="Times New Roman" w:hAnsi="Times New Roman" w:cs="Times New Roman"/>
          <w:sz w:val="24"/>
          <w:szCs w:val="24"/>
          <w:lang w:val="en-US"/>
        </w:rPr>
        <w:t>hout merit and t</w:t>
      </w:r>
      <w:r w:rsidR="00091534" w:rsidRPr="00157E3D">
        <w:rPr>
          <w:rFonts w:ascii="Times New Roman" w:hAnsi="Times New Roman" w:cs="Times New Roman"/>
          <w:color w:val="000000" w:themeColor="text1"/>
          <w:sz w:val="24"/>
          <w:szCs w:val="24"/>
        </w:rPr>
        <w:t xml:space="preserve">here being no reason to depart from the general rule that costs follow the result, the general rule </w:t>
      </w:r>
      <w:r w:rsidR="00C17AD4">
        <w:rPr>
          <w:rFonts w:ascii="Times New Roman" w:hAnsi="Times New Roman" w:cs="Times New Roman"/>
          <w:color w:val="000000" w:themeColor="text1"/>
          <w:sz w:val="24"/>
          <w:szCs w:val="24"/>
        </w:rPr>
        <w:t xml:space="preserve">on costs </w:t>
      </w:r>
      <w:r w:rsidR="00091534" w:rsidRPr="00157E3D">
        <w:rPr>
          <w:rFonts w:ascii="Times New Roman" w:hAnsi="Times New Roman" w:cs="Times New Roman"/>
          <w:color w:val="000000" w:themeColor="text1"/>
          <w:sz w:val="24"/>
          <w:szCs w:val="24"/>
        </w:rPr>
        <w:t>shall prevail.</w:t>
      </w:r>
    </w:p>
    <w:p w:rsidR="00091534" w:rsidRPr="00157E3D" w:rsidRDefault="00091534" w:rsidP="00205E22">
      <w:pPr>
        <w:spacing w:line="480" w:lineRule="auto"/>
        <w:jc w:val="both"/>
        <w:rPr>
          <w:rFonts w:ascii="Times New Roman" w:hAnsi="Times New Roman" w:cs="Times New Roman"/>
          <w:sz w:val="24"/>
          <w:szCs w:val="24"/>
          <w:lang w:val="en-US"/>
        </w:rPr>
      </w:pPr>
    </w:p>
    <w:p w:rsidR="00205E22" w:rsidRPr="00157E3D" w:rsidRDefault="00205E22" w:rsidP="00806E13">
      <w:pPr>
        <w:spacing w:line="480" w:lineRule="auto"/>
        <w:ind w:firstLine="1134"/>
        <w:jc w:val="both"/>
        <w:rPr>
          <w:rFonts w:ascii="Times New Roman" w:hAnsi="Times New Roman" w:cs="Times New Roman"/>
          <w:sz w:val="24"/>
          <w:szCs w:val="24"/>
          <w:lang w:val="en-US"/>
        </w:rPr>
      </w:pPr>
      <w:r w:rsidRPr="00157E3D">
        <w:rPr>
          <w:rFonts w:ascii="Times New Roman" w:hAnsi="Times New Roman" w:cs="Times New Roman"/>
          <w:sz w:val="24"/>
          <w:szCs w:val="24"/>
          <w:lang w:val="en-US"/>
        </w:rPr>
        <w:lastRenderedPageBreak/>
        <w:t>Accordingly, it</w:t>
      </w:r>
      <w:r w:rsidR="00091534" w:rsidRPr="00157E3D">
        <w:rPr>
          <w:rFonts w:ascii="Times New Roman" w:hAnsi="Times New Roman" w:cs="Times New Roman"/>
          <w:sz w:val="24"/>
          <w:szCs w:val="24"/>
          <w:lang w:val="en-US"/>
        </w:rPr>
        <w:t xml:space="preserve"> i</w:t>
      </w:r>
      <w:r w:rsidRPr="00157E3D">
        <w:rPr>
          <w:rFonts w:ascii="Times New Roman" w:hAnsi="Times New Roman" w:cs="Times New Roman"/>
          <w:sz w:val="24"/>
          <w:szCs w:val="24"/>
          <w:lang w:val="en-US"/>
        </w:rPr>
        <w:t>s ordered as follows:</w:t>
      </w:r>
    </w:p>
    <w:p w:rsidR="00707894" w:rsidRPr="00B8355B" w:rsidRDefault="00091534" w:rsidP="00B8355B">
      <w:pPr>
        <w:spacing w:line="480" w:lineRule="auto"/>
        <w:ind w:firstLine="1134"/>
        <w:jc w:val="both"/>
        <w:rPr>
          <w:rFonts w:ascii="Times New Roman" w:hAnsi="Times New Roman" w:cs="Times New Roman"/>
          <w:sz w:val="24"/>
          <w:szCs w:val="24"/>
          <w:lang w:val="en-US"/>
        </w:rPr>
      </w:pPr>
      <w:r w:rsidRPr="00157E3D">
        <w:rPr>
          <w:rFonts w:ascii="Times New Roman" w:hAnsi="Times New Roman" w:cs="Times New Roman"/>
          <w:sz w:val="24"/>
          <w:szCs w:val="24"/>
          <w:lang w:val="en-US"/>
        </w:rPr>
        <w:t>“</w:t>
      </w:r>
      <w:r w:rsidR="00205E22" w:rsidRPr="00157E3D">
        <w:rPr>
          <w:rFonts w:ascii="Times New Roman" w:hAnsi="Times New Roman" w:cs="Times New Roman"/>
          <w:sz w:val="24"/>
          <w:szCs w:val="24"/>
          <w:lang w:val="en-US"/>
        </w:rPr>
        <w:t>The appeal be and is hereby dismissed with costs.</w:t>
      </w:r>
      <w:r w:rsidRPr="00157E3D">
        <w:rPr>
          <w:rFonts w:ascii="Times New Roman" w:hAnsi="Times New Roman" w:cs="Times New Roman"/>
          <w:sz w:val="24"/>
          <w:szCs w:val="24"/>
          <w:lang w:val="en-US"/>
        </w:rPr>
        <w:t>”</w:t>
      </w:r>
    </w:p>
    <w:p w:rsidR="00707894" w:rsidRPr="00157E3D" w:rsidRDefault="00707894" w:rsidP="00091534">
      <w:pPr>
        <w:spacing w:line="360" w:lineRule="auto"/>
        <w:ind w:left="720" w:firstLine="720"/>
        <w:jc w:val="both"/>
        <w:rPr>
          <w:rFonts w:ascii="Times New Roman" w:hAnsi="Times New Roman" w:cs="Times New Roman"/>
          <w:b/>
          <w:sz w:val="24"/>
          <w:szCs w:val="24"/>
        </w:rPr>
      </w:pPr>
    </w:p>
    <w:p w:rsidR="00707894" w:rsidRPr="00157E3D" w:rsidRDefault="00091534" w:rsidP="00091534">
      <w:pPr>
        <w:spacing w:line="360" w:lineRule="auto"/>
        <w:ind w:left="720" w:firstLine="720"/>
        <w:jc w:val="both"/>
        <w:rPr>
          <w:rFonts w:ascii="Times New Roman" w:hAnsi="Times New Roman" w:cs="Times New Roman"/>
          <w:sz w:val="24"/>
          <w:szCs w:val="24"/>
        </w:rPr>
      </w:pPr>
      <w:r w:rsidRPr="00157E3D">
        <w:rPr>
          <w:rFonts w:ascii="Times New Roman" w:hAnsi="Times New Roman" w:cs="Times New Roman"/>
          <w:b/>
          <w:sz w:val="24"/>
          <w:szCs w:val="24"/>
        </w:rPr>
        <w:t>GWAUNZA JA</w:t>
      </w:r>
      <w:r w:rsidR="00F249B7" w:rsidRPr="00157E3D">
        <w:rPr>
          <w:rFonts w:ascii="Times New Roman" w:hAnsi="Times New Roman" w:cs="Times New Roman"/>
          <w:b/>
          <w:sz w:val="24"/>
          <w:szCs w:val="24"/>
        </w:rPr>
        <w:tab/>
      </w:r>
      <w:r w:rsidRPr="00157E3D">
        <w:rPr>
          <w:rFonts w:ascii="Times New Roman" w:hAnsi="Times New Roman" w:cs="Times New Roman"/>
          <w:sz w:val="24"/>
          <w:szCs w:val="24"/>
        </w:rPr>
        <w:t>:</w:t>
      </w:r>
      <w:r w:rsidRPr="00157E3D">
        <w:rPr>
          <w:rFonts w:ascii="Times New Roman" w:hAnsi="Times New Roman" w:cs="Times New Roman"/>
          <w:sz w:val="24"/>
          <w:szCs w:val="24"/>
        </w:rPr>
        <w:tab/>
      </w:r>
      <w:r w:rsidR="00F249B7" w:rsidRPr="00157E3D">
        <w:rPr>
          <w:rFonts w:ascii="Times New Roman" w:hAnsi="Times New Roman" w:cs="Times New Roman"/>
          <w:sz w:val="24"/>
          <w:szCs w:val="24"/>
        </w:rPr>
        <w:tab/>
      </w:r>
      <w:r w:rsidRPr="00157E3D">
        <w:rPr>
          <w:rFonts w:ascii="Times New Roman" w:hAnsi="Times New Roman" w:cs="Times New Roman"/>
          <w:sz w:val="24"/>
          <w:szCs w:val="24"/>
        </w:rPr>
        <w:t>I agree</w:t>
      </w:r>
    </w:p>
    <w:p w:rsidR="00091534" w:rsidRPr="00157E3D" w:rsidRDefault="00091534" w:rsidP="00B8355B">
      <w:pPr>
        <w:spacing w:line="360" w:lineRule="auto"/>
        <w:ind w:left="720" w:firstLine="720"/>
        <w:jc w:val="both"/>
        <w:rPr>
          <w:rFonts w:ascii="Times New Roman" w:hAnsi="Times New Roman" w:cs="Times New Roman"/>
          <w:sz w:val="24"/>
          <w:szCs w:val="24"/>
        </w:rPr>
      </w:pPr>
      <w:r w:rsidRPr="00157E3D">
        <w:rPr>
          <w:rFonts w:ascii="Times New Roman" w:hAnsi="Times New Roman" w:cs="Times New Roman"/>
          <w:sz w:val="24"/>
          <w:szCs w:val="24"/>
        </w:rPr>
        <w:tab/>
      </w:r>
      <w:r w:rsidRPr="00157E3D">
        <w:rPr>
          <w:rFonts w:ascii="Times New Roman" w:hAnsi="Times New Roman" w:cs="Times New Roman"/>
          <w:sz w:val="24"/>
          <w:szCs w:val="24"/>
        </w:rPr>
        <w:tab/>
      </w:r>
    </w:p>
    <w:p w:rsidR="00091534" w:rsidRPr="00157E3D" w:rsidRDefault="00091534" w:rsidP="00707894">
      <w:pPr>
        <w:spacing w:line="360" w:lineRule="auto"/>
        <w:jc w:val="both"/>
        <w:rPr>
          <w:rFonts w:ascii="Times New Roman" w:hAnsi="Times New Roman" w:cs="Times New Roman"/>
          <w:sz w:val="24"/>
          <w:szCs w:val="24"/>
        </w:rPr>
      </w:pPr>
      <w:r w:rsidRPr="00157E3D">
        <w:rPr>
          <w:rFonts w:ascii="Times New Roman" w:hAnsi="Times New Roman" w:cs="Times New Roman"/>
          <w:sz w:val="24"/>
          <w:szCs w:val="24"/>
        </w:rPr>
        <w:tab/>
      </w:r>
      <w:r w:rsidRPr="00157E3D">
        <w:rPr>
          <w:rFonts w:ascii="Times New Roman" w:hAnsi="Times New Roman" w:cs="Times New Roman"/>
          <w:sz w:val="24"/>
          <w:szCs w:val="24"/>
        </w:rPr>
        <w:tab/>
      </w:r>
      <w:r w:rsidRPr="00157E3D">
        <w:rPr>
          <w:rFonts w:ascii="Times New Roman" w:hAnsi="Times New Roman" w:cs="Times New Roman"/>
          <w:b/>
          <w:sz w:val="24"/>
          <w:szCs w:val="24"/>
        </w:rPr>
        <w:t>PATEL JA</w:t>
      </w:r>
      <w:r w:rsidR="00F249B7" w:rsidRPr="00157E3D">
        <w:rPr>
          <w:rFonts w:ascii="Times New Roman" w:hAnsi="Times New Roman" w:cs="Times New Roman"/>
          <w:b/>
          <w:sz w:val="24"/>
          <w:szCs w:val="24"/>
        </w:rPr>
        <w:tab/>
      </w:r>
      <w:r w:rsidR="00F249B7" w:rsidRPr="00157E3D">
        <w:rPr>
          <w:rFonts w:ascii="Times New Roman" w:hAnsi="Times New Roman" w:cs="Times New Roman"/>
          <w:b/>
          <w:sz w:val="24"/>
          <w:szCs w:val="24"/>
        </w:rPr>
        <w:tab/>
      </w:r>
      <w:r w:rsidRPr="00157E3D">
        <w:rPr>
          <w:rFonts w:ascii="Times New Roman" w:hAnsi="Times New Roman" w:cs="Times New Roman"/>
          <w:sz w:val="24"/>
          <w:szCs w:val="24"/>
        </w:rPr>
        <w:t>:</w:t>
      </w:r>
      <w:r w:rsidRPr="00157E3D">
        <w:rPr>
          <w:rFonts w:ascii="Times New Roman" w:hAnsi="Times New Roman" w:cs="Times New Roman"/>
          <w:sz w:val="24"/>
          <w:szCs w:val="24"/>
        </w:rPr>
        <w:tab/>
      </w:r>
      <w:r w:rsidRPr="00157E3D">
        <w:rPr>
          <w:rFonts w:ascii="Times New Roman" w:hAnsi="Times New Roman" w:cs="Times New Roman"/>
          <w:sz w:val="24"/>
          <w:szCs w:val="24"/>
        </w:rPr>
        <w:tab/>
        <w:t>I agree</w:t>
      </w:r>
      <w:r w:rsidRPr="00157E3D">
        <w:rPr>
          <w:rFonts w:ascii="Times New Roman" w:hAnsi="Times New Roman" w:cs="Times New Roman"/>
          <w:sz w:val="24"/>
          <w:szCs w:val="24"/>
        </w:rPr>
        <w:tab/>
      </w:r>
      <w:r w:rsidRPr="00157E3D">
        <w:rPr>
          <w:rFonts w:ascii="Times New Roman" w:hAnsi="Times New Roman" w:cs="Times New Roman"/>
          <w:sz w:val="24"/>
          <w:szCs w:val="24"/>
        </w:rPr>
        <w:tab/>
      </w:r>
    </w:p>
    <w:p w:rsidR="00091534" w:rsidRPr="00157E3D" w:rsidRDefault="00091534" w:rsidP="00F249B7">
      <w:pPr>
        <w:spacing w:after="0" w:line="480" w:lineRule="auto"/>
        <w:jc w:val="both"/>
        <w:rPr>
          <w:rFonts w:ascii="Times New Roman" w:hAnsi="Times New Roman" w:cs="Times New Roman"/>
          <w:sz w:val="24"/>
          <w:szCs w:val="24"/>
        </w:rPr>
      </w:pPr>
    </w:p>
    <w:p w:rsidR="00091534" w:rsidRPr="00157E3D" w:rsidRDefault="00091534" w:rsidP="00320BA5">
      <w:pPr>
        <w:spacing w:after="0" w:line="480" w:lineRule="auto"/>
        <w:jc w:val="both"/>
        <w:rPr>
          <w:rFonts w:ascii="Times New Roman" w:hAnsi="Times New Roman" w:cs="Times New Roman"/>
          <w:sz w:val="24"/>
          <w:szCs w:val="24"/>
        </w:rPr>
      </w:pPr>
      <w:r w:rsidRPr="00157E3D">
        <w:rPr>
          <w:rFonts w:ascii="Times New Roman" w:hAnsi="Times New Roman" w:cs="Times New Roman"/>
          <w:i/>
          <w:sz w:val="24"/>
          <w:szCs w:val="24"/>
        </w:rPr>
        <w:t>Matsikidze &amp; Mucheche</w:t>
      </w:r>
      <w:r w:rsidRPr="00157E3D">
        <w:rPr>
          <w:rFonts w:ascii="Times New Roman" w:hAnsi="Times New Roman" w:cs="Times New Roman"/>
          <w:sz w:val="24"/>
          <w:szCs w:val="24"/>
        </w:rPr>
        <w:t xml:space="preserve"> Commercial and Labour Law Chambers, appellants` legal practitioners</w:t>
      </w:r>
    </w:p>
    <w:p w:rsidR="00091534" w:rsidRPr="00157E3D" w:rsidRDefault="00091534" w:rsidP="00320BA5">
      <w:pPr>
        <w:spacing w:after="0" w:line="480" w:lineRule="auto"/>
        <w:jc w:val="both"/>
        <w:rPr>
          <w:rFonts w:ascii="Times New Roman" w:hAnsi="Times New Roman" w:cs="Times New Roman"/>
          <w:sz w:val="24"/>
          <w:szCs w:val="24"/>
        </w:rPr>
      </w:pPr>
      <w:r w:rsidRPr="00157E3D">
        <w:rPr>
          <w:rFonts w:ascii="Times New Roman" w:hAnsi="Times New Roman" w:cs="Times New Roman"/>
          <w:i/>
          <w:sz w:val="24"/>
          <w:szCs w:val="24"/>
        </w:rPr>
        <w:t>Kantor and Immerman</w:t>
      </w:r>
      <w:r w:rsidRPr="00157E3D">
        <w:rPr>
          <w:rFonts w:ascii="Times New Roman" w:hAnsi="Times New Roman" w:cs="Times New Roman"/>
          <w:sz w:val="24"/>
          <w:szCs w:val="24"/>
        </w:rPr>
        <w:t xml:space="preserve">, </w:t>
      </w:r>
      <w:r w:rsidR="00320BA5">
        <w:rPr>
          <w:rFonts w:ascii="Times New Roman" w:hAnsi="Times New Roman" w:cs="Times New Roman"/>
          <w:sz w:val="24"/>
          <w:szCs w:val="24"/>
        </w:rPr>
        <w:t>1</w:t>
      </w:r>
      <w:r w:rsidR="00320BA5" w:rsidRPr="00470243">
        <w:rPr>
          <w:rFonts w:ascii="Times New Roman" w:hAnsi="Times New Roman" w:cs="Times New Roman"/>
          <w:sz w:val="24"/>
          <w:szCs w:val="24"/>
          <w:vertAlign w:val="superscript"/>
        </w:rPr>
        <w:t>st</w:t>
      </w:r>
      <w:r w:rsidR="00320BA5">
        <w:rPr>
          <w:rFonts w:ascii="Times New Roman" w:hAnsi="Times New Roman" w:cs="Times New Roman"/>
          <w:sz w:val="24"/>
          <w:szCs w:val="24"/>
        </w:rPr>
        <w:t xml:space="preserve"> </w:t>
      </w:r>
      <w:r w:rsidR="00320BA5" w:rsidRPr="00157E3D">
        <w:rPr>
          <w:rFonts w:ascii="Times New Roman" w:hAnsi="Times New Roman" w:cs="Times New Roman"/>
          <w:sz w:val="24"/>
          <w:szCs w:val="24"/>
        </w:rPr>
        <w:t>respondent’s</w:t>
      </w:r>
      <w:r w:rsidRPr="00157E3D">
        <w:rPr>
          <w:rFonts w:ascii="Times New Roman" w:hAnsi="Times New Roman" w:cs="Times New Roman"/>
          <w:sz w:val="24"/>
          <w:szCs w:val="24"/>
        </w:rPr>
        <w:t xml:space="preserve"> legal practitioners</w:t>
      </w:r>
    </w:p>
    <w:sectPr w:rsidR="00091534" w:rsidRPr="00157E3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7F7" w:rsidRDefault="008907F7" w:rsidP="00021689">
      <w:pPr>
        <w:spacing w:after="0" w:line="240" w:lineRule="auto"/>
      </w:pPr>
      <w:r>
        <w:separator/>
      </w:r>
    </w:p>
  </w:endnote>
  <w:endnote w:type="continuationSeparator" w:id="0">
    <w:p w:rsidR="008907F7" w:rsidRDefault="008907F7" w:rsidP="0002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7F7" w:rsidRDefault="008907F7" w:rsidP="00021689">
      <w:pPr>
        <w:spacing w:after="0" w:line="240" w:lineRule="auto"/>
      </w:pPr>
      <w:r>
        <w:separator/>
      </w:r>
    </w:p>
  </w:footnote>
  <w:footnote w:type="continuationSeparator" w:id="0">
    <w:p w:rsidR="008907F7" w:rsidRDefault="008907F7" w:rsidP="00021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89" w:rsidRDefault="000B594A" w:rsidP="00021689">
    <w:pPr>
      <w:pStyle w:val="Header"/>
      <w:jc w:val="right"/>
    </w:pPr>
    <w:r>
      <w:rPr>
        <w:noProof/>
        <w:lang w:eastAsia="en-ZW"/>
      </w:rPr>
      <mc:AlternateContent>
        <mc:Choice Requires="wps">
          <w:drawing>
            <wp:anchor distT="0" distB="0" distL="114300" distR="114300" simplePos="0" relativeHeight="251668480"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94A" w:rsidRPr="0041405E" w:rsidRDefault="000B594A">
                          <w:pPr>
                            <w:spacing w:after="0" w:line="240" w:lineRule="auto"/>
                            <w:jc w:val="right"/>
                            <w:rPr>
                              <w:rFonts w:ascii="Times New Roman" w:hAnsi="Times New Roman" w:cs="Times New Roman"/>
                              <w:b/>
                              <w:noProof/>
                              <w:sz w:val="24"/>
                              <w:szCs w:val="24"/>
                            </w:rPr>
                          </w:pPr>
                          <w:r w:rsidRPr="0041405E">
                            <w:rPr>
                              <w:rFonts w:ascii="Times New Roman" w:hAnsi="Times New Roman" w:cs="Times New Roman"/>
                              <w:b/>
                              <w:noProof/>
                              <w:sz w:val="24"/>
                              <w:szCs w:val="24"/>
                            </w:rPr>
                            <w:t>Judgment N</w:t>
                          </w:r>
                          <w:r w:rsidR="001149F4">
                            <w:rPr>
                              <w:rFonts w:ascii="Times New Roman" w:hAnsi="Times New Roman" w:cs="Times New Roman"/>
                              <w:b/>
                              <w:noProof/>
                              <w:sz w:val="24"/>
                              <w:szCs w:val="24"/>
                            </w:rPr>
                            <w:t>o</w:t>
                          </w:r>
                          <w:r w:rsidR="00DC3CEF">
                            <w:rPr>
                              <w:rFonts w:ascii="Times New Roman" w:hAnsi="Times New Roman" w:cs="Times New Roman"/>
                              <w:b/>
                              <w:noProof/>
                              <w:sz w:val="24"/>
                              <w:szCs w:val="24"/>
                            </w:rPr>
                            <w:t>. SC 30</w:t>
                          </w:r>
                          <w:r w:rsidRPr="0041405E">
                            <w:rPr>
                              <w:rFonts w:ascii="Times New Roman" w:hAnsi="Times New Roman" w:cs="Times New Roman"/>
                              <w:b/>
                              <w:noProof/>
                              <w:sz w:val="24"/>
                              <w:szCs w:val="24"/>
                            </w:rPr>
                            <w:t>/20</w:t>
                          </w:r>
                        </w:p>
                        <w:p w:rsidR="000B594A" w:rsidRPr="0041405E" w:rsidRDefault="000B594A">
                          <w:pPr>
                            <w:spacing w:after="0" w:line="240" w:lineRule="auto"/>
                            <w:jc w:val="right"/>
                            <w:rPr>
                              <w:rFonts w:ascii="Times New Roman" w:hAnsi="Times New Roman" w:cs="Times New Roman"/>
                              <w:b/>
                              <w:noProof/>
                              <w:sz w:val="24"/>
                              <w:szCs w:val="24"/>
                            </w:rPr>
                          </w:pPr>
                          <w:r w:rsidRPr="0041405E">
                            <w:rPr>
                              <w:rFonts w:ascii="Times New Roman" w:hAnsi="Times New Roman" w:cs="Times New Roman"/>
                              <w:b/>
                              <w:noProof/>
                              <w:sz w:val="24"/>
                              <w:szCs w:val="24"/>
                            </w:rPr>
                            <w:t>Civil Appeal No. SC 150/16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848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B594A" w:rsidRPr="0041405E" w:rsidRDefault="000B594A">
                    <w:pPr>
                      <w:spacing w:after="0" w:line="240" w:lineRule="auto"/>
                      <w:jc w:val="right"/>
                      <w:rPr>
                        <w:rFonts w:ascii="Times New Roman" w:hAnsi="Times New Roman" w:cs="Times New Roman"/>
                        <w:b/>
                        <w:noProof/>
                        <w:sz w:val="24"/>
                        <w:szCs w:val="24"/>
                      </w:rPr>
                    </w:pPr>
                    <w:r w:rsidRPr="0041405E">
                      <w:rPr>
                        <w:rFonts w:ascii="Times New Roman" w:hAnsi="Times New Roman" w:cs="Times New Roman"/>
                        <w:b/>
                        <w:noProof/>
                        <w:sz w:val="24"/>
                        <w:szCs w:val="24"/>
                      </w:rPr>
                      <w:t>Judgment N</w:t>
                    </w:r>
                    <w:r w:rsidR="001149F4">
                      <w:rPr>
                        <w:rFonts w:ascii="Times New Roman" w:hAnsi="Times New Roman" w:cs="Times New Roman"/>
                        <w:b/>
                        <w:noProof/>
                        <w:sz w:val="24"/>
                        <w:szCs w:val="24"/>
                      </w:rPr>
                      <w:t>o</w:t>
                    </w:r>
                    <w:r w:rsidR="00DC3CEF">
                      <w:rPr>
                        <w:rFonts w:ascii="Times New Roman" w:hAnsi="Times New Roman" w:cs="Times New Roman"/>
                        <w:b/>
                        <w:noProof/>
                        <w:sz w:val="24"/>
                        <w:szCs w:val="24"/>
                      </w:rPr>
                      <w:t>. SC 30</w:t>
                    </w:r>
                    <w:r w:rsidRPr="0041405E">
                      <w:rPr>
                        <w:rFonts w:ascii="Times New Roman" w:hAnsi="Times New Roman" w:cs="Times New Roman"/>
                        <w:b/>
                        <w:noProof/>
                        <w:sz w:val="24"/>
                        <w:szCs w:val="24"/>
                      </w:rPr>
                      <w:t>/20</w:t>
                    </w:r>
                  </w:p>
                  <w:p w:rsidR="000B594A" w:rsidRPr="0041405E" w:rsidRDefault="000B594A">
                    <w:pPr>
                      <w:spacing w:after="0" w:line="240" w:lineRule="auto"/>
                      <w:jc w:val="right"/>
                      <w:rPr>
                        <w:rFonts w:ascii="Times New Roman" w:hAnsi="Times New Roman" w:cs="Times New Roman"/>
                        <w:b/>
                        <w:noProof/>
                        <w:sz w:val="24"/>
                        <w:szCs w:val="24"/>
                      </w:rPr>
                    </w:pPr>
                    <w:r w:rsidRPr="0041405E">
                      <w:rPr>
                        <w:rFonts w:ascii="Times New Roman" w:hAnsi="Times New Roman" w:cs="Times New Roman"/>
                        <w:b/>
                        <w:noProof/>
                        <w:sz w:val="24"/>
                        <w:szCs w:val="24"/>
                      </w:rPr>
                      <w:t>Civil Appeal No. SC 150/16</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7456"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B594A" w:rsidRDefault="000B594A">
                          <w:pPr>
                            <w:spacing w:after="0" w:line="240" w:lineRule="auto"/>
                            <w:rPr>
                              <w:color w:val="FFFFFF" w:themeColor="background1"/>
                            </w:rPr>
                          </w:pPr>
                          <w:r>
                            <w:fldChar w:fldCharType="begin"/>
                          </w:r>
                          <w:r>
                            <w:instrText xml:space="preserve"> PAGE   \* MERGEFORMAT </w:instrText>
                          </w:r>
                          <w:r>
                            <w:fldChar w:fldCharType="separate"/>
                          </w:r>
                          <w:r w:rsidR="000A40A2" w:rsidRPr="000A40A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745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B594A" w:rsidRDefault="000B594A">
                    <w:pPr>
                      <w:spacing w:after="0" w:line="240" w:lineRule="auto"/>
                      <w:rPr>
                        <w:color w:val="FFFFFF" w:themeColor="background1"/>
                      </w:rPr>
                    </w:pPr>
                    <w:r>
                      <w:fldChar w:fldCharType="begin"/>
                    </w:r>
                    <w:r>
                      <w:instrText xml:space="preserve"> PAGE   \* MERGEFORMAT </w:instrText>
                    </w:r>
                    <w:r>
                      <w:fldChar w:fldCharType="separate"/>
                    </w:r>
                    <w:r w:rsidR="000A40A2" w:rsidRPr="000A40A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2B50"/>
    <w:multiLevelType w:val="hybridMultilevel"/>
    <w:tmpl w:val="E4E02C10"/>
    <w:lvl w:ilvl="0" w:tplc="A3268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46E2D"/>
    <w:multiLevelType w:val="hybridMultilevel"/>
    <w:tmpl w:val="BA0CDF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21403F4"/>
    <w:multiLevelType w:val="hybridMultilevel"/>
    <w:tmpl w:val="96E68ED2"/>
    <w:lvl w:ilvl="0" w:tplc="467A274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5954BF1"/>
    <w:multiLevelType w:val="hybridMultilevel"/>
    <w:tmpl w:val="FBB84CFA"/>
    <w:lvl w:ilvl="0" w:tplc="8B4A24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216C7"/>
    <w:multiLevelType w:val="hybridMultilevel"/>
    <w:tmpl w:val="1CC2BF7C"/>
    <w:lvl w:ilvl="0" w:tplc="9106293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F482F6A"/>
    <w:multiLevelType w:val="hybridMultilevel"/>
    <w:tmpl w:val="7CFC2F4E"/>
    <w:lvl w:ilvl="0" w:tplc="C91E2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BC"/>
    <w:rsid w:val="00014B36"/>
    <w:rsid w:val="00021689"/>
    <w:rsid w:val="00032E09"/>
    <w:rsid w:val="0004594E"/>
    <w:rsid w:val="00045BB8"/>
    <w:rsid w:val="00050C58"/>
    <w:rsid w:val="00082F9C"/>
    <w:rsid w:val="00091534"/>
    <w:rsid w:val="000A40A2"/>
    <w:rsid w:val="000B594A"/>
    <w:rsid w:val="000C76A7"/>
    <w:rsid w:val="000E2D13"/>
    <w:rsid w:val="000F250F"/>
    <w:rsid w:val="001149F4"/>
    <w:rsid w:val="0014494C"/>
    <w:rsid w:val="00157E3D"/>
    <w:rsid w:val="00181501"/>
    <w:rsid w:val="0019583F"/>
    <w:rsid w:val="001D35BB"/>
    <w:rsid w:val="00205E22"/>
    <w:rsid w:val="00216428"/>
    <w:rsid w:val="00217AB9"/>
    <w:rsid w:val="002227D7"/>
    <w:rsid w:val="00223C4D"/>
    <w:rsid w:val="002446AC"/>
    <w:rsid w:val="00247855"/>
    <w:rsid w:val="002605F3"/>
    <w:rsid w:val="002619C9"/>
    <w:rsid w:val="00265E72"/>
    <w:rsid w:val="0027070C"/>
    <w:rsid w:val="00273FC9"/>
    <w:rsid w:val="00283583"/>
    <w:rsid w:val="00295BF6"/>
    <w:rsid w:val="002B14CC"/>
    <w:rsid w:val="002F1F10"/>
    <w:rsid w:val="002F301C"/>
    <w:rsid w:val="00307FA6"/>
    <w:rsid w:val="00311155"/>
    <w:rsid w:val="00315707"/>
    <w:rsid w:val="00320BA5"/>
    <w:rsid w:val="00371F25"/>
    <w:rsid w:val="00391282"/>
    <w:rsid w:val="003A26AD"/>
    <w:rsid w:val="003A5F93"/>
    <w:rsid w:val="003B2E35"/>
    <w:rsid w:val="003B420A"/>
    <w:rsid w:val="003D1023"/>
    <w:rsid w:val="003E0C9C"/>
    <w:rsid w:val="00410F2B"/>
    <w:rsid w:val="0041405E"/>
    <w:rsid w:val="00441A1B"/>
    <w:rsid w:val="00447A14"/>
    <w:rsid w:val="00452E20"/>
    <w:rsid w:val="00455092"/>
    <w:rsid w:val="00470243"/>
    <w:rsid w:val="00480384"/>
    <w:rsid w:val="00486D6B"/>
    <w:rsid w:val="00491C04"/>
    <w:rsid w:val="004952D8"/>
    <w:rsid w:val="004B5032"/>
    <w:rsid w:val="004D6154"/>
    <w:rsid w:val="004F4F06"/>
    <w:rsid w:val="00514B26"/>
    <w:rsid w:val="0051768D"/>
    <w:rsid w:val="00526F5A"/>
    <w:rsid w:val="00542A81"/>
    <w:rsid w:val="005546AD"/>
    <w:rsid w:val="00555C58"/>
    <w:rsid w:val="00570EF1"/>
    <w:rsid w:val="00571F92"/>
    <w:rsid w:val="005862EF"/>
    <w:rsid w:val="00595AE0"/>
    <w:rsid w:val="005A2277"/>
    <w:rsid w:val="005A7BFD"/>
    <w:rsid w:val="005E62DF"/>
    <w:rsid w:val="005F4D26"/>
    <w:rsid w:val="00601EB9"/>
    <w:rsid w:val="00637C52"/>
    <w:rsid w:val="00662E46"/>
    <w:rsid w:val="00677BCA"/>
    <w:rsid w:val="006D6CB7"/>
    <w:rsid w:val="006E60DA"/>
    <w:rsid w:val="006E63B1"/>
    <w:rsid w:val="00701DDC"/>
    <w:rsid w:val="0070259C"/>
    <w:rsid w:val="00707894"/>
    <w:rsid w:val="00732606"/>
    <w:rsid w:val="00737008"/>
    <w:rsid w:val="007A2282"/>
    <w:rsid w:val="007A7012"/>
    <w:rsid w:val="007B602E"/>
    <w:rsid w:val="007C7025"/>
    <w:rsid w:val="00806E13"/>
    <w:rsid w:val="008116E3"/>
    <w:rsid w:val="0081240A"/>
    <w:rsid w:val="008207A0"/>
    <w:rsid w:val="008439F6"/>
    <w:rsid w:val="00846CAD"/>
    <w:rsid w:val="00854C90"/>
    <w:rsid w:val="00855FD1"/>
    <w:rsid w:val="00861FAC"/>
    <w:rsid w:val="0086278A"/>
    <w:rsid w:val="008907F7"/>
    <w:rsid w:val="00892204"/>
    <w:rsid w:val="008A1B47"/>
    <w:rsid w:val="008A232E"/>
    <w:rsid w:val="008A5793"/>
    <w:rsid w:val="008A618B"/>
    <w:rsid w:val="008B35FD"/>
    <w:rsid w:val="008D3192"/>
    <w:rsid w:val="008F1C80"/>
    <w:rsid w:val="009362B7"/>
    <w:rsid w:val="00943CEA"/>
    <w:rsid w:val="0095013E"/>
    <w:rsid w:val="00955E3A"/>
    <w:rsid w:val="009560C1"/>
    <w:rsid w:val="00990932"/>
    <w:rsid w:val="00993C45"/>
    <w:rsid w:val="00996A14"/>
    <w:rsid w:val="009A5983"/>
    <w:rsid w:val="009A60BC"/>
    <w:rsid w:val="009B238B"/>
    <w:rsid w:val="009D4A6C"/>
    <w:rsid w:val="00A64CFD"/>
    <w:rsid w:val="00A70349"/>
    <w:rsid w:val="00A867A7"/>
    <w:rsid w:val="00AA78CE"/>
    <w:rsid w:val="00AB2D3D"/>
    <w:rsid w:val="00AD3636"/>
    <w:rsid w:val="00AE4530"/>
    <w:rsid w:val="00AE7C1C"/>
    <w:rsid w:val="00AF516A"/>
    <w:rsid w:val="00B369E3"/>
    <w:rsid w:val="00B640BB"/>
    <w:rsid w:val="00B745B2"/>
    <w:rsid w:val="00B8355B"/>
    <w:rsid w:val="00B85070"/>
    <w:rsid w:val="00BB2BB7"/>
    <w:rsid w:val="00BD104A"/>
    <w:rsid w:val="00BD37D3"/>
    <w:rsid w:val="00BD6CE9"/>
    <w:rsid w:val="00C054EE"/>
    <w:rsid w:val="00C17AD4"/>
    <w:rsid w:val="00C31FCB"/>
    <w:rsid w:val="00C32CE0"/>
    <w:rsid w:val="00C611A0"/>
    <w:rsid w:val="00C90599"/>
    <w:rsid w:val="00C95A43"/>
    <w:rsid w:val="00CE1554"/>
    <w:rsid w:val="00CF55F2"/>
    <w:rsid w:val="00D12ED6"/>
    <w:rsid w:val="00D1441E"/>
    <w:rsid w:val="00D321E3"/>
    <w:rsid w:val="00D46201"/>
    <w:rsid w:val="00D55E55"/>
    <w:rsid w:val="00D9385A"/>
    <w:rsid w:val="00DA288F"/>
    <w:rsid w:val="00DA46A9"/>
    <w:rsid w:val="00DC12D7"/>
    <w:rsid w:val="00DC3CEF"/>
    <w:rsid w:val="00DC5E76"/>
    <w:rsid w:val="00DD5CB9"/>
    <w:rsid w:val="00DE2D33"/>
    <w:rsid w:val="00DF7F4C"/>
    <w:rsid w:val="00E038CD"/>
    <w:rsid w:val="00E04964"/>
    <w:rsid w:val="00E139D7"/>
    <w:rsid w:val="00E221D8"/>
    <w:rsid w:val="00E44320"/>
    <w:rsid w:val="00E5189F"/>
    <w:rsid w:val="00E7021F"/>
    <w:rsid w:val="00E74BC7"/>
    <w:rsid w:val="00E7544E"/>
    <w:rsid w:val="00E76435"/>
    <w:rsid w:val="00E84D4D"/>
    <w:rsid w:val="00EB1406"/>
    <w:rsid w:val="00ED02AB"/>
    <w:rsid w:val="00EF5213"/>
    <w:rsid w:val="00F00F38"/>
    <w:rsid w:val="00F249B7"/>
    <w:rsid w:val="00F2580E"/>
    <w:rsid w:val="00F27419"/>
    <w:rsid w:val="00F37F6D"/>
    <w:rsid w:val="00F67070"/>
    <w:rsid w:val="00F95E91"/>
    <w:rsid w:val="00FC0EDC"/>
    <w:rsid w:val="00FD4F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842DA4-D309-4C7A-96F8-8017DE69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0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B2BB7"/>
    <w:pPr>
      <w:spacing w:after="0" w:line="480" w:lineRule="auto"/>
      <w:ind w:left="1440"/>
    </w:pPr>
    <w:rPr>
      <w:rFonts w:ascii="Times New Roman" w:eastAsia="Times New Roman" w:hAnsi="Times New Roman" w:cs="Times New Roman"/>
      <w:sz w:val="24"/>
      <w:szCs w:val="24"/>
      <w:lang w:val="en-AU"/>
    </w:rPr>
  </w:style>
  <w:style w:type="character" w:customStyle="1" w:styleId="BodyTextIndentChar">
    <w:name w:val="Body Text Indent Char"/>
    <w:basedOn w:val="DefaultParagraphFont"/>
    <w:link w:val="BodyTextIndent"/>
    <w:rsid w:val="00BB2BB7"/>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AE7C1C"/>
    <w:pPr>
      <w:ind w:left="720"/>
      <w:contextualSpacing/>
    </w:pPr>
  </w:style>
  <w:style w:type="paragraph" w:styleId="Header">
    <w:name w:val="header"/>
    <w:basedOn w:val="Normal"/>
    <w:link w:val="HeaderChar"/>
    <w:uiPriority w:val="99"/>
    <w:unhideWhenUsed/>
    <w:rsid w:val="00021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689"/>
  </w:style>
  <w:style w:type="paragraph" w:styleId="Footer">
    <w:name w:val="footer"/>
    <w:basedOn w:val="Normal"/>
    <w:link w:val="FooterChar"/>
    <w:uiPriority w:val="99"/>
    <w:unhideWhenUsed/>
    <w:rsid w:val="00021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689"/>
  </w:style>
  <w:style w:type="paragraph" w:styleId="NormalWeb">
    <w:name w:val="Normal (Web)"/>
    <w:basedOn w:val="Normal"/>
    <w:uiPriority w:val="99"/>
    <w:semiHidden/>
    <w:unhideWhenUsed/>
    <w:rsid w:val="00021689"/>
    <w:pPr>
      <w:spacing w:before="100" w:beforeAutospacing="1" w:after="100" w:afterAutospacing="1" w:line="240" w:lineRule="auto"/>
    </w:pPr>
    <w:rPr>
      <w:rFonts w:ascii="Times New Roman" w:eastAsiaTheme="minorEastAsia" w:hAnsi="Times New Roman" w:cs="Times New Roman"/>
      <w:sz w:val="24"/>
      <w:szCs w:val="24"/>
      <w:lang w:eastAsia="en-ZW"/>
    </w:rPr>
  </w:style>
  <w:style w:type="paragraph" w:styleId="BalloonText">
    <w:name w:val="Balloon Text"/>
    <w:basedOn w:val="Normal"/>
    <w:link w:val="BalloonTextChar"/>
    <w:uiPriority w:val="99"/>
    <w:semiHidden/>
    <w:unhideWhenUsed/>
    <w:rsid w:val="002F3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15D5C-5A8F-4C09-A456-485E3761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USR</cp:lastModifiedBy>
  <cp:revision>2</cp:revision>
  <cp:lastPrinted>2020-02-27T10:41:00Z</cp:lastPrinted>
  <dcterms:created xsi:type="dcterms:W3CDTF">2020-05-14T09:00:00Z</dcterms:created>
  <dcterms:modified xsi:type="dcterms:W3CDTF">2020-05-14T09:00:00Z</dcterms:modified>
</cp:coreProperties>
</file>