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82364D" w14:textId="77777777" w:rsidR="008D639E" w:rsidRPr="008D639E" w:rsidRDefault="008D639E" w:rsidP="00791537">
      <w:pPr>
        <w:pStyle w:val="ListParagraph"/>
        <w:numPr>
          <w:ilvl w:val="0"/>
          <w:numId w:val="1"/>
        </w:numPr>
        <w:spacing w:line="240" w:lineRule="auto"/>
        <w:jc w:val="both"/>
        <w:rPr>
          <w:rFonts w:ascii="Times New Roman" w:hAnsi="Times New Roman" w:cs="Times New Roman"/>
          <w:sz w:val="24"/>
          <w:szCs w:val="24"/>
          <w:u w:val="single"/>
        </w:rPr>
      </w:pPr>
      <w:bookmarkStart w:id="0" w:name="_GoBack"/>
      <w:bookmarkEnd w:id="0"/>
      <w:r w:rsidRPr="008D639E">
        <w:rPr>
          <w:rFonts w:ascii="Times New Roman" w:hAnsi="Times New Roman" w:cs="Times New Roman"/>
          <w:sz w:val="24"/>
          <w:szCs w:val="24"/>
          <w:u w:val="single"/>
        </w:rPr>
        <w:t>HC 6353/21</w:t>
      </w:r>
    </w:p>
    <w:p w14:paraId="4ACCC5B9" w14:textId="12591B8A" w:rsidR="008D639E" w:rsidRPr="008D639E" w:rsidRDefault="008D639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MISHECK GORORO</w:t>
      </w:r>
    </w:p>
    <w:p w14:paraId="5A6C5CEB" w14:textId="057D4264" w:rsidR="008D639E" w:rsidRPr="008D639E" w:rsidRDefault="008D639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And</w:t>
      </w:r>
    </w:p>
    <w:p w14:paraId="16EB19A6" w14:textId="07A56055" w:rsidR="008D639E" w:rsidRPr="008D639E" w:rsidRDefault="008D639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GODTREV INVESTMENTS (PVT) LTD</w:t>
      </w:r>
    </w:p>
    <w:p w14:paraId="7182B24F" w14:textId="3A187A02" w:rsidR="008D639E" w:rsidRPr="008D639E" w:rsidRDefault="008D639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And</w:t>
      </w:r>
    </w:p>
    <w:p w14:paraId="177B287D" w14:textId="28D8C067" w:rsidR="008D639E" w:rsidRPr="008D639E" w:rsidRDefault="008D639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 xml:space="preserve">TAVAZIVA MUGADZA </w:t>
      </w:r>
    </w:p>
    <w:p w14:paraId="79FD75E0" w14:textId="3F10FC74" w:rsidR="008D639E" w:rsidRPr="008D639E" w:rsidRDefault="008D639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And</w:t>
      </w:r>
    </w:p>
    <w:p w14:paraId="429A2F65" w14:textId="1B84859C" w:rsidR="008D639E" w:rsidRDefault="008D639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GODFREY NZUMA</w:t>
      </w:r>
    </w:p>
    <w:p w14:paraId="005D1DB8" w14:textId="77777777" w:rsidR="00522E22" w:rsidRDefault="00522E22" w:rsidP="00791537">
      <w:pPr>
        <w:pStyle w:val="ListParagraph"/>
        <w:spacing w:line="240" w:lineRule="auto"/>
        <w:jc w:val="both"/>
        <w:rPr>
          <w:rFonts w:ascii="Times New Roman" w:hAnsi="Times New Roman" w:cs="Times New Roman"/>
          <w:sz w:val="24"/>
          <w:szCs w:val="24"/>
        </w:rPr>
      </w:pPr>
    </w:p>
    <w:p w14:paraId="0609B7F3" w14:textId="77777777" w:rsidR="008D639E" w:rsidRPr="008D639E" w:rsidRDefault="008D639E" w:rsidP="00791537">
      <w:pPr>
        <w:pStyle w:val="ListParagraph"/>
        <w:numPr>
          <w:ilvl w:val="0"/>
          <w:numId w:val="1"/>
        </w:numPr>
        <w:spacing w:line="240" w:lineRule="auto"/>
        <w:jc w:val="both"/>
        <w:rPr>
          <w:rFonts w:ascii="Times New Roman" w:hAnsi="Times New Roman" w:cs="Times New Roman"/>
          <w:sz w:val="24"/>
          <w:szCs w:val="24"/>
          <w:u w:val="single"/>
        </w:rPr>
      </w:pPr>
      <w:r w:rsidRPr="008D639E">
        <w:rPr>
          <w:rFonts w:ascii="Times New Roman" w:hAnsi="Times New Roman" w:cs="Times New Roman"/>
          <w:sz w:val="24"/>
          <w:szCs w:val="24"/>
          <w:u w:val="single"/>
        </w:rPr>
        <w:t>HC 6649/21</w:t>
      </w:r>
    </w:p>
    <w:p w14:paraId="098C085A" w14:textId="31DCFE04" w:rsidR="009F19BE" w:rsidRPr="008D639E" w:rsidRDefault="009F19B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GODFREY NZUMA</w:t>
      </w:r>
    </w:p>
    <w:p w14:paraId="3C5145B7" w14:textId="4D45C8B0" w:rsidR="009F19BE" w:rsidRPr="008D639E" w:rsidRDefault="00D53EF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 xml:space="preserve">Versus </w:t>
      </w:r>
    </w:p>
    <w:p w14:paraId="0336A5B0" w14:textId="0324F82B" w:rsidR="009F19BE" w:rsidRPr="008D639E" w:rsidRDefault="009F19B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MISHECK GORORO</w:t>
      </w:r>
    </w:p>
    <w:p w14:paraId="38E05B4F" w14:textId="5D73D11B" w:rsidR="009F19BE" w:rsidRPr="008D639E" w:rsidRDefault="009F19B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And</w:t>
      </w:r>
    </w:p>
    <w:p w14:paraId="4801A2EF" w14:textId="71E59D40" w:rsidR="009F19BE" w:rsidRPr="008D639E" w:rsidRDefault="009F19B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TAVAZIVA MUGADZA</w:t>
      </w:r>
    </w:p>
    <w:p w14:paraId="6141DBA5" w14:textId="19ADCF77" w:rsidR="009F19BE" w:rsidRPr="008D639E" w:rsidRDefault="009F19B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And</w:t>
      </w:r>
    </w:p>
    <w:p w14:paraId="6E2C2D36" w14:textId="0659EF0E" w:rsidR="009F19BE" w:rsidRPr="008D639E" w:rsidRDefault="009F19B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GOD</w:t>
      </w:r>
      <w:r w:rsidR="00864275" w:rsidRPr="008D639E">
        <w:rPr>
          <w:rFonts w:ascii="Times New Roman" w:hAnsi="Times New Roman" w:cs="Times New Roman"/>
          <w:sz w:val="24"/>
          <w:szCs w:val="24"/>
        </w:rPr>
        <w:t xml:space="preserve">TREV </w:t>
      </w:r>
      <w:r w:rsidRPr="008D639E">
        <w:rPr>
          <w:rFonts w:ascii="Times New Roman" w:hAnsi="Times New Roman" w:cs="Times New Roman"/>
          <w:sz w:val="24"/>
          <w:szCs w:val="24"/>
        </w:rPr>
        <w:t>INVESTMENTS (PVT) LTD</w:t>
      </w:r>
    </w:p>
    <w:p w14:paraId="2A6C2FCB" w14:textId="37B643C3" w:rsidR="009F19BE" w:rsidRPr="008D639E" w:rsidRDefault="009F19BE" w:rsidP="00791537">
      <w:pPr>
        <w:pStyle w:val="ListParagraph"/>
        <w:spacing w:line="240" w:lineRule="auto"/>
        <w:jc w:val="both"/>
        <w:rPr>
          <w:rFonts w:ascii="Times New Roman" w:hAnsi="Times New Roman" w:cs="Times New Roman"/>
          <w:sz w:val="24"/>
          <w:szCs w:val="24"/>
        </w:rPr>
      </w:pPr>
      <w:r w:rsidRPr="008D639E">
        <w:rPr>
          <w:rFonts w:ascii="Times New Roman" w:hAnsi="Times New Roman" w:cs="Times New Roman"/>
          <w:sz w:val="24"/>
          <w:szCs w:val="24"/>
        </w:rPr>
        <w:t>And</w:t>
      </w:r>
    </w:p>
    <w:p w14:paraId="044257A7" w14:textId="08873677" w:rsidR="009F19BE" w:rsidRPr="008D639E" w:rsidRDefault="009F19BE" w:rsidP="008D639E">
      <w:pPr>
        <w:pStyle w:val="ListParagraph"/>
        <w:spacing w:line="360" w:lineRule="auto"/>
        <w:jc w:val="both"/>
        <w:rPr>
          <w:rFonts w:ascii="Times New Roman" w:hAnsi="Times New Roman" w:cs="Times New Roman"/>
          <w:sz w:val="24"/>
          <w:szCs w:val="24"/>
        </w:rPr>
      </w:pPr>
      <w:r w:rsidRPr="008D639E">
        <w:rPr>
          <w:rFonts w:ascii="Times New Roman" w:hAnsi="Times New Roman" w:cs="Times New Roman"/>
          <w:sz w:val="24"/>
          <w:szCs w:val="24"/>
        </w:rPr>
        <w:t>REGISTRAR OF COMPANIES N.O</w:t>
      </w:r>
    </w:p>
    <w:p w14:paraId="4CE9BA41" w14:textId="77777777" w:rsidR="009F19BE" w:rsidRPr="00AD5D39" w:rsidRDefault="009F19BE" w:rsidP="00864275">
      <w:pPr>
        <w:spacing w:line="360" w:lineRule="auto"/>
        <w:jc w:val="both"/>
        <w:rPr>
          <w:rFonts w:ascii="Times New Roman" w:hAnsi="Times New Roman" w:cs="Times New Roman"/>
          <w:sz w:val="24"/>
          <w:szCs w:val="24"/>
        </w:rPr>
      </w:pPr>
    </w:p>
    <w:p w14:paraId="02CBED40" w14:textId="7842AF54" w:rsidR="009F19BE" w:rsidRPr="008D639E" w:rsidRDefault="009F19BE" w:rsidP="008D639E">
      <w:pPr>
        <w:pStyle w:val="NoSpacing"/>
        <w:rPr>
          <w:rFonts w:ascii="Times New Roman" w:hAnsi="Times New Roman" w:cs="Times New Roman"/>
          <w:sz w:val="24"/>
          <w:szCs w:val="24"/>
        </w:rPr>
      </w:pPr>
      <w:r w:rsidRPr="008D639E">
        <w:rPr>
          <w:rFonts w:ascii="Times New Roman" w:hAnsi="Times New Roman" w:cs="Times New Roman"/>
          <w:sz w:val="24"/>
          <w:szCs w:val="24"/>
        </w:rPr>
        <w:t>HIGH COURT OF ZIMBABWE</w:t>
      </w:r>
    </w:p>
    <w:p w14:paraId="75E20535" w14:textId="65861C44" w:rsidR="009F19BE" w:rsidRPr="008D639E" w:rsidRDefault="009F19BE" w:rsidP="008D639E">
      <w:pPr>
        <w:pStyle w:val="NoSpacing"/>
        <w:rPr>
          <w:rFonts w:ascii="Times New Roman" w:hAnsi="Times New Roman" w:cs="Times New Roman"/>
          <w:sz w:val="24"/>
          <w:szCs w:val="24"/>
        </w:rPr>
      </w:pPr>
      <w:r w:rsidRPr="008D639E">
        <w:rPr>
          <w:rFonts w:ascii="Times New Roman" w:hAnsi="Times New Roman" w:cs="Times New Roman"/>
          <w:sz w:val="24"/>
          <w:szCs w:val="24"/>
        </w:rPr>
        <w:t>CHILIMBE J</w:t>
      </w:r>
    </w:p>
    <w:p w14:paraId="7BF418A8" w14:textId="1CE43368" w:rsidR="009F19BE" w:rsidRPr="008D639E" w:rsidRDefault="009F19BE" w:rsidP="008D639E">
      <w:pPr>
        <w:pStyle w:val="NoSpacing"/>
        <w:rPr>
          <w:rFonts w:ascii="Times New Roman" w:hAnsi="Times New Roman" w:cs="Times New Roman"/>
          <w:sz w:val="24"/>
          <w:szCs w:val="24"/>
        </w:rPr>
      </w:pPr>
      <w:r w:rsidRPr="008D639E">
        <w:rPr>
          <w:rFonts w:ascii="Times New Roman" w:hAnsi="Times New Roman" w:cs="Times New Roman"/>
          <w:sz w:val="24"/>
          <w:szCs w:val="24"/>
        </w:rPr>
        <w:t xml:space="preserve">HARARE </w:t>
      </w:r>
      <w:r w:rsidR="00AD5D39" w:rsidRPr="008D639E">
        <w:rPr>
          <w:rFonts w:ascii="Times New Roman" w:hAnsi="Times New Roman" w:cs="Times New Roman"/>
          <w:sz w:val="24"/>
          <w:szCs w:val="24"/>
        </w:rPr>
        <w:t xml:space="preserve"> 3 March and 31 </w:t>
      </w:r>
      <w:r w:rsidR="00F22D17">
        <w:rPr>
          <w:rFonts w:ascii="Times New Roman" w:hAnsi="Times New Roman" w:cs="Times New Roman"/>
          <w:sz w:val="24"/>
          <w:szCs w:val="24"/>
        </w:rPr>
        <w:t>July</w:t>
      </w:r>
      <w:r w:rsidR="00AD5D39" w:rsidRPr="008D639E">
        <w:rPr>
          <w:rFonts w:ascii="Times New Roman" w:hAnsi="Times New Roman" w:cs="Times New Roman"/>
          <w:sz w:val="24"/>
          <w:szCs w:val="24"/>
        </w:rPr>
        <w:t xml:space="preserve"> 2023</w:t>
      </w:r>
    </w:p>
    <w:p w14:paraId="35A37A6D" w14:textId="77777777" w:rsidR="00AD5D39" w:rsidRPr="00AD5D39" w:rsidRDefault="00AD5D39" w:rsidP="00864275">
      <w:pPr>
        <w:spacing w:line="360" w:lineRule="auto"/>
        <w:jc w:val="both"/>
        <w:rPr>
          <w:rFonts w:ascii="Times New Roman" w:hAnsi="Times New Roman" w:cs="Times New Roman"/>
          <w:b/>
          <w:bCs/>
          <w:sz w:val="24"/>
          <w:szCs w:val="24"/>
        </w:rPr>
      </w:pPr>
    </w:p>
    <w:p w14:paraId="42B7B686" w14:textId="277E5C31" w:rsidR="00AD5D39" w:rsidRPr="00AD5D39" w:rsidRDefault="00AD5D39" w:rsidP="00864275">
      <w:pPr>
        <w:spacing w:line="360" w:lineRule="auto"/>
        <w:jc w:val="both"/>
        <w:rPr>
          <w:rFonts w:ascii="Times New Roman" w:hAnsi="Times New Roman" w:cs="Times New Roman"/>
          <w:b/>
          <w:bCs/>
          <w:sz w:val="24"/>
          <w:szCs w:val="24"/>
        </w:rPr>
      </w:pPr>
      <w:r w:rsidRPr="00AD5D39">
        <w:rPr>
          <w:rFonts w:ascii="Times New Roman" w:hAnsi="Times New Roman" w:cs="Times New Roman"/>
          <w:b/>
          <w:bCs/>
          <w:sz w:val="24"/>
          <w:szCs w:val="24"/>
        </w:rPr>
        <w:t>Opposed application</w:t>
      </w:r>
    </w:p>
    <w:p w14:paraId="2AC68073" w14:textId="77777777" w:rsidR="00AD5D39" w:rsidRPr="00AD5D39" w:rsidRDefault="00AD5D39" w:rsidP="00864275">
      <w:pPr>
        <w:spacing w:line="360" w:lineRule="auto"/>
        <w:jc w:val="both"/>
        <w:rPr>
          <w:rFonts w:ascii="Times New Roman" w:hAnsi="Times New Roman" w:cs="Times New Roman"/>
          <w:sz w:val="24"/>
          <w:szCs w:val="24"/>
        </w:rPr>
      </w:pPr>
    </w:p>
    <w:p w14:paraId="519398E8" w14:textId="6F304B52" w:rsidR="00AD5D39" w:rsidRPr="008D639E" w:rsidRDefault="00AD5D39" w:rsidP="008D639E">
      <w:pPr>
        <w:pStyle w:val="NoSpacing"/>
        <w:rPr>
          <w:rFonts w:ascii="Times New Roman" w:hAnsi="Times New Roman" w:cs="Times New Roman"/>
          <w:sz w:val="24"/>
          <w:szCs w:val="24"/>
        </w:rPr>
      </w:pPr>
      <w:r w:rsidRPr="008D639E">
        <w:rPr>
          <w:rFonts w:ascii="Times New Roman" w:hAnsi="Times New Roman" w:cs="Times New Roman"/>
          <w:i/>
          <w:iCs/>
          <w:sz w:val="24"/>
          <w:szCs w:val="24"/>
        </w:rPr>
        <w:t>R.G. Zhuwarara</w:t>
      </w:r>
      <w:r w:rsidRPr="008D639E">
        <w:rPr>
          <w:rFonts w:ascii="Times New Roman" w:hAnsi="Times New Roman" w:cs="Times New Roman"/>
          <w:sz w:val="24"/>
          <w:szCs w:val="24"/>
        </w:rPr>
        <w:t xml:space="preserve"> for applicant</w:t>
      </w:r>
    </w:p>
    <w:p w14:paraId="53BDC88A" w14:textId="2FC6D576" w:rsidR="00AD5D39" w:rsidRPr="008D639E" w:rsidRDefault="00AD5D39" w:rsidP="008D639E">
      <w:pPr>
        <w:pStyle w:val="NoSpacing"/>
        <w:rPr>
          <w:rFonts w:ascii="Times New Roman" w:hAnsi="Times New Roman" w:cs="Times New Roman"/>
          <w:sz w:val="24"/>
          <w:szCs w:val="24"/>
        </w:rPr>
      </w:pPr>
      <w:r w:rsidRPr="008D639E">
        <w:rPr>
          <w:rFonts w:ascii="Times New Roman" w:hAnsi="Times New Roman" w:cs="Times New Roman"/>
          <w:i/>
          <w:iCs/>
          <w:sz w:val="24"/>
          <w:szCs w:val="24"/>
        </w:rPr>
        <w:t>H. Madzongwe</w:t>
      </w:r>
      <w:r w:rsidRPr="008D639E">
        <w:rPr>
          <w:rFonts w:ascii="Times New Roman" w:hAnsi="Times New Roman" w:cs="Times New Roman"/>
          <w:sz w:val="24"/>
          <w:szCs w:val="24"/>
        </w:rPr>
        <w:t xml:space="preserve"> for first respondent</w:t>
      </w:r>
    </w:p>
    <w:p w14:paraId="1CF6BB77" w14:textId="610DF301" w:rsidR="00AD5D39" w:rsidRPr="008D639E" w:rsidRDefault="00AD5D39" w:rsidP="008D639E">
      <w:pPr>
        <w:pStyle w:val="NoSpacing"/>
        <w:rPr>
          <w:rFonts w:ascii="Times New Roman" w:hAnsi="Times New Roman" w:cs="Times New Roman"/>
          <w:sz w:val="24"/>
          <w:szCs w:val="24"/>
        </w:rPr>
      </w:pPr>
      <w:r w:rsidRPr="008D639E">
        <w:rPr>
          <w:rFonts w:ascii="Times New Roman" w:hAnsi="Times New Roman" w:cs="Times New Roman"/>
          <w:i/>
          <w:iCs/>
          <w:sz w:val="24"/>
          <w:szCs w:val="24"/>
        </w:rPr>
        <w:t>S.T. Mutema</w:t>
      </w:r>
      <w:r w:rsidRPr="008D639E">
        <w:rPr>
          <w:rFonts w:ascii="Times New Roman" w:hAnsi="Times New Roman" w:cs="Times New Roman"/>
          <w:sz w:val="24"/>
          <w:szCs w:val="24"/>
        </w:rPr>
        <w:t xml:space="preserve"> for second and third respondent</w:t>
      </w:r>
    </w:p>
    <w:p w14:paraId="466EAF1D" w14:textId="4FA6288D" w:rsidR="00D53EFE" w:rsidRPr="00AD5D39" w:rsidRDefault="00D53EFE" w:rsidP="008D639E">
      <w:pPr>
        <w:pStyle w:val="NoSpacing"/>
      </w:pPr>
      <w:r w:rsidRPr="008D639E">
        <w:rPr>
          <w:rFonts w:ascii="Times New Roman" w:hAnsi="Times New Roman" w:cs="Times New Roman"/>
          <w:sz w:val="24"/>
          <w:szCs w:val="24"/>
        </w:rPr>
        <w:t>No appearance by fourth respondent</w:t>
      </w:r>
      <w:r>
        <w:t xml:space="preserve">  </w:t>
      </w:r>
    </w:p>
    <w:p w14:paraId="474B84E2" w14:textId="77777777" w:rsidR="009F19BE" w:rsidRDefault="009F19BE" w:rsidP="00864275">
      <w:pPr>
        <w:spacing w:line="360" w:lineRule="auto"/>
        <w:jc w:val="both"/>
        <w:rPr>
          <w:rFonts w:ascii="Times New Roman" w:hAnsi="Times New Roman" w:cs="Times New Roman"/>
          <w:sz w:val="24"/>
          <w:szCs w:val="24"/>
        </w:rPr>
      </w:pPr>
    </w:p>
    <w:p w14:paraId="28E61C46" w14:textId="04B9DA07" w:rsidR="00AD5D39" w:rsidRDefault="004B2F00"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CHILIMBE J</w:t>
      </w:r>
    </w:p>
    <w:p w14:paraId="08E69876" w14:textId="081C3BD2" w:rsidR="004B2F00" w:rsidRDefault="004B2F00"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BACKGROUND</w:t>
      </w:r>
    </w:p>
    <w:p w14:paraId="2187913E" w14:textId="77777777" w:rsidR="008D639E" w:rsidRDefault="0029136E"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8D639E">
        <w:rPr>
          <w:rFonts w:ascii="Times New Roman" w:hAnsi="Times New Roman" w:cs="Times New Roman"/>
          <w:sz w:val="24"/>
          <w:szCs w:val="24"/>
        </w:rPr>
        <w:t>The two matters HC 6353/21 and 6649/21 were consolidated with the consent of the parties. I</w:t>
      </w:r>
      <w:r>
        <w:rPr>
          <w:rFonts w:ascii="Times New Roman" w:hAnsi="Times New Roman" w:cs="Times New Roman"/>
          <w:sz w:val="24"/>
          <w:szCs w:val="24"/>
        </w:rPr>
        <w:t xml:space="preserve"> invited the parties to file supplementary heads of argument addressing the </w:t>
      </w:r>
      <w:r w:rsidR="002662B4">
        <w:rPr>
          <w:rFonts w:ascii="Times New Roman" w:hAnsi="Times New Roman" w:cs="Times New Roman"/>
          <w:sz w:val="24"/>
          <w:szCs w:val="24"/>
        </w:rPr>
        <w:t xml:space="preserve">opposition </w:t>
      </w:r>
      <w:r w:rsidR="008D639E">
        <w:rPr>
          <w:rFonts w:ascii="Times New Roman" w:hAnsi="Times New Roman" w:cs="Times New Roman"/>
          <w:sz w:val="24"/>
          <w:szCs w:val="24"/>
        </w:rPr>
        <w:t>under HC 6649/21.</w:t>
      </w:r>
    </w:p>
    <w:p w14:paraId="54934E40" w14:textId="6AC4D0A0" w:rsidR="00864275" w:rsidRDefault="008D639E"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 The</w:t>
      </w:r>
      <w:r w:rsidR="002662B4">
        <w:rPr>
          <w:rFonts w:ascii="Times New Roman" w:hAnsi="Times New Roman" w:cs="Times New Roman"/>
          <w:sz w:val="24"/>
          <w:szCs w:val="24"/>
        </w:rPr>
        <w:t xml:space="preserve"> inquiry was triggered by the fact that papers filed in opposition by second and third respondents essentially supported in material respects, the application and relied sought by applicant</w:t>
      </w:r>
      <w:r>
        <w:rPr>
          <w:rFonts w:ascii="Times New Roman" w:hAnsi="Times New Roman" w:cs="Times New Roman"/>
          <w:sz w:val="24"/>
          <w:szCs w:val="24"/>
        </w:rPr>
        <w:t xml:space="preserve"> under HC 6649/</w:t>
      </w:r>
      <w:r w:rsidR="00522E22">
        <w:rPr>
          <w:rFonts w:ascii="Times New Roman" w:hAnsi="Times New Roman" w:cs="Times New Roman"/>
          <w:sz w:val="24"/>
          <w:szCs w:val="24"/>
        </w:rPr>
        <w:t>21. I</w:t>
      </w:r>
      <w:r>
        <w:rPr>
          <w:rFonts w:ascii="Times New Roman" w:hAnsi="Times New Roman" w:cs="Times New Roman"/>
          <w:sz w:val="24"/>
          <w:szCs w:val="24"/>
        </w:rPr>
        <w:t xml:space="preserve"> will thus focus on that part of the dispute in the ruling herein.</w:t>
      </w:r>
    </w:p>
    <w:p w14:paraId="15B62223" w14:textId="51E14FD1" w:rsidR="00864275" w:rsidRDefault="00864275"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THE DISPUTE</w:t>
      </w:r>
      <w:r w:rsidR="008D639E">
        <w:rPr>
          <w:rFonts w:ascii="Times New Roman" w:hAnsi="Times New Roman" w:cs="Times New Roman"/>
          <w:sz w:val="24"/>
          <w:szCs w:val="24"/>
        </w:rPr>
        <w:t>S</w:t>
      </w:r>
      <w:r>
        <w:rPr>
          <w:rFonts w:ascii="Times New Roman" w:hAnsi="Times New Roman" w:cs="Times New Roman"/>
          <w:sz w:val="24"/>
          <w:szCs w:val="24"/>
        </w:rPr>
        <w:t xml:space="preserve"> BEFORE THE COURT</w:t>
      </w:r>
    </w:p>
    <w:p w14:paraId="03286B5E" w14:textId="71AFE3B0" w:rsidR="00864275" w:rsidRDefault="00864275"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22E22">
        <w:rPr>
          <w:rFonts w:ascii="Times New Roman" w:hAnsi="Times New Roman" w:cs="Times New Roman"/>
          <w:sz w:val="24"/>
          <w:szCs w:val="24"/>
        </w:rPr>
        <w:t>3</w:t>
      </w:r>
      <w:r>
        <w:rPr>
          <w:rFonts w:ascii="Times New Roman" w:hAnsi="Times New Roman" w:cs="Times New Roman"/>
          <w:sz w:val="24"/>
          <w:szCs w:val="24"/>
        </w:rPr>
        <w:t xml:space="preserve">] </w:t>
      </w:r>
      <w:r w:rsidR="008D639E">
        <w:rPr>
          <w:rFonts w:ascii="Times New Roman" w:hAnsi="Times New Roman" w:cs="Times New Roman"/>
          <w:sz w:val="24"/>
          <w:szCs w:val="24"/>
        </w:rPr>
        <w:t>T</w:t>
      </w:r>
      <w:r>
        <w:rPr>
          <w:rFonts w:ascii="Times New Roman" w:hAnsi="Times New Roman" w:cs="Times New Roman"/>
          <w:sz w:val="24"/>
          <w:szCs w:val="24"/>
        </w:rPr>
        <w:t>he background goes thus; -</w:t>
      </w:r>
      <w:r w:rsidR="008D639E">
        <w:rPr>
          <w:rFonts w:ascii="Times New Roman" w:hAnsi="Times New Roman" w:cs="Times New Roman"/>
          <w:sz w:val="24"/>
          <w:szCs w:val="24"/>
        </w:rPr>
        <w:t>a</w:t>
      </w:r>
      <w:r w:rsidR="00220C74">
        <w:rPr>
          <w:rFonts w:ascii="Times New Roman" w:hAnsi="Times New Roman" w:cs="Times New Roman"/>
          <w:sz w:val="24"/>
          <w:szCs w:val="24"/>
        </w:rPr>
        <w:t>t the centre of the parties` dispute</w:t>
      </w:r>
      <w:r w:rsidR="008D639E">
        <w:rPr>
          <w:rFonts w:ascii="Times New Roman" w:hAnsi="Times New Roman" w:cs="Times New Roman"/>
          <w:sz w:val="24"/>
          <w:szCs w:val="24"/>
        </w:rPr>
        <w:t>s under both case numbers is</w:t>
      </w:r>
      <w:r w:rsidR="00220C74">
        <w:rPr>
          <w:rFonts w:ascii="Times New Roman" w:hAnsi="Times New Roman" w:cs="Times New Roman"/>
          <w:sz w:val="24"/>
          <w:szCs w:val="24"/>
        </w:rPr>
        <w:t xml:space="preserve"> third respondent company (“Godtrev Investments”) whose ownership and control is in issue. The main or leading contestants over that asset are basically applicant and first respondent, referred to herein as Mr Nzuma and Mr. Gororo respectively.</w:t>
      </w:r>
    </w:p>
    <w:p w14:paraId="428C5FB2" w14:textId="43163694" w:rsidR="00C9108E" w:rsidRDefault="00220C74"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[4] From the papers before me, second respondent Mr. Mugadza has basically associated himself with Mr. Nzuma. The board resolution authorising </w:t>
      </w:r>
      <w:r w:rsidR="00C9108E">
        <w:rPr>
          <w:rFonts w:ascii="Times New Roman" w:hAnsi="Times New Roman" w:cs="Times New Roman"/>
          <w:sz w:val="24"/>
          <w:szCs w:val="24"/>
        </w:rPr>
        <w:t>Mr. Mugadza</w:t>
      </w:r>
      <w:r>
        <w:rPr>
          <w:rFonts w:ascii="Times New Roman" w:hAnsi="Times New Roman" w:cs="Times New Roman"/>
          <w:sz w:val="24"/>
          <w:szCs w:val="24"/>
        </w:rPr>
        <w:t xml:space="preserve"> to </w:t>
      </w:r>
      <w:r w:rsidR="00C9108E">
        <w:rPr>
          <w:rFonts w:ascii="Times New Roman" w:hAnsi="Times New Roman" w:cs="Times New Roman"/>
          <w:sz w:val="24"/>
          <w:szCs w:val="24"/>
        </w:rPr>
        <w:t>represent Godtrev</w:t>
      </w:r>
      <w:r>
        <w:rPr>
          <w:rFonts w:ascii="Times New Roman" w:hAnsi="Times New Roman" w:cs="Times New Roman"/>
          <w:sz w:val="24"/>
          <w:szCs w:val="24"/>
        </w:rPr>
        <w:t xml:space="preserve"> Investments herein was </w:t>
      </w:r>
      <w:r w:rsidR="00C9108E">
        <w:rPr>
          <w:rFonts w:ascii="Times New Roman" w:hAnsi="Times New Roman" w:cs="Times New Roman"/>
          <w:sz w:val="24"/>
          <w:szCs w:val="24"/>
        </w:rPr>
        <w:t xml:space="preserve">issued by one Godfree Nzuma. This person purported to be a director and secretary of Godtrev Investments. </w:t>
      </w:r>
    </w:p>
    <w:p w14:paraId="3FAC4CFF" w14:textId="538047C0" w:rsidR="00C51311" w:rsidRDefault="00C9108E"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[5] It is not clear whether </w:t>
      </w:r>
      <w:r w:rsidRPr="00C9108E">
        <w:rPr>
          <w:rFonts w:ascii="Times New Roman" w:hAnsi="Times New Roman" w:cs="Times New Roman"/>
          <w:i/>
          <w:iCs/>
          <w:sz w:val="24"/>
          <w:szCs w:val="24"/>
        </w:rPr>
        <w:t>Godfree Nzuma</w:t>
      </w:r>
      <w:r>
        <w:rPr>
          <w:rFonts w:ascii="Times New Roman" w:hAnsi="Times New Roman" w:cs="Times New Roman"/>
          <w:sz w:val="24"/>
          <w:szCs w:val="24"/>
        </w:rPr>
        <w:t xml:space="preserve"> is the same </w:t>
      </w:r>
      <w:r w:rsidRPr="00C9108E">
        <w:rPr>
          <w:rFonts w:ascii="Times New Roman" w:hAnsi="Times New Roman" w:cs="Times New Roman"/>
          <w:i/>
          <w:iCs/>
          <w:sz w:val="24"/>
          <w:szCs w:val="24"/>
        </w:rPr>
        <w:t>Godfrey Nzuma</w:t>
      </w:r>
      <w:r>
        <w:rPr>
          <w:rFonts w:ascii="Times New Roman" w:hAnsi="Times New Roman" w:cs="Times New Roman"/>
          <w:sz w:val="24"/>
          <w:szCs w:val="24"/>
        </w:rPr>
        <w:t xml:space="preserve">, the applicant herein. The likelihood is high. As noted, Mr. Mugadza is not opposing the relief sought. He proceeded, to fully support and attest to the correctness of the cause of Mr. Nzuma herein. </w:t>
      </w:r>
    </w:p>
    <w:p w14:paraId="4C3F9E7A" w14:textId="5BA0F506" w:rsidR="00C51311" w:rsidRPr="00C51311" w:rsidRDefault="00C51311" w:rsidP="00C51311">
      <w:pPr>
        <w:spacing w:line="360" w:lineRule="auto"/>
        <w:jc w:val="both"/>
        <w:rPr>
          <w:rFonts w:ascii="Times New Roman" w:hAnsi="Times New Roman" w:cs="Times New Roman"/>
          <w:sz w:val="24"/>
          <w:szCs w:val="24"/>
        </w:rPr>
      </w:pPr>
      <w:r>
        <w:rPr>
          <w:rFonts w:ascii="Times New Roman" w:hAnsi="Times New Roman" w:cs="Times New Roman"/>
          <w:sz w:val="24"/>
          <w:szCs w:val="24"/>
        </w:rPr>
        <w:t>[6] For completeness, applicant herein seeks an order under HC 6649/21</w:t>
      </w:r>
      <w:r w:rsidR="00311DB3">
        <w:rPr>
          <w:rFonts w:ascii="Times New Roman" w:hAnsi="Times New Roman" w:cs="Times New Roman"/>
          <w:sz w:val="24"/>
          <w:szCs w:val="24"/>
        </w:rPr>
        <w:t>directing the</w:t>
      </w:r>
      <w:r w:rsidR="006C62C2">
        <w:rPr>
          <w:rFonts w:ascii="Times New Roman" w:hAnsi="Times New Roman" w:cs="Times New Roman"/>
          <w:sz w:val="24"/>
          <w:szCs w:val="24"/>
        </w:rPr>
        <w:t xml:space="preserve"> fourth respondent to </w:t>
      </w:r>
      <w:r w:rsidR="00311DB3">
        <w:rPr>
          <w:rFonts w:ascii="Times New Roman" w:hAnsi="Times New Roman" w:cs="Times New Roman"/>
          <w:sz w:val="24"/>
          <w:szCs w:val="24"/>
        </w:rPr>
        <w:t>cancel share</w:t>
      </w:r>
      <w:r w:rsidR="006C62C2">
        <w:rPr>
          <w:rFonts w:ascii="Times New Roman" w:hAnsi="Times New Roman" w:cs="Times New Roman"/>
          <w:sz w:val="24"/>
          <w:szCs w:val="24"/>
        </w:rPr>
        <w:t xml:space="preserve"> certificates allotted to second </w:t>
      </w:r>
      <w:r w:rsidR="00311DB3">
        <w:rPr>
          <w:rFonts w:ascii="Times New Roman" w:hAnsi="Times New Roman" w:cs="Times New Roman"/>
          <w:sz w:val="24"/>
          <w:szCs w:val="24"/>
        </w:rPr>
        <w:t>respondent. The</w:t>
      </w:r>
      <w:r w:rsidR="006C62C2">
        <w:rPr>
          <w:rFonts w:ascii="Times New Roman" w:hAnsi="Times New Roman" w:cs="Times New Roman"/>
          <w:sz w:val="24"/>
          <w:szCs w:val="24"/>
        </w:rPr>
        <w:t xml:space="preserve"> relief is pursued under the aegis of s 62 of the </w:t>
      </w:r>
      <w:r w:rsidRPr="00C51311">
        <w:rPr>
          <w:rFonts w:ascii="Times New Roman" w:hAnsi="Times New Roman" w:cs="Times New Roman"/>
          <w:sz w:val="24"/>
          <w:szCs w:val="24"/>
        </w:rPr>
        <w:t>Companies and Other Businesses Act [ Chapter 24:31] (Coba).</w:t>
      </w:r>
    </w:p>
    <w:p w14:paraId="76E2BC53" w14:textId="3FAF852A" w:rsidR="00C51311" w:rsidRDefault="00C51311" w:rsidP="00864275">
      <w:pPr>
        <w:spacing w:line="360" w:lineRule="auto"/>
        <w:jc w:val="both"/>
        <w:rPr>
          <w:rFonts w:ascii="Times New Roman" w:hAnsi="Times New Roman" w:cs="Times New Roman"/>
          <w:sz w:val="24"/>
          <w:szCs w:val="24"/>
        </w:rPr>
      </w:pPr>
    </w:p>
    <w:p w14:paraId="10DB474C" w14:textId="077867AF" w:rsidR="00C9108E" w:rsidRDefault="00C9108E"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IS THERE A VALID OPPOSITION BY SECOND AND THIRD RESPONDENTS?</w:t>
      </w:r>
    </w:p>
    <w:p w14:paraId="1D2B1D3B" w14:textId="12FA1774" w:rsidR="00C9108E" w:rsidRDefault="00C9108E"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C62C2">
        <w:rPr>
          <w:rFonts w:ascii="Times New Roman" w:hAnsi="Times New Roman" w:cs="Times New Roman"/>
          <w:sz w:val="24"/>
          <w:szCs w:val="24"/>
        </w:rPr>
        <w:t>7</w:t>
      </w:r>
      <w:r>
        <w:rPr>
          <w:rFonts w:ascii="Times New Roman" w:hAnsi="Times New Roman" w:cs="Times New Roman"/>
          <w:sz w:val="24"/>
          <w:szCs w:val="24"/>
        </w:rPr>
        <w:t xml:space="preserve">] In the supplementary written submissions filed by the parties, the arguments went as </w:t>
      </w:r>
      <w:r w:rsidR="007E71A9">
        <w:rPr>
          <w:rFonts w:ascii="Times New Roman" w:hAnsi="Times New Roman" w:cs="Times New Roman"/>
          <w:sz w:val="24"/>
          <w:szCs w:val="24"/>
        </w:rPr>
        <w:t>follows. Firstly, applicant stated in paragraph 35 of its written submissions (filed on 20 February 2023) that; -</w:t>
      </w:r>
      <w:r w:rsidR="00C51311">
        <w:rPr>
          <w:rFonts w:ascii="Times New Roman" w:hAnsi="Times New Roman" w:cs="Times New Roman"/>
          <w:sz w:val="24"/>
          <w:szCs w:val="24"/>
        </w:rPr>
        <w:t xml:space="preserve"> </w:t>
      </w:r>
    </w:p>
    <w:p w14:paraId="6B7295E3" w14:textId="2AD4A6D3" w:rsidR="007E71A9" w:rsidRPr="00C51311" w:rsidRDefault="007E71A9" w:rsidP="00C51311">
      <w:pPr>
        <w:spacing w:line="360" w:lineRule="auto"/>
        <w:ind w:left="1134"/>
        <w:jc w:val="both"/>
        <w:rPr>
          <w:rFonts w:ascii="Times New Roman" w:hAnsi="Times New Roman" w:cs="Times New Roman"/>
          <w:i/>
          <w:iCs/>
          <w:sz w:val="24"/>
          <w:szCs w:val="24"/>
        </w:rPr>
      </w:pPr>
      <w:r w:rsidRPr="00C51311">
        <w:rPr>
          <w:rFonts w:ascii="Times New Roman" w:hAnsi="Times New Roman" w:cs="Times New Roman"/>
          <w:i/>
          <w:iCs/>
          <w:sz w:val="24"/>
          <w:szCs w:val="24"/>
        </w:rPr>
        <w:t>“Having considered the submissions advanced by the 2</w:t>
      </w:r>
      <w:r w:rsidRPr="00C51311">
        <w:rPr>
          <w:rFonts w:ascii="Times New Roman" w:hAnsi="Times New Roman" w:cs="Times New Roman"/>
          <w:i/>
          <w:iCs/>
          <w:sz w:val="24"/>
          <w:szCs w:val="24"/>
          <w:vertAlign w:val="superscript"/>
        </w:rPr>
        <w:t>nd</w:t>
      </w:r>
      <w:r w:rsidRPr="00C51311">
        <w:rPr>
          <w:rFonts w:ascii="Times New Roman" w:hAnsi="Times New Roman" w:cs="Times New Roman"/>
          <w:i/>
          <w:iCs/>
          <w:sz w:val="24"/>
          <w:szCs w:val="24"/>
        </w:rPr>
        <w:t xml:space="preserve"> and 3</w:t>
      </w:r>
      <w:r w:rsidRPr="00C51311">
        <w:rPr>
          <w:rFonts w:ascii="Times New Roman" w:hAnsi="Times New Roman" w:cs="Times New Roman"/>
          <w:i/>
          <w:iCs/>
          <w:sz w:val="24"/>
          <w:szCs w:val="24"/>
          <w:vertAlign w:val="superscript"/>
        </w:rPr>
        <w:t>rd</w:t>
      </w:r>
      <w:r w:rsidRPr="00C51311">
        <w:rPr>
          <w:rFonts w:ascii="Times New Roman" w:hAnsi="Times New Roman" w:cs="Times New Roman"/>
          <w:i/>
          <w:iCs/>
          <w:sz w:val="24"/>
          <w:szCs w:val="24"/>
        </w:rPr>
        <w:t xml:space="preserve"> Respondents, the Applicant can do no better than simply abiding by the submissions advanced therein.”</w:t>
      </w:r>
    </w:p>
    <w:p w14:paraId="1C2777F8" w14:textId="1F9842C9" w:rsidR="00864747" w:rsidRDefault="007E71A9"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62C2">
        <w:rPr>
          <w:rFonts w:ascii="Times New Roman" w:hAnsi="Times New Roman" w:cs="Times New Roman"/>
          <w:sz w:val="24"/>
          <w:szCs w:val="24"/>
        </w:rPr>
        <w:t>8</w:t>
      </w:r>
      <w:r>
        <w:rPr>
          <w:rFonts w:ascii="Times New Roman" w:hAnsi="Times New Roman" w:cs="Times New Roman"/>
          <w:sz w:val="24"/>
          <w:szCs w:val="24"/>
        </w:rPr>
        <w:t xml:space="preserve">] Secondly, the arguments on behalf of second and third respondent were that their opposition was valid. It was not disputed that </w:t>
      </w:r>
      <w:r w:rsidR="00864747">
        <w:rPr>
          <w:rFonts w:ascii="Times New Roman" w:hAnsi="Times New Roman" w:cs="Times New Roman"/>
          <w:sz w:val="24"/>
          <w:szCs w:val="24"/>
        </w:rPr>
        <w:t>Mr. Tavaziva</w:t>
      </w:r>
      <w:r>
        <w:rPr>
          <w:rFonts w:ascii="Times New Roman" w:hAnsi="Times New Roman" w:cs="Times New Roman"/>
          <w:sz w:val="24"/>
          <w:szCs w:val="24"/>
        </w:rPr>
        <w:t xml:space="preserve"> and Godtrev </w:t>
      </w:r>
      <w:r w:rsidR="00864747">
        <w:rPr>
          <w:rFonts w:ascii="Times New Roman" w:hAnsi="Times New Roman" w:cs="Times New Roman"/>
          <w:sz w:val="24"/>
          <w:szCs w:val="24"/>
        </w:rPr>
        <w:t xml:space="preserve">did not oppose the relief sought. </w:t>
      </w:r>
      <w:r w:rsidR="00864747">
        <w:rPr>
          <w:rFonts w:ascii="Times New Roman" w:hAnsi="Times New Roman" w:cs="Times New Roman"/>
          <w:sz w:val="24"/>
          <w:szCs w:val="24"/>
        </w:rPr>
        <w:lastRenderedPageBreak/>
        <w:t>It was contended that as parties cited in legal proceedings, the two had a right to present a position addressing their interest.</w:t>
      </w:r>
      <w:r>
        <w:rPr>
          <w:rFonts w:ascii="Times New Roman" w:hAnsi="Times New Roman" w:cs="Times New Roman"/>
          <w:sz w:val="24"/>
          <w:szCs w:val="24"/>
        </w:rPr>
        <w:t xml:space="preserve"> </w:t>
      </w:r>
    </w:p>
    <w:p w14:paraId="4D014F2A" w14:textId="4EA0A1F3" w:rsidR="003201F5" w:rsidRDefault="00864747"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C62C2">
        <w:rPr>
          <w:rFonts w:ascii="Times New Roman" w:hAnsi="Times New Roman" w:cs="Times New Roman"/>
          <w:sz w:val="24"/>
          <w:szCs w:val="24"/>
        </w:rPr>
        <w:t>9</w:t>
      </w:r>
      <w:r>
        <w:rPr>
          <w:rFonts w:ascii="Times New Roman" w:hAnsi="Times New Roman" w:cs="Times New Roman"/>
          <w:sz w:val="24"/>
          <w:szCs w:val="24"/>
        </w:rPr>
        <w:t xml:space="preserve">] My attention was drawn to r 58 of the High Court Rules, 2021.The argument being that second and third respondent met the requirements of that rule. and the requirements therein of a valid opposition. </w:t>
      </w:r>
      <w:r w:rsidR="00C70010">
        <w:rPr>
          <w:rFonts w:ascii="Times New Roman" w:hAnsi="Times New Roman" w:cs="Times New Roman"/>
          <w:sz w:val="24"/>
          <w:szCs w:val="24"/>
        </w:rPr>
        <w:t xml:space="preserve">It was further contended that </w:t>
      </w:r>
      <w:r w:rsidR="00E00F8E">
        <w:rPr>
          <w:rFonts w:ascii="Times New Roman" w:hAnsi="Times New Roman" w:cs="Times New Roman"/>
          <w:sz w:val="24"/>
          <w:szCs w:val="24"/>
        </w:rPr>
        <w:t xml:space="preserve">a party cited in legal proceedings must be accorded an opportunity, as part of the right to be heard, to make </w:t>
      </w:r>
      <w:r w:rsidR="003201F5">
        <w:rPr>
          <w:rFonts w:ascii="Times New Roman" w:hAnsi="Times New Roman" w:cs="Times New Roman"/>
          <w:sz w:val="24"/>
          <w:szCs w:val="24"/>
        </w:rPr>
        <w:t>representations.</w:t>
      </w:r>
    </w:p>
    <w:p w14:paraId="6A1EE81F" w14:textId="4EB9B659" w:rsidR="00864747" w:rsidRDefault="003201F5"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6C62C2">
        <w:rPr>
          <w:rFonts w:ascii="Times New Roman" w:hAnsi="Times New Roman" w:cs="Times New Roman"/>
          <w:sz w:val="24"/>
          <w:szCs w:val="24"/>
        </w:rPr>
        <w:t>10</w:t>
      </w:r>
      <w:r>
        <w:rPr>
          <w:rFonts w:ascii="Times New Roman" w:hAnsi="Times New Roman" w:cs="Times New Roman"/>
          <w:sz w:val="24"/>
          <w:szCs w:val="24"/>
        </w:rPr>
        <w:t xml:space="preserve">] Cited in support of this conclusion were; </w:t>
      </w:r>
      <w:r w:rsidRPr="00FC3C23">
        <w:rPr>
          <w:rFonts w:ascii="Times New Roman" w:hAnsi="Times New Roman" w:cs="Times New Roman"/>
          <w:i/>
          <w:iCs/>
          <w:sz w:val="24"/>
          <w:szCs w:val="24"/>
        </w:rPr>
        <w:t>Peter Valentine</w:t>
      </w:r>
      <w:r w:rsidR="00E00F8E" w:rsidRPr="00FC3C23">
        <w:rPr>
          <w:rFonts w:ascii="Times New Roman" w:hAnsi="Times New Roman" w:cs="Times New Roman"/>
          <w:i/>
          <w:iCs/>
          <w:sz w:val="24"/>
          <w:szCs w:val="24"/>
        </w:rPr>
        <w:t xml:space="preserve"> v Mydale International Marketing (Pvt) </w:t>
      </w:r>
      <w:r w:rsidRPr="00FC3C23">
        <w:rPr>
          <w:rFonts w:ascii="Times New Roman" w:hAnsi="Times New Roman" w:cs="Times New Roman"/>
          <w:i/>
          <w:iCs/>
          <w:sz w:val="24"/>
          <w:szCs w:val="24"/>
        </w:rPr>
        <w:t>Ltd and Anor</w:t>
      </w:r>
      <w:r>
        <w:rPr>
          <w:rFonts w:ascii="Times New Roman" w:hAnsi="Times New Roman" w:cs="Times New Roman"/>
          <w:sz w:val="24"/>
          <w:szCs w:val="24"/>
        </w:rPr>
        <w:t xml:space="preserve"> </w:t>
      </w:r>
      <w:r w:rsidR="00E00F8E" w:rsidRPr="003201F5">
        <w:rPr>
          <w:rFonts w:ascii="Times New Roman" w:hAnsi="Times New Roman" w:cs="Times New Roman"/>
          <w:sz w:val="24"/>
          <w:szCs w:val="24"/>
        </w:rPr>
        <w:t>HH</w:t>
      </w:r>
      <w:r w:rsidR="00E00F8E">
        <w:rPr>
          <w:rFonts w:ascii="Times New Roman" w:hAnsi="Times New Roman" w:cs="Times New Roman"/>
          <w:sz w:val="24"/>
          <w:szCs w:val="24"/>
        </w:rPr>
        <w:t xml:space="preserve"> </w:t>
      </w:r>
      <w:r>
        <w:rPr>
          <w:rFonts w:ascii="Times New Roman" w:hAnsi="Times New Roman" w:cs="Times New Roman"/>
          <w:sz w:val="24"/>
          <w:szCs w:val="24"/>
        </w:rPr>
        <w:t xml:space="preserve">233-17; </w:t>
      </w:r>
      <w:bookmarkStart w:id="1" w:name="_Hlk141635941"/>
      <w:r w:rsidRPr="00FC3C23">
        <w:rPr>
          <w:rFonts w:ascii="Times New Roman" w:hAnsi="Times New Roman" w:cs="Times New Roman"/>
          <w:i/>
          <w:iCs/>
          <w:sz w:val="24"/>
          <w:szCs w:val="24"/>
        </w:rPr>
        <w:t>Dhliwayo v Warman Zimbabwe (Pvt) Ltd and 2 Ors</w:t>
      </w:r>
      <w:bookmarkEnd w:id="1"/>
      <w:r>
        <w:rPr>
          <w:rFonts w:ascii="Times New Roman" w:hAnsi="Times New Roman" w:cs="Times New Roman"/>
          <w:sz w:val="24"/>
          <w:szCs w:val="24"/>
        </w:rPr>
        <w:t xml:space="preserve"> HB 12-22; </w:t>
      </w:r>
      <w:r w:rsidRPr="005C40C4">
        <w:rPr>
          <w:rFonts w:ascii="Times New Roman" w:hAnsi="Times New Roman" w:cs="Times New Roman"/>
          <w:i/>
          <w:iCs/>
          <w:sz w:val="24"/>
          <w:szCs w:val="24"/>
        </w:rPr>
        <w:t>Drum City (Pvt) Ltd v Garudzo</w:t>
      </w:r>
      <w:r>
        <w:rPr>
          <w:rFonts w:ascii="Times New Roman" w:hAnsi="Times New Roman" w:cs="Times New Roman"/>
          <w:sz w:val="24"/>
          <w:szCs w:val="24"/>
        </w:rPr>
        <w:t xml:space="preserve"> SC 57-18 and </w:t>
      </w:r>
      <w:bookmarkStart w:id="2" w:name="_Hlk141636790"/>
      <w:r w:rsidRPr="005C40C4">
        <w:rPr>
          <w:rFonts w:ascii="Times New Roman" w:hAnsi="Times New Roman" w:cs="Times New Roman"/>
          <w:i/>
          <w:iCs/>
          <w:sz w:val="24"/>
          <w:szCs w:val="24"/>
        </w:rPr>
        <w:t>Parkham v Adhesive Products</w:t>
      </w:r>
      <w:r>
        <w:rPr>
          <w:rFonts w:ascii="Times New Roman" w:hAnsi="Times New Roman" w:cs="Times New Roman"/>
          <w:sz w:val="24"/>
          <w:szCs w:val="24"/>
        </w:rPr>
        <w:t xml:space="preserve"> </w:t>
      </w:r>
      <w:bookmarkEnd w:id="2"/>
      <w:r>
        <w:rPr>
          <w:rFonts w:ascii="Times New Roman" w:hAnsi="Times New Roman" w:cs="Times New Roman"/>
          <w:sz w:val="24"/>
          <w:szCs w:val="24"/>
        </w:rPr>
        <w:t>SC 100-21. I will return to these authorities shortly.</w:t>
      </w:r>
    </w:p>
    <w:p w14:paraId="2036F0E0" w14:textId="0D602E97" w:rsidR="003201F5" w:rsidRDefault="003201F5"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5810DF">
        <w:rPr>
          <w:rFonts w:ascii="Times New Roman" w:hAnsi="Times New Roman" w:cs="Times New Roman"/>
          <w:sz w:val="24"/>
          <w:szCs w:val="24"/>
        </w:rPr>
        <w:t>1</w:t>
      </w:r>
      <w:r w:rsidR="006C62C2">
        <w:rPr>
          <w:rFonts w:ascii="Times New Roman" w:hAnsi="Times New Roman" w:cs="Times New Roman"/>
          <w:sz w:val="24"/>
          <w:szCs w:val="24"/>
        </w:rPr>
        <w:t>1</w:t>
      </w:r>
      <w:r w:rsidR="005810DF">
        <w:rPr>
          <w:rFonts w:ascii="Times New Roman" w:hAnsi="Times New Roman" w:cs="Times New Roman"/>
          <w:sz w:val="24"/>
          <w:szCs w:val="24"/>
        </w:rPr>
        <w:t>]</w:t>
      </w:r>
      <w:r>
        <w:rPr>
          <w:rFonts w:ascii="Times New Roman" w:hAnsi="Times New Roman" w:cs="Times New Roman"/>
          <w:sz w:val="24"/>
          <w:szCs w:val="24"/>
        </w:rPr>
        <w:t xml:space="preserve"> Finally, second and third respondents distinguished the circumstances of present matter from those </w:t>
      </w:r>
      <w:r w:rsidR="005810DF">
        <w:rPr>
          <w:rFonts w:ascii="Times New Roman" w:hAnsi="Times New Roman" w:cs="Times New Roman"/>
          <w:sz w:val="24"/>
          <w:szCs w:val="24"/>
        </w:rPr>
        <w:t xml:space="preserve">in the Constitutional Court </w:t>
      </w:r>
      <w:r w:rsidR="0006591B">
        <w:rPr>
          <w:rFonts w:ascii="Times New Roman" w:hAnsi="Times New Roman" w:cs="Times New Roman"/>
          <w:sz w:val="24"/>
          <w:szCs w:val="24"/>
        </w:rPr>
        <w:t xml:space="preserve">decision of </w:t>
      </w:r>
      <w:r w:rsidR="0006591B" w:rsidRPr="00DA4977">
        <w:rPr>
          <w:rFonts w:ascii="Times New Roman" w:hAnsi="Times New Roman" w:cs="Times New Roman"/>
          <w:i/>
          <w:iCs/>
          <w:sz w:val="24"/>
          <w:szCs w:val="24"/>
        </w:rPr>
        <w:t>Chamisa</w:t>
      </w:r>
      <w:r w:rsidR="005810DF" w:rsidRPr="00DA4977">
        <w:rPr>
          <w:rFonts w:ascii="Times New Roman" w:hAnsi="Times New Roman" w:cs="Times New Roman"/>
          <w:i/>
          <w:iCs/>
          <w:sz w:val="24"/>
          <w:szCs w:val="24"/>
        </w:rPr>
        <w:t xml:space="preserve"> v Mnangagwa &amp; 24 Ors</w:t>
      </w:r>
      <w:r w:rsidR="005810DF" w:rsidRPr="005810DF">
        <w:rPr>
          <w:rFonts w:ascii="Times New Roman" w:hAnsi="Times New Roman" w:cs="Times New Roman"/>
          <w:sz w:val="24"/>
          <w:szCs w:val="24"/>
        </w:rPr>
        <w:t xml:space="preserve"> CC 21/</w:t>
      </w:r>
      <w:r w:rsidR="0006591B" w:rsidRPr="005810DF">
        <w:rPr>
          <w:rFonts w:ascii="Times New Roman" w:hAnsi="Times New Roman" w:cs="Times New Roman"/>
          <w:sz w:val="24"/>
          <w:szCs w:val="24"/>
        </w:rPr>
        <w:t>19</w:t>
      </w:r>
      <w:r w:rsidR="0006591B">
        <w:rPr>
          <w:rFonts w:ascii="Times New Roman" w:hAnsi="Times New Roman" w:cs="Times New Roman"/>
          <w:sz w:val="24"/>
          <w:szCs w:val="24"/>
        </w:rPr>
        <w:t>. To</w:t>
      </w:r>
      <w:r w:rsidR="005810DF">
        <w:rPr>
          <w:rFonts w:ascii="Times New Roman" w:hAnsi="Times New Roman" w:cs="Times New Roman"/>
          <w:sz w:val="24"/>
          <w:szCs w:val="24"/>
        </w:rPr>
        <w:t xml:space="preserve"> begin with, </w:t>
      </w:r>
      <w:r w:rsidR="005810DF" w:rsidRPr="00DA4977">
        <w:rPr>
          <w:rFonts w:ascii="Times New Roman" w:hAnsi="Times New Roman" w:cs="Times New Roman"/>
          <w:i/>
          <w:iCs/>
          <w:sz w:val="24"/>
          <w:szCs w:val="24"/>
        </w:rPr>
        <w:t>Chamisa v Mnangagwa</w:t>
      </w:r>
      <w:r w:rsidR="005810DF">
        <w:rPr>
          <w:rFonts w:ascii="Times New Roman" w:hAnsi="Times New Roman" w:cs="Times New Roman"/>
          <w:sz w:val="24"/>
          <w:szCs w:val="24"/>
        </w:rPr>
        <w:t xml:space="preserve"> dealt with the specific and explicit requirements of r 17 (2) of the Constitutional Court Rules </w:t>
      </w:r>
      <w:r w:rsidR="0006591B">
        <w:rPr>
          <w:rFonts w:ascii="Times New Roman" w:hAnsi="Times New Roman" w:cs="Times New Roman"/>
          <w:sz w:val="24"/>
          <w:szCs w:val="24"/>
        </w:rPr>
        <w:t>which provide that; -</w:t>
      </w:r>
    </w:p>
    <w:p w14:paraId="72692900" w14:textId="3F84DD7D" w:rsidR="00864747" w:rsidRDefault="0006591B" w:rsidP="0006591B">
      <w:pPr>
        <w:spacing w:line="360" w:lineRule="auto"/>
        <w:ind w:left="1134"/>
        <w:jc w:val="both"/>
        <w:rPr>
          <w:rFonts w:ascii="Times New Roman" w:hAnsi="Times New Roman" w:cs="Times New Roman"/>
          <w:sz w:val="24"/>
          <w:szCs w:val="24"/>
        </w:rPr>
      </w:pPr>
      <w:r w:rsidRPr="0006591B">
        <w:rPr>
          <w:rFonts w:ascii="Times New Roman" w:hAnsi="Times New Roman" w:cs="Times New Roman"/>
          <w:sz w:val="24"/>
          <w:szCs w:val="24"/>
        </w:rPr>
        <w:t>(2) The notice of opposition shall be supported by affidavit deposed by a person who can swear positively to the</w:t>
      </w:r>
      <w:r>
        <w:rPr>
          <w:rFonts w:ascii="Times New Roman" w:hAnsi="Times New Roman" w:cs="Times New Roman"/>
          <w:sz w:val="24"/>
          <w:szCs w:val="24"/>
        </w:rPr>
        <w:t xml:space="preserve"> </w:t>
      </w:r>
      <w:r w:rsidRPr="0006591B">
        <w:rPr>
          <w:rFonts w:ascii="Times New Roman" w:hAnsi="Times New Roman" w:cs="Times New Roman"/>
          <w:sz w:val="24"/>
          <w:szCs w:val="24"/>
        </w:rPr>
        <w:t>facts, which details the facts and the basis on which the respondent opposes the application, together with any</w:t>
      </w:r>
      <w:r>
        <w:rPr>
          <w:rFonts w:ascii="Times New Roman" w:hAnsi="Times New Roman" w:cs="Times New Roman"/>
          <w:sz w:val="24"/>
          <w:szCs w:val="24"/>
        </w:rPr>
        <w:t xml:space="preserve"> </w:t>
      </w:r>
      <w:r w:rsidRPr="0006591B">
        <w:rPr>
          <w:rFonts w:ascii="Times New Roman" w:hAnsi="Times New Roman" w:cs="Times New Roman"/>
          <w:sz w:val="24"/>
          <w:szCs w:val="24"/>
        </w:rPr>
        <w:t>supporting documents which are relevant.</w:t>
      </w:r>
    </w:p>
    <w:p w14:paraId="16E9B63D" w14:textId="08C77D3A" w:rsidR="0006591B" w:rsidRDefault="0006591B"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C62C2">
        <w:rPr>
          <w:rFonts w:ascii="Times New Roman" w:hAnsi="Times New Roman" w:cs="Times New Roman"/>
          <w:sz w:val="24"/>
          <w:szCs w:val="24"/>
        </w:rPr>
        <w:t>2</w:t>
      </w:r>
      <w:r>
        <w:rPr>
          <w:rFonts w:ascii="Times New Roman" w:hAnsi="Times New Roman" w:cs="Times New Roman"/>
          <w:sz w:val="24"/>
          <w:szCs w:val="24"/>
        </w:rPr>
        <w:t xml:space="preserve">] And on that point, it was submitted that the Constitutional Court in </w:t>
      </w:r>
      <w:r w:rsidRPr="00DA4977">
        <w:rPr>
          <w:rFonts w:ascii="Times New Roman" w:hAnsi="Times New Roman" w:cs="Times New Roman"/>
          <w:i/>
          <w:iCs/>
          <w:sz w:val="24"/>
          <w:szCs w:val="24"/>
        </w:rPr>
        <w:t xml:space="preserve">Chamisa v Mnangagwa </w:t>
      </w:r>
      <w:r>
        <w:rPr>
          <w:rFonts w:ascii="Times New Roman" w:hAnsi="Times New Roman" w:cs="Times New Roman"/>
          <w:sz w:val="24"/>
          <w:szCs w:val="24"/>
        </w:rPr>
        <w:t>made a specific finding based on r 17 (2) above in the following terms [ at page 27]; -</w:t>
      </w:r>
    </w:p>
    <w:p w14:paraId="1D6DFBAE" w14:textId="3C9082F6" w:rsidR="0006591B" w:rsidRPr="0006591B" w:rsidRDefault="0006591B" w:rsidP="0006591B">
      <w:pPr>
        <w:spacing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06591B">
        <w:rPr>
          <w:rFonts w:ascii="Times New Roman" w:hAnsi="Times New Roman" w:cs="Times New Roman"/>
          <w:sz w:val="24"/>
          <w:szCs w:val="24"/>
        </w:rPr>
        <w:t>When a person acts as a respondent in terms of r 17(2) of the Rules, he or she does so for the specific purpose of opposing the granting of the relief sought by the applicant and challenging the veracity of the grounds on which the application is based. He or she must meet the procedural and substantive requirements, compliance with which confers on a respondent the right to appear before the Court and be heard in his or her own cause</w:t>
      </w:r>
      <w:r>
        <w:rPr>
          <w:rFonts w:ascii="Times New Roman" w:hAnsi="Times New Roman" w:cs="Times New Roman"/>
          <w:sz w:val="24"/>
          <w:szCs w:val="24"/>
        </w:rPr>
        <w:t>”</w:t>
      </w:r>
      <w:r w:rsidRPr="0006591B">
        <w:rPr>
          <w:rFonts w:ascii="Times New Roman" w:hAnsi="Times New Roman" w:cs="Times New Roman"/>
          <w:sz w:val="24"/>
          <w:szCs w:val="24"/>
        </w:rPr>
        <w:t>.</w:t>
      </w:r>
    </w:p>
    <w:p w14:paraId="6A2EB715" w14:textId="10A02364" w:rsidR="0006591B" w:rsidRDefault="0006591B" w:rsidP="0006591B">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6C62C2">
        <w:rPr>
          <w:rFonts w:ascii="Times New Roman" w:hAnsi="Times New Roman" w:cs="Times New Roman"/>
          <w:sz w:val="24"/>
          <w:szCs w:val="24"/>
        </w:rPr>
        <w:t>3</w:t>
      </w:r>
      <w:r>
        <w:rPr>
          <w:rFonts w:ascii="Times New Roman" w:hAnsi="Times New Roman" w:cs="Times New Roman"/>
          <w:sz w:val="24"/>
          <w:szCs w:val="24"/>
        </w:rPr>
        <w:t xml:space="preserve">] It may also be added, for completeness, that the Constitutional Court in </w:t>
      </w:r>
      <w:r w:rsidRPr="00DA4977">
        <w:rPr>
          <w:rFonts w:ascii="Times New Roman" w:hAnsi="Times New Roman" w:cs="Times New Roman"/>
          <w:i/>
          <w:iCs/>
          <w:sz w:val="24"/>
          <w:szCs w:val="24"/>
        </w:rPr>
        <w:t>Chamisa v Mnangagwa</w:t>
      </w:r>
      <w:r>
        <w:rPr>
          <w:rFonts w:ascii="Times New Roman" w:hAnsi="Times New Roman" w:cs="Times New Roman"/>
          <w:sz w:val="24"/>
          <w:szCs w:val="24"/>
        </w:rPr>
        <w:t xml:space="preserve"> was concerned with a challenge, in </w:t>
      </w:r>
      <w:r w:rsidRPr="0006591B">
        <w:rPr>
          <w:rFonts w:ascii="Times New Roman" w:hAnsi="Times New Roman" w:cs="Times New Roman"/>
          <w:sz w:val="24"/>
          <w:szCs w:val="24"/>
        </w:rPr>
        <w:t xml:space="preserve">terms of s 93(1) of the Constitution of </w:t>
      </w:r>
      <w:r w:rsidRPr="0006591B">
        <w:rPr>
          <w:rFonts w:ascii="Times New Roman" w:hAnsi="Times New Roman" w:cs="Times New Roman"/>
          <w:sz w:val="24"/>
          <w:szCs w:val="24"/>
        </w:rPr>
        <w:lastRenderedPageBreak/>
        <w:t xml:space="preserve">Zimbabwe Amendment (No. 20) 2013 (“the Constitution”), </w:t>
      </w:r>
      <w:r>
        <w:rPr>
          <w:rFonts w:ascii="Times New Roman" w:hAnsi="Times New Roman" w:cs="Times New Roman"/>
          <w:sz w:val="24"/>
          <w:szCs w:val="24"/>
        </w:rPr>
        <w:t xml:space="preserve">to </w:t>
      </w:r>
      <w:r w:rsidRPr="0006591B">
        <w:rPr>
          <w:rFonts w:ascii="Times New Roman" w:hAnsi="Times New Roman" w:cs="Times New Roman"/>
          <w:sz w:val="24"/>
          <w:szCs w:val="24"/>
        </w:rPr>
        <w:t xml:space="preserve">the validity of the election of the first respondent </w:t>
      </w:r>
      <w:r>
        <w:rPr>
          <w:rFonts w:ascii="Times New Roman" w:hAnsi="Times New Roman" w:cs="Times New Roman"/>
          <w:sz w:val="24"/>
          <w:szCs w:val="24"/>
        </w:rPr>
        <w:t xml:space="preserve">therein </w:t>
      </w:r>
      <w:r w:rsidRPr="0006591B">
        <w:rPr>
          <w:rFonts w:ascii="Times New Roman" w:hAnsi="Times New Roman" w:cs="Times New Roman"/>
          <w:sz w:val="24"/>
          <w:szCs w:val="24"/>
        </w:rPr>
        <w:t xml:space="preserve">as </w:t>
      </w:r>
      <w:r w:rsidR="00DA4977" w:rsidRPr="0006591B">
        <w:rPr>
          <w:rFonts w:ascii="Times New Roman" w:hAnsi="Times New Roman" w:cs="Times New Roman"/>
          <w:sz w:val="24"/>
          <w:szCs w:val="24"/>
        </w:rPr>
        <w:t>President.</w:t>
      </w:r>
      <w:r w:rsidR="00DA4977">
        <w:rPr>
          <w:rFonts w:ascii="Times New Roman" w:hAnsi="Times New Roman" w:cs="Times New Roman"/>
          <w:sz w:val="24"/>
          <w:szCs w:val="24"/>
        </w:rPr>
        <w:t xml:space="preserve"> I will return to this point in due course.</w:t>
      </w:r>
    </w:p>
    <w:p w14:paraId="35979D77" w14:textId="4D6AE3C1" w:rsidR="0006591B" w:rsidRDefault="0006591B" w:rsidP="0006591B">
      <w:pPr>
        <w:spacing w:line="360" w:lineRule="auto"/>
        <w:jc w:val="both"/>
        <w:rPr>
          <w:rFonts w:ascii="Times New Roman" w:hAnsi="Times New Roman" w:cs="Times New Roman"/>
          <w:sz w:val="24"/>
          <w:szCs w:val="24"/>
        </w:rPr>
      </w:pPr>
      <w:r>
        <w:rPr>
          <w:rFonts w:ascii="Times New Roman" w:hAnsi="Times New Roman" w:cs="Times New Roman"/>
          <w:sz w:val="24"/>
          <w:szCs w:val="24"/>
        </w:rPr>
        <w:t>THE HIGH COURT RULES ON OPPOSITION</w:t>
      </w:r>
    </w:p>
    <w:p w14:paraId="0CC7CB3C" w14:textId="786454DD" w:rsidR="006A3606" w:rsidRDefault="0006591B" w:rsidP="006A360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C62C2">
        <w:rPr>
          <w:rFonts w:ascii="Times New Roman" w:hAnsi="Times New Roman" w:cs="Times New Roman"/>
          <w:sz w:val="24"/>
          <w:szCs w:val="24"/>
        </w:rPr>
        <w:t>4</w:t>
      </w:r>
      <w:r>
        <w:rPr>
          <w:rFonts w:ascii="Times New Roman" w:hAnsi="Times New Roman" w:cs="Times New Roman"/>
          <w:sz w:val="24"/>
          <w:szCs w:val="24"/>
        </w:rPr>
        <w:t xml:space="preserve">] The High Court Rules do not have a corresponding provision in the </w:t>
      </w:r>
      <w:r w:rsidR="00934E0D">
        <w:rPr>
          <w:rFonts w:ascii="Times New Roman" w:hAnsi="Times New Roman" w:cs="Times New Roman"/>
          <w:sz w:val="24"/>
          <w:szCs w:val="24"/>
        </w:rPr>
        <w:t>exact</w:t>
      </w:r>
      <w:r>
        <w:rPr>
          <w:rFonts w:ascii="Times New Roman" w:hAnsi="Times New Roman" w:cs="Times New Roman"/>
          <w:sz w:val="24"/>
          <w:szCs w:val="24"/>
        </w:rPr>
        <w:t xml:space="preserve"> terms </w:t>
      </w:r>
      <w:r w:rsidR="00934E0D">
        <w:rPr>
          <w:rFonts w:ascii="Times New Roman" w:hAnsi="Times New Roman" w:cs="Times New Roman"/>
          <w:sz w:val="24"/>
          <w:szCs w:val="24"/>
        </w:rPr>
        <w:t>of r 17(2) of the Constitutional Court Rules. What in indisputable however is that they do provide, whenever reference is made to “opposition”, to the need for a notice of opposition and opposing affidavit.</w:t>
      </w:r>
    </w:p>
    <w:p w14:paraId="11942D1D" w14:textId="14A90EFE" w:rsidR="006A3606" w:rsidRDefault="006A3606" w:rsidP="006A360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C62C2">
        <w:rPr>
          <w:rFonts w:ascii="Times New Roman" w:hAnsi="Times New Roman" w:cs="Times New Roman"/>
          <w:sz w:val="24"/>
          <w:szCs w:val="24"/>
        </w:rPr>
        <w:t>5</w:t>
      </w:r>
      <w:r>
        <w:rPr>
          <w:rFonts w:ascii="Times New Roman" w:hAnsi="Times New Roman" w:cs="Times New Roman"/>
          <w:sz w:val="24"/>
          <w:szCs w:val="24"/>
        </w:rPr>
        <w:t xml:space="preserve">] </w:t>
      </w:r>
      <w:r w:rsidRPr="006A3606">
        <w:rPr>
          <w:rFonts w:ascii="Times New Roman" w:hAnsi="Times New Roman" w:cs="Times New Roman"/>
          <w:sz w:val="24"/>
          <w:szCs w:val="24"/>
        </w:rPr>
        <w:t>The word “opposition” recurs a total of 45 times in the rules. It is not necessary to refer to each and every instance where such reference is made. Relevant to the present discourse are rules 58(1) and (2) which set an application and its opposition as the two sides to a dispute. Then r 58 (8) which requires a respondent to an application to attach an opposing affidavit and annexures in support of its position. Rules 59 (6), (7), (8), (9), (10)</w:t>
      </w:r>
      <w:r>
        <w:rPr>
          <w:rFonts w:ascii="Times New Roman" w:hAnsi="Times New Roman" w:cs="Times New Roman"/>
          <w:sz w:val="24"/>
          <w:szCs w:val="24"/>
        </w:rPr>
        <w:t xml:space="preserve"> then (14) and (15) </w:t>
      </w:r>
      <w:r w:rsidRPr="006A3606">
        <w:rPr>
          <w:rFonts w:ascii="Times New Roman" w:hAnsi="Times New Roman" w:cs="Times New Roman"/>
          <w:sz w:val="24"/>
          <w:szCs w:val="24"/>
        </w:rPr>
        <w:t xml:space="preserve">all make reference to a notice of opposition and opposing affidavit.  </w:t>
      </w:r>
    </w:p>
    <w:p w14:paraId="4F7BD1F8" w14:textId="0116FB7C" w:rsidR="006A3606" w:rsidRDefault="006A3606" w:rsidP="006A360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C62C2">
        <w:rPr>
          <w:rFonts w:ascii="Times New Roman" w:hAnsi="Times New Roman" w:cs="Times New Roman"/>
          <w:sz w:val="24"/>
          <w:szCs w:val="24"/>
        </w:rPr>
        <w:t>6</w:t>
      </w:r>
      <w:r>
        <w:rPr>
          <w:rFonts w:ascii="Times New Roman" w:hAnsi="Times New Roman" w:cs="Times New Roman"/>
          <w:sz w:val="24"/>
          <w:szCs w:val="24"/>
        </w:rPr>
        <w:t>] Quite clearly, the rules require a party cited as respondent in an application is required, in simple terms, to resist the relief sought via a notice of opposition, opposing affidavit and documentary annexures where necessary.</w:t>
      </w:r>
    </w:p>
    <w:p w14:paraId="5A2BC0F1" w14:textId="310C86EA" w:rsidR="009A4E78" w:rsidRDefault="009A4E78" w:rsidP="006A360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C62C2">
        <w:rPr>
          <w:rFonts w:ascii="Times New Roman" w:hAnsi="Times New Roman" w:cs="Times New Roman"/>
          <w:sz w:val="24"/>
          <w:szCs w:val="24"/>
        </w:rPr>
        <w:t>7</w:t>
      </w:r>
      <w:r>
        <w:rPr>
          <w:rFonts w:ascii="Times New Roman" w:hAnsi="Times New Roman" w:cs="Times New Roman"/>
          <w:sz w:val="24"/>
          <w:szCs w:val="24"/>
        </w:rPr>
        <w:t>] At this stage I revert to the argument by second and third respondents that once a party is cited in proceedings, it must by right, file its opinion. It matters not, so it was argued, that the respondent has no quarrel with the relief sought.</w:t>
      </w:r>
    </w:p>
    <w:p w14:paraId="0C138A6D" w14:textId="538A94B6" w:rsidR="009A4E78" w:rsidRDefault="009A4E78" w:rsidP="009A4E78">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6C62C2">
        <w:rPr>
          <w:rFonts w:ascii="Times New Roman" w:hAnsi="Times New Roman" w:cs="Times New Roman"/>
          <w:sz w:val="24"/>
          <w:szCs w:val="24"/>
        </w:rPr>
        <w:t>8</w:t>
      </w:r>
      <w:r>
        <w:rPr>
          <w:rFonts w:ascii="Times New Roman" w:hAnsi="Times New Roman" w:cs="Times New Roman"/>
          <w:sz w:val="24"/>
          <w:szCs w:val="24"/>
        </w:rPr>
        <w:t>] I must state that having considered the authorities cited</w:t>
      </w:r>
      <w:r w:rsidR="00DA4977">
        <w:rPr>
          <w:rFonts w:ascii="Times New Roman" w:hAnsi="Times New Roman" w:cs="Times New Roman"/>
          <w:sz w:val="24"/>
          <w:szCs w:val="24"/>
        </w:rPr>
        <w:t xml:space="preserve"> by second and third respondents</w:t>
      </w:r>
      <w:r>
        <w:rPr>
          <w:rFonts w:ascii="Times New Roman" w:hAnsi="Times New Roman" w:cs="Times New Roman"/>
          <w:sz w:val="24"/>
          <w:szCs w:val="24"/>
        </w:rPr>
        <w:t xml:space="preserve">, my conclusion is that those decisions were misplaced. </w:t>
      </w:r>
      <w:r w:rsidR="00FC3C23">
        <w:rPr>
          <w:rFonts w:ascii="Times New Roman" w:hAnsi="Times New Roman" w:cs="Times New Roman"/>
          <w:sz w:val="24"/>
          <w:szCs w:val="24"/>
        </w:rPr>
        <w:t xml:space="preserve">It was never the carte blanche prescription by the court that respondents file papers where the relief sought was not controverted. </w:t>
      </w:r>
      <w:r>
        <w:rPr>
          <w:rFonts w:ascii="Times New Roman" w:hAnsi="Times New Roman" w:cs="Times New Roman"/>
          <w:sz w:val="24"/>
          <w:szCs w:val="24"/>
        </w:rPr>
        <w:t xml:space="preserve">In </w:t>
      </w:r>
      <w:r w:rsidRPr="009A4E78">
        <w:rPr>
          <w:rFonts w:ascii="Times New Roman" w:hAnsi="Times New Roman" w:cs="Times New Roman"/>
          <w:i/>
          <w:iCs/>
          <w:sz w:val="24"/>
          <w:szCs w:val="24"/>
        </w:rPr>
        <w:t>Peter Valentine v Mydale International Marketing (Pvt) Ltd and Anor,</w:t>
      </w:r>
      <w:r>
        <w:rPr>
          <w:rFonts w:ascii="Times New Roman" w:hAnsi="Times New Roman" w:cs="Times New Roman"/>
          <w:sz w:val="24"/>
          <w:szCs w:val="24"/>
        </w:rPr>
        <w:t xml:space="preserve"> (supra), the court was confronted with a civil imprisonment matter. In fact, the court was swayed into accommodating the applicant principally because it would have been grossly unfair to deprive him of an opportunity to avert a 100-day jail term. </w:t>
      </w:r>
    </w:p>
    <w:p w14:paraId="5BFE8792" w14:textId="4145B61B" w:rsidR="009A4E78" w:rsidRDefault="009A4E78" w:rsidP="009A4E78">
      <w:pPr>
        <w:spacing w:line="360" w:lineRule="auto"/>
        <w:jc w:val="both"/>
        <w:rPr>
          <w:rFonts w:ascii="Times New Roman" w:hAnsi="Times New Roman" w:cs="Times New Roman"/>
          <w:sz w:val="24"/>
          <w:szCs w:val="24"/>
        </w:rPr>
      </w:pPr>
      <w:r>
        <w:rPr>
          <w:rFonts w:ascii="Times New Roman" w:hAnsi="Times New Roman" w:cs="Times New Roman"/>
          <w:sz w:val="24"/>
          <w:szCs w:val="24"/>
        </w:rPr>
        <w:t>[ 1</w:t>
      </w:r>
      <w:r w:rsidR="006C62C2">
        <w:rPr>
          <w:rFonts w:ascii="Times New Roman" w:hAnsi="Times New Roman" w:cs="Times New Roman"/>
          <w:sz w:val="24"/>
          <w:szCs w:val="24"/>
        </w:rPr>
        <w:t>9</w:t>
      </w:r>
      <w:r>
        <w:rPr>
          <w:rFonts w:ascii="Times New Roman" w:hAnsi="Times New Roman" w:cs="Times New Roman"/>
          <w:sz w:val="24"/>
          <w:szCs w:val="24"/>
        </w:rPr>
        <w:t>] In fact CHITAKUNYE JA remarked as follows on the matter; -[ at page 1 of the unreported version ] , “</w:t>
      </w:r>
      <w:r w:rsidRPr="009A4E78">
        <w:rPr>
          <w:rFonts w:ascii="Times New Roman" w:hAnsi="Times New Roman" w:cs="Times New Roman"/>
          <w:i/>
          <w:iCs/>
          <w:sz w:val="24"/>
          <w:szCs w:val="24"/>
        </w:rPr>
        <w:t xml:space="preserve">I took the above decision based on the circumstances of the case which in my </w:t>
      </w:r>
      <w:r w:rsidRPr="00FC3C23">
        <w:rPr>
          <w:rFonts w:ascii="Times New Roman" w:hAnsi="Times New Roman" w:cs="Times New Roman"/>
          <w:i/>
          <w:iCs/>
          <w:sz w:val="24"/>
          <w:szCs w:val="24"/>
        </w:rPr>
        <w:t>view, makes for sad reading in the administration of justice</w:t>
      </w:r>
      <w:r w:rsidRPr="009A4E78">
        <w:rPr>
          <w:rFonts w:ascii="Times New Roman" w:hAnsi="Times New Roman" w:cs="Times New Roman"/>
          <w:sz w:val="24"/>
          <w:szCs w:val="24"/>
        </w:rPr>
        <w:t>.</w:t>
      </w:r>
      <w:r>
        <w:rPr>
          <w:rFonts w:ascii="Times New Roman" w:hAnsi="Times New Roman" w:cs="Times New Roman"/>
          <w:sz w:val="24"/>
          <w:szCs w:val="24"/>
        </w:rPr>
        <w:t>”</w:t>
      </w:r>
    </w:p>
    <w:p w14:paraId="2AD09893" w14:textId="78D741F8" w:rsidR="00FC3C23" w:rsidRDefault="009A4E78" w:rsidP="009A4E7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C62C2">
        <w:rPr>
          <w:rFonts w:ascii="Times New Roman" w:hAnsi="Times New Roman" w:cs="Times New Roman"/>
          <w:sz w:val="24"/>
          <w:szCs w:val="24"/>
        </w:rPr>
        <w:t>20</w:t>
      </w:r>
      <w:r>
        <w:rPr>
          <w:rFonts w:ascii="Times New Roman" w:hAnsi="Times New Roman" w:cs="Times New Roman"/>
          <w:sz w:val="24"/>
          <w:szCs w:val="24"/>
        </w:rPr>
        <w:t xml:space="preserve">] </w:t>
      </w:r>
      <w:r w:rsidR="00FC3C23" w:rsidRPr="00BD0546">
        <w:rPr>
          <w:rFonts w:ascii="Times New Roman" w:hAnsi="Times New Roman" w:cs="Times New Roman"/>
          <w:i/>
          <w:iCs/>
          <w:sz w:val="24"/>
          <w:szCs w:val="24"/>
        </w:rPr>
        <w:t>Dhliwayo v Warman Zimbabwe (Pvt) Ltd and 2 Ors</w:t>
      </w:r>
      <w:r w:rsidR="00FC3C23">
        <w:rPr>
          <w:rFonts w:ascii="Times New Roman" w:hAnsi="Times New Roman" w:cs="Times New Roman"/>
          <w:sz w:val="24"/>
          <w:szCs w:val="24"/>
        </w:rPr>
        <w:t>, (supra), this court per DUBE-BANDA J dealt with a simple principle. It was incorrect for an applicant to appropriate to itself, the conditions upon which a respondent could oppose the application.</w:t>
      </w:r>
    </w:p>
    <w:p w14:paraId="0F823044" w14:textId="396CED3E" w:rsidR="00FC3C23" w:rsidRDefault="00FC3C23" w:rsidP="009A4E78">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6C62C2">
        <w:rPr>
          <w:rFonts w:ascii="Times New Roman" w:hAnsi="Times New Roman" w:cs="Times New Roman"/>
          <w:sz w:val="24"/>
          <w:szCs w:val="24"/>
        </w:rPr>
        <w:t>1</w:t>
      </w:r>
      <w:r>
        <w:rPr>
          <w:rFonts w:ascii="Times New Roman" w:hAnsi="Times New Roman" w:cs="Times New Roman"/>
          <w:sz w:val="24"/>
          <w:szCs w:val="24"/>
        </w:rPr>
        <w:t xml:space="preserve">] The following excerpt at [15] in </w:t>
      </w:r>
      <w:r w:rsidRPr="00BD0546">
        <w:rPr>
          <w:rFonts w:ascii="Times New Roman" w:hAnsi="Times New Roman" w:cs="Times New Roman"/>
          <w:i/>
          <w:iCs/>
          <w:sz w:val="24"/>
          <w:szCs w:val="24"/>
        </w:rPr>
        <w:t>Drum City (Pvt) Ltd v Garudzo</w:t>
      </w:r>
      <w:r>
        <w:rPr>
          <w:rFonts w:ascii="Times New Roman" w:hAnsi="Times New Roman" w:cs="Times New Roman"/>
          <w:sz w:val="24"/>
          <w:szCs w:val="24"/>
        </w:rPr>
        <w:t xml:space="preserve">(supra) will clearly distinguish the matters that concerned the Supreme Court therein. The court`s dictum is </w:t>
      </w:r>
      <w:r w:rsidR="005C40C4">
        <w:rPr>
          <w:rFonts w:ascii="Times New Roman" w:hAnsi="Times New Roman" w:cs="Times New Roman"/>
          <w:sz w:val="24"/>
          <w:szCs w:val="24"/>
        </w:rPr>
        <w:t>clear. It</w:t>
      </w:r>
      <w:r>
        <w:rPr>
          <w:rFonts w:ascii="Times New Roman" w:hAnsi="Times New Roman" w:cs="Times New Roman"/>
          <w:sz w:val="24"/>
          <w:szCs w:val="24"/>
        </w:rPr>
        <w:t xml:space="preserve"> exhorted the labour dispute framework to include the right of affected persons to be included in proceedings affecting their interest.</w:t>
      </w:r>
    </w:p>
    <w:p w14:paraId="0B445A7D" w14:textId="10D1A0E4" w:rsidR="00FC3C23" w:rsidRDefault="00FC3C23" w:rsidP="009A4E78">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6C62C2">
        <w:rPr>
          <w:rFonts w:ascii="Times New Roman" w:hAnsi="Times New Roman" w:cs="Times New Roman"/>
          <w:sz w:val="24"/>
          <w:szCs w:val="24"/>
        </w:rPr>
        <w:t>2</w:t>
      </w:r>
      <w:r>
        <w:rPr>
          <w:rFonts w:ascii="Times New Roman" w:hAnsi="Times New Roman" w:cs="Times New Roman"/>
          <w:sz w:val="24"/>
          <w:szCs w:val="24"/>
        </w:rPr>
        <w:t>] It cannot, by</w:t>
      </w:r>
      <w:r w:rsidR="005C40C4">
        <w:rPr>
          <w:rFonts w:ascii="Times New Roman" w:hAnsi="Times New Roman" w:cs="Times New Roman"/>
          <w:sz w:val="24"/>
          <w:szCs w:val="24"/>
        </w:rPr>
        <w:t xml:space="preserve"> whatever </w:t>
      </w:r>
      <w:r>
        <w:rPr>
          <w:rFonts w:ascii="Times New Roman" w:hAnsi="Times New Roman" w:cs="Times New Roman"/>
          <w:sz w:val="24"/>
          <w:szCs w:val="24"/>
        </w:rPr>
        <w:t>stretch of</w:t>
      </w:r>
      <w:r w:rsidR="005C40C4">
        <w:rPr>
          <w:rFonts w:ascii="Times New Roman" w:hAnsi="Times New Roman" w:cs="Times New Roman"/>
          <w:sz w:val="24"/>
          <w:szCs w:val="24"/>
        </w:rPr>
        <w:t xml:space="preserve"> imagination, be taken</w:t>
      </w:r>
      <w:r>
        <w:rPr>
          <w:rFonts w:ascii="Times New Roman" w:hAnsi="Times New Roman" w:cs="Times New Roman"/>
          <w:sz w:val="24"/>
          <w:szCs w:val="24"/>
        </w:rPr>
        <w:t xml:space="preserve"> as a blanket </w:t>
      </w:r>
      <w:r w:rsidR="005C40C4">
        <w:rPr>
          <w:rFonts w:ascii="Times New Roman" w:hAnsi="Times New Roman" w:cs="Times New Roman"/>
          <w:sz w:val="24"/>
          <w:szCs w:val="24"/>
        </w:rPr>
        <w:t>approval for respondents who have no quarrel with an applicant`s claim to persist in opposing applications where they are cited. It was stated thus at [15];</w:t>
      </w:r>
      <w:r>
        <w:rPr>
          <w:rFonts w:ascii="Times New Roman" w:hAnsi="Times New Roman" w:cs="Times New Roman"/>
          <w:sz w:val="24"/>
          <w:szCs w:val="24"/>
        </w:rPr>
        <w:t xml:space="preserve"> -</w:t>
      </w:r>
    </w:p>
    <w:p w14:paraId="271B9C12" w14:textId="71A3837A" w:rsidR="00FC3C23" w:rsidRPr="00FC3C23" w:rsidRDefault="00FC3C23" w:rsidP="00FC3C23">
      <w:pPr>
        <w:spacing w:line="360" w:lineRule="auto"/>
        <w:ind w:left="1134"/>
        <w:jc w:val="both"/>
        <w:rPr>
          <w:rFonts w:ascii="Times New Roman" w:hAnsi="Times New Roman" w:cs="Times New Roman"/>
          <w:bCs/>
          <w:sz w:val="24"/>
          <w:szCs w:val="24"/>
          <w:lang w:val="en-US"/>
        </w:rPr>
      </w:pPr>
      <w:r>
        <w:rPr>
          <w:rFonts w:ascii="Times New Roman" w:hAnsi="Times New Roman" w:cs="Times New Roman"/>
          <w:sz w:val="24"/>
          <w:szCs w:val="24"/>
        </w:rPr>
        <w:t>“It</w:t>
      </w:r>
      <w:r w:rsidRPr="00FC3C23">
        <w:rPr>
          <w:rFonts w:ascii="Times New Roman" w:hAnsi="Times New Roman" w:cs="Times New Roman"/>
          <w:bCs/>
          <w:sz w:val="24"/>
          <w:szCs w:val="24"/>
          <w:lang w:val="en-US"/>
        </w:rPr>
        <w:t xml:space="preserve"> is beyond dispute that such an employee has a direct and substantial interest in the confirmation proceedings before the Labour Court. He or she has the right to be heard in proceedings that may fundamentally affect their interests. Even if the nature of the hearing mentioned in ss (5b) is not clear</w:t>
      </w:r>
      <w:r w:rsidRPr="00FC3C23">
        <w:rPr>
          <w:rFonts w:ascii="Times New Roman" w:hAnsi="Times New Roman" w:cs="Times New Roman"/>
          <w:bCs/>
          <w:sz w:val="24"/>
          <w:szCs w:val="24"/>
          <w:vertAlign w:val="superscript"/>
          <w:lang w:val="en-US"/>
        </w:rPr>
        <w:footnoteReference w:id="1"/>
      </w:r>
      <w:r w:rsidRPr="00FC3C23">
        <w:rPr>
          <w:rFonts w:ascii="Times New Roman" w:hAnsi="Times New Roman" w:cs="Times New Roman"/>
          <w:bCs/>
          <w:sz w:val="24"/>
          <w:szCs w:val="24"/>
          <w:lang w:val="en-US"/>
        </w:rPr>
        <w:t>, one may safely assume that like in any hearing, all interested parties must be afforded the opportunity to be heard, unless they choose not to be heard. Only then would the Labour Court be in a position to fully determine the matter and render a judgment that meets the justice of the case.</w:t>
      </w:r>
      <w:r>
        <w:rPr>
          <w:rFonts w:ascii="Times New Roman" w:hAnsi="Times New Roman" w:cs="Times New Roman"/>
          <w:bCs/>
          <w:sz w:val="24"/>
          <w:szCs w:val="24"/>
          <w:lang w:val="en-US"/>
        </w:rPr>
        <w:t>”</w:t>
      </w:r>
    </w:p>
    <w:p w14:paraId="009C4C81" w14:textId="408B13EE" w:rsidR="00DA4977" w:rsidRDefault="00FC3C23" w:rsidP="009A4E7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C62C2">
        <w:rPr>
          <w:rFonts w:ascii="Times New Roman" w:hAnsi="Times New Roman" w:cs="Times New Roman"/>
          <w:sz w:val="24"/>
          <w:szCs w:val="24"/>
        </w:rPr>
        <w:t>3</w:t>
      </w:r>
      <w:r>
        <w:rPr>
          <w:rFonts w:ascii="Times New Roman" w:hAnsi="Times New Roman" w:cs="Times New Roman"/>
          <w:sz w:val="24"/>
          <w:szCs w:val="24"/>
        </w:rPr>
        <w:t xml:space="preserve">] </w:t>
      </w:r>
      <w:r w:rsidR="00DA4977">
        <w:rPr>
          <w:rFonts w:ascii="Times New Roman" w:hAnsi="Times New Roman" w:cs="Times New Roman"/>
          <w:sz w:val="24"/>
          <w:szCs w:val="24"/>
        </w:rPr>
        <w:t>Likewise</w:t>
      </w:r>
      <w:r w:rsidR="005C40C4">
        <w:rPr>
          <w:rFonts w:ascii="Times New Roman" w:hAnsi="Times New Roman" w:cs="Times New Roman"/>
          <w:sz w:val="24"/>
          <w:szCs w:val="24"/>
        </w:rPr>
        <w:t xml:space="preserve">, </w:t>
      </w:r>
      <w:r w:rsidR="004F67C2">
        <w:rPr>
          <w:rFonts w:ascii="Times New Roman" w:hAnsi="Times New Roman" w:cs="Times New Roman"/>
          <w:sz w:val="24"/>
          <w:szCs w:val="24"/>
        </w:rPr>
        <w:t xml:space="preserve">I was not certain as to the persuasive value of citing </w:t>
      </w:r>
      <w:r w:rsidR="005C40C4" w:rsidRPr="00BD0546">
        <w:rPr>
          <w:rFonts w:ascii="Times New Roman" w:hAnsi="Times New Roman" w:cs="Times New Roman"/>
          <w:i/>
          <w:iCs/>
          <w:sz w:val="24"/>
          <w:szCs w:val="24"/>
        </w:rPr>
        <w:t>Parkham v Adhesive Products</w:t>
      </w:r>
      <w:r w:rsidR="005C40C4">
        <w:rPr>
          <w:rFonts w:ascii="Times New Roman" w:hAnsi="Times New Roman" w:cs="Times New Roman"/>
          <w:sz w:val="24"/>
          <w:szCs w:val="24"/>
        </w:rPr>
        <w:t xml:space="preserve"> </w:t>
      </w:r>
      <w:r w:rsidR="004F67C2">
        <w:rPr>
          <w:rFonts w:ascii="Times New Roman" w:hAnsi="Times New Roman" w:cs="Times New Roman"/>
          <w:sz w:val="24"/>
          <w:szCs w:val="24"/>
        </w:rPr>
        <w:t>(supra). This was a matter in which a party had persisted in ill-advice against a clear bar. The very party who capped it all by appealing against a default judgment.</w:t>
      </w:r>
    </w:p>
    <w:p w14:paraId="65CF6709" w14:textId="35EB21C2" w:rsidR="00DA4977" w:rsidRDefault="00DA4977" w:rsidP="009A4E7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6C62C2">
        <w:rPr>
          <w:rFonts w:ascii="Times New Roman" w:hAnsi="Times New Roman" w:cs="Times New Roman"/>
          <w:sz w:val="24"/>
          <w:szCs w:val="24"/>
        </w:rPr>
        <w:t>4</w:t>
      </w:r>
      <w:r>
        <w:rPr>
          <w:rFonts w:ascii="Times New Roman" w:hAnsi="Times New Roman" w:cs="Times New Roman"/>
          <w:sz w:val="24"/>
          <w:szCs w:val="24"/>
        </w:rPr>
        <w:t xml:space="preserve">] I come to </w:t>
      </w:r>
      <w:r w:rsidRPr="00C51311">
        <w:rPr>
          <w:rFonts w:ascii="Times New Roman" w:hAnsi="Times New Roman" w:cs="Times New Roman"/>
          <w:i/>
          <w:iCs/>
          <w:sz w:val="24"/>
          <w:szCs w:val="24"/>
        </w:rPr>
        <w:t>Chamisa v Mnangagwa</w:t>
      </w:r>
      <w:r>
        <w:rPr>
          <w:rFonts w:ascii="Times New Roman" w:hAnsi="Times New Roman" w:cs="Times New Roman"/>
          <w:sz w:val="24"/>
          <w:szCs w:val="24"/>
        </w:rPr>
        <w:t xml:space="preserve">. A reading of both the court`s dictum and ratio on the propriety of a notice of opposition and its affidavits reveals one </w:t>
      </w:r>
      <w:r w:rsidR="00C51311">
        <w:rPr>
          <w:rFonts w:ascii="Times New Roman" w:hAnsi="Times New Roman" w:cs="Times New Roman"/>
          <w:sz w:val="24"/>
          <w:szCs w:val="24"/>
        </w:rPr>
        <w:t>matter. That</w:t>
      </w:r>
      <w:r>
        <w:rPr>
          <w:rFonts w:ascii="Times New Roman" w:hAnsi="Times New Roman" w:cs="Times New Roman"/>
          <w:sz w:val="24"/>
          <w:szCs w:val="24"/>
        </w:rPr>
        <w:t xml:space="preserve"> despite the distinctions noted by applicant in its </w:t>
      </w:r>
      <w:r w:rsidR="00C51311">
        <w:rPr>
          <w:rFonts w:ascii="Times New Roman" w:hAnsi="Times New Roman" w:cs="Times New Roman"/>
          <w:sz w:val="24"/>
          <w:szCs w:val="24"/>
        </w:rPr>
        <w:t>argument, there are two indelible precepts applicable to the present matter. A respondent`s notice of opposition and opposing affidavit must firstly controvert the application and its causa and secondly, resist the relief sought by such application. There must be a controversy between the parties.</w:t>
      </w:r>
    </w:p>
    <w:p w14:paraId="75D36394" w14:textId="1687763B" w:rsidR="004F67C2" w:rsidRDefault="004F67C2" w:rsidP="009A4E78">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DEFINITION OF CONTROVERSY</w:t>
      </w:r>
    </w:p>
    <w:p w14:paraId="31C944CE" w14:textId="0AD64E1B" w:rsidR="004F67C2" w:rsidRDefault="004F67C2" w:rsidP="009A4E78">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11DB3">
        <w:rPr>
          <w:rFonts w:ascii="Times New Roman" w:hAnsi="Times New Roman" w:cs="Times New Roman"/>
          <w:sz w:val="24"/>
          <w:szCs w:val="24"/>
        </w:rPr>
        <w:t>5</w:t>
      </w:r>
      <w:r>
        <w:rPr>
          <w:rFonts w:ascii="Times New Roman" w:hAnsi="Times New Roman" w:cs="Times New Roman"/>
          <w:sz w:val="24"/>
          <w:szCs w:val="24"/>
        </w:rPr>
        <w:t>] It is a trite position that the purpose of courts is to resolve real dis</w:t>
      </w:r>
      <w:r w:rsidR="009F2B7C">
        <w:rPr>
          <w:rFonts w:ascii="Times New Roman" w:hAnsi="Times New Roman" w:cs="Times New Roman"/>
          <w:sz w:val="24"/>
          <w:szCs w:val="24"/>
        </w:rPr>
        <w:t>p</w:t>
      </w:r>
      <w:r>
        <w:rPr>
          <w:rFonts w:ascii="Times New Roman" w:hAnsi="Times New Roman" w:cs="Times New Roman"/>
          <w:sz w:val="24"/>
          <w:szCs w:val="24"/>
        </w:rPr>
        <w:t xml:space="preserve">utes between parties by application of the law. So fundamental is this </w:t>
      </w:r>
      <w:r w:rsidR="00C51311">
        <w:rPr>
          <w:rFonts w:ascii="Times New Roman" w:hAnsi="Times New Roman" w:cs="Times New Roman"/>
          <w:sz w:val="24"/>
          <w:szCs w:val="24"/>
        </w:rPr>
        <w:t xml:space="preserve">principle </w:t>
      </w:r>
      <w:r>
        <w:rPr>
          <w:rFonts w:ascii="Times New Roman" w:hAnsi="Times New Roman" w:cs="Times New Roman"/>
          <w:sz w:val="24"/>
          <w:szCs w:val="24"/>
        </w:rPr>
        <w:t>that in whatever direction</w:t>
      </w:r>
      <w:r w:rsidR="00C51311">
        <w:rPr>
          <w:rFonts w:ascii="Times New Roman" w:hAnsi="Times New Roman" w:cs="Times New Roman"/>
          <w:sz w:val="24"/>
          <w:szCs w:val="24"/>
        </w:rPr>
        <w:t xml:space="preserve"> in the wide spectrum of legal principles one</w:t>
      </w:r>
      <w:r>
        <w:rPr>
          <w:rFonts w:ascii="Times New Roman" w:hAnsi="Times New Roman" w:cs="Times New Roman"/>
          <w:sz w:val="24"/>
          <w:szCs w:val="24"/>
        </w:rPr>
        <w:t xml:space="preserve"> may seek to look, the proposition keeps cropping up. From jurisdiction of the court, clarity of pleadings, principles of mootness, or essentials of a valid judgment</w:t>
      </w:r>
      <w:r w:rsidR="00C51311">
        <w:rPr>
          <w:rFonts w:ascii="Times New Roman" w:hAnsi="Times New Roman" w:cs="Times New Roman"/>
          <w:sz w:val="24"/>
          <w:szCs w:val="24"/>
        </w:rPr>
        <w:t>.</w:t>
      </w:r>
      <w:r>
        <w:rPr>
          <w:rFonts w:ascii="Times New Roman" w:hAnsi="Times New Roman" w:cs="Times New Roman"/>
          <w:sz w:val="24"/>
          <w:szCs w:val="24"/>
        </w:rPr>
        <w:t xml:space="preserve"> Judicial endeavour in litigation is aimed at extending legal remedies to address parties` conflicts.</w:t>
      </w:r>
    </w:p>
    <w:p w14:paraId="7CE6D76C" w14:textId="5674D94E" w:rsidR="009F2B7C" w:rsidRDefault="004F67C2" w:rsidP="009A4E78">
      <w:pPr>
        <w:spacing w:line="360" w:lineRule="auto"/>
        <w:jc w:val="both"/>
        <w:rPr>
          <w:rFonts w:ascii="Times New Roman" w:hAnsi="Times New Roman" w:cs="Times New Roman"/>
          <w:sz w:val="24"/>
          <w:szCs w:val="24"/>
        </w:rPr>
      </w:pPr>
      <w:r>
        <w:rPr>
          <w:rFonts w:ascii="Times New Roman" w:hAnsi="Times New Roman" w:cs="Times New Roman"/>
          <w:sz w:val="24"/>
          <w:szCs w:val="24"/>
        </w:rPr>
        <w:t>[ 2</w:t>
      </w:r>
      <w:r w:rsidR="00311DB3">
        <w:rPr>
          <w:rFonts w:ascii="Times New Roman" w:hAnsi="Times New Roman" w:cs="Times New Roman"/>
          <w:sz w:val="24"/>
          <w:szCs w:val="24"/>
        </w:rPr>
        <w:t>6</w:t>
      </w:r>
      <w:r>
        <w:rPr>
          <w:rFonts w:ascii="Times New Roman" w:hAnsi="Times New Roman" w:cs="Times New Roman"/>
          <w:sz w:val="24"/>
          <w:szCs w:val="24"/>
        </w:rPr>
        <w:t xml:space="preserve">] </w:t>
      </w:r>
      <w:r w:rsidR="00BD0546">
        <w:rPr>
          <w:rFonts w:ascii="Times New Roman" w:hAnsi="Times New Roman" w:cs="Times New Roman"/>
          <w:sz w:val="24"/>
          <w:szCs w:val="24"/>
        </w:rPr>
        <w:t xml:space="preserve">In the present matter, what investigation will the court need to conduct as between second and third respondents on one </w:t>
      </w:r>
      <w:r w:rsidR="00DA4977">
        <w:rPr>
          <w:rFonts w:ascii="Times New Roman" w:hAnsi="Times New Roman" w:cs="Times New Roman"/>
          <w:sz w:val="24"/>
          <w:szCs w:val="24"/>
        </w:rPr>
        <w:t>hand, and</w:t>
      </w:r>
      <w:r w:rsidR="00BD0546">
        <w:rPr>
          <w:rFonts w:ascii="Times New Roman" w:hAnsi="Times New Roman" w:cs="Times New Roman"/>
          <w:sz w:val="24"/>
          <w:szCs w:val="24"/>
        </w:rPr>
        <w:t xml:space="preserve"> applicant on the other?</w:t>
      </w:r>
      <w:r w:rsidR="00C51311">
        <w:rPr>
          <w:rFonts w:ascii="Times New Roman" w:hAnsi="Times New Roman" w:cs="Times New Roman"/>
          <w:sz w:val="24"/>
          <w:szCs w:val="24"/>
        </w:rPr>
        <w:t xml:space="preserve"> </w:t>
      </w:r>
      <w:r w:rsidR="00BD0546">
        <w:rPr>
          <w:rFonts w:ascii="Times New Roman" w:hAnsi="Times New Roman" w:cs="Times New Roman"/>
          <w:sz w:val="24"/>
          <w:szCs w:val="24"/>
        </w:rPr>
        <w:t xml:space="preserve"> </w:t>
      </w:r>
      <w:r>
        <w:rPr>
          <w:rFonts w:ascii="Times New Roman" w:hAnsi="Times New Roman" w:cs="Times New Roman"/>
          <w:sz w:val="24"/>
          <w:szCs w:val="24"/>
        </w:rPr>
        <w:t xml:space="preserve">In closing this </w:t>
      </w:r>
      <w:r w:rsidR="009F2B7C">
        <w:rPr>
          <w:rFonts w:ascii="Times New Roman" w:hAnsi="Times New Roman" w:cs="Times New Roman"/>
          <w:sz w:val="24"/>
          <w:szCs w:val="24"/>
        </w:rPr>
        <w:t>point, I</w:t>
      </w:r>
      <w:r>
        <w:rPr>
          <w:rFonts w:ascii="Times New Roman" w:hAnsi="Times New Roman" w:cs="Times New Roman"/>
          <w:sz w:val="24"/>
          <w:szCs w:val="24"/>
        </w:rPr>
        <w:t xml:space="preserve"> refer to a </w:t>
      </w:r>
      <w:r w:rsidR="009F2B7C">
        <w:rPr>
          <w:rFonts w:ascii="Times New Roman" w:hAnsi="Times New Roman" w:cs="Times New Roman"/>
          <w:sz w:val="24"/>
          <w:szCs w:val="24"/>
        </w:rPr>
        <w:t>quotation by MALABA JC in a paper presented at a recent forum</w:t>
      </w:r>
      <w:r w:rsidR="009F2B7C">
        <w:rPr>
          <w:rStyle w:val="FootnoteReference"/>
          <w:rFonts w:ascii="Times New Roman" w:hAnsi="Times New Roman" w:cs="Times New Roman"/>
          <w:sz w:val="24"/>
          <w:szCs w:val="24"/>
        </w:rPr>
        <w:footnoteReference w:id="2"/>
      </w:r>
      <w:r w:rsidR="009F2B7C">
        <w:rPr>
          <w:rFonts w:ascii="Times New Roman" w:hAnsi="Times New Roman" w:cs="Times New Roman"/>
          <w:sz w:val="24"/>
          <w:szCs w:val="24"/>
        </w:rPr>
        <w:t xml:space="preserve"> which went thus; -</w:t>
      </w:r>
    </w:p>
    <w:p w14:paraId="746CB1D6" w14:textId="08AFC483" w:rsidR="004F67C2" w:rsidRPr="009F2B7C" w:rsidRDefault="009F2B7C" w:rsidP="009F2B7C">
      <w:pPr>
        <w:autoSpaceDE w:val="0"/>
        <w:autoSpaceDN w:val="0"/>
        <w:adjustRightInd w:val="0"/>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w:t>
      </w:r>
      <w:r w:rsidRPr="009F2B7C">
        <w:rPr>
          <w:rFonts w:ascii="Times New Roman" w:hAnsi="Times New Roman" w:cs="Times New Roman"/>
          <w:sz w:val="24"/>
          <w:szCs w:val="24"/>
        </w:rPr>
        <w:t>A</w:t>
      </w:r>
      <w:r w:rsidRPr="009F2B7C">
        <w:rPr>
          <w:rFonts w:ascii="Times New Roman" w:hAnsi="Times New Roman" w:cs="Times New Roman"/>
          <w:kern w:val="0"/>
          <w:sz w:val="24"/>
          <w:szCs w:val="24"/>
        </w:rPr>
        <w:t xml:space="preserve"> judgment is a </w:t>
      </w:r>
      <w:r w:rsidRPr="00BD0546">
        <w:rPr>
          <w:rFonts w:ascii="Times New Roman" w:hAnsi="Times New Roman" w:cs="Times New Roman"/>
          <w:kern w:val="0"/>
          <w:sz w:val="24"/>
          <w:szCs w:val="24"/>
          <w:u w:val="single"/>
        </w:rPr>
        <w:t>decision given by a court or tribunal</w:t>
      </w:r>
      <w:r w:rsidRPr="009F2B7C">
        <w:rPr>
          <w:rFonts w:ascii="Times New Roman" w:hAnsi="Times New Roman" w:cs="Times New Roman"/>
          <w:kern w:val="0"/>
          <w:sz w:val="24"/>
          <w:szCs w:val="24"/>
        </w:rPr>
        <w:t xml:space="preserve"> on the </w:t>
      </w:r>
      <w:r w:rsidRPr="00BD0546">
        <w:rPr>
          <w:rFonts w:ascii="Times New Roman" w:hAnsi="Times New Roman" w:cs="Times New Roman"/>
          <w:kern w:val="0"/>
          <w:sz w:val="24"/>
          <w:szCs w:val="24"/>
          <w:u w:val="single"/>
        </w:rPr>
        <w:t>relief claimed</w:t>
      </w:r>
      <w:r w:rsidRPr="009F2B7C">
        <w:rPr>
          <w:rFonts w:ascii="Times New Roman" w:hAnsi="Times New Roman" w:cs="Times New Roman"/>
          <w:kern w:val="0"/>
          <w:sz w:val="24"/>
          <w:szCs w:val="24"/>
        </w:rPr>
        <w:t xml:space="preserve">, </w:t>
      </w:r>
      <w:r w:rsidRPr="009F2B7C">
        <w:rPr>
          <w:rFonts w:ascii="Times New Roman" w:hAnsi="Times New Roman" w:cs="Times New Roman"/>
          <w:kern w:val="0"/>
          <w:sz w:val="24"/>
          <w:szCs w:val="24"/>
          <w:u w:val="single"/>
        </w:rPr>
        <w:t>which resolves a controversy and determines the rights and obligations of the parties in accordance with the applicable law.</w:t>
      </w:r>
      <w:r w:rsidRPr="009F2B7C">
        <w:rPr>
          <w:rFonts w:ascii="Times New Roman" w:hAnsi="Times New Roman" w:cs="Times New Roman"/>
          <w:kern w:val="0"/>
          <w:sz w:val="24"/>
          <w:szCs w:val="24"/>
        </w:rPr>
        <w:t xml:space="preserve"> It is the final act in a case by which a court accomplishes the purpose of its creation. A valid judgment </w:t>
      </w:r>
      <w:r w:rsidRPr="009F2B7C">
        <w:rPr>
          <w:rFonts w:ascii="Times New Roman" w:hAnsi="Times New Roman" w:cs="Times New Roman"/>
          <w:kern w:val="0"/>
          <w:sz w:val="24"/>
          <w:szCs w:val="24"/>
          <w:u w:val="single"/>
        </w:rPr>
        <w:t>resolves or settles the contested issues submitted to the court in an action or proceeding, and fixes the rights and liabilities of the parties</w:t>
      </w:r>
      <w:r w:rsidRPr="009F2B7C">
        <w:rPr>
          <w:rFonts w:ascii="Times New Roman" w:hAnsi="Times New Roman" w:cs="Times New Roman"/>
          <w:kern w:val="0"/>
          <w:sz w:val="24"/>
          <w:szCs w:val="24"/>
        </w:rPr>
        <w:t xml:space="preserve">. The lawsuit is ended by a judgment, since it is regarded as the court’s official pronouncement of the law on </w:t>
      </w:r>
      <w:r w:rsidRPr="009F2B7C">
        <w:rPr>
          <w:rFonts w:ascii="Times New Roman" w:hAnsi="Times New Roman" w:cs="Times New Roman"/>
          <w:kern w:val="0"/>
          <w:sz w:val="24"/>
          <w:szCs w:val="24"/>
          <w:u w:val="single"/>
        </w:rPr>
        <w:t>the action that was pending before it.</w:t>
      </w:r>
      <w:r w:rsidRPr="009F2B7C">
        <w:rPr>
          <w:rFonts w:ascii="Times New Roman" w:hAnsi="Times New Roman" w:cs="Times New Roman"/>
          <w:kern w:val="0"/>
          <w:sz w:val="24"/>
          <w:szCs w:val="24"/>
        </w:rPr>
        <w:t xml:space="preserve"> It states who wins the case, and what remedies the winner is awarded. In other words, </w:t>
      </w:r>
      <w:r w:rsidRPr="009F2B7C">
        <w:rPr>
          <w:rFonts w:ascii="Times New Roman" w:hAnsi="Times New Roman" w:cs="Times New Roman"/>
          <w:kern w:val="0"/>
          <w:sz w:val="24"/>
          <w:szCs w:val="24"/>
          <w:u w:val="single"/>
        </w:rPr>
        <w:t>it is a determination by a court that on matters submitted to it for decision,</w:t>
      </w:r>
      <w:r w:rsidRPr="009F2B7C">
        <w:rPr>
          <w:rFonts w:ascii="Times New Roman" w:hAnsi="Times New Roman" w:cs="Times New Roman"/>
          <w:kern w:val="0"/>
          <w:sz w:val="24"/>
          <w:szCs w:val="24"/>
        </w:rPr>
        <w:t xml:space="preserve"> a legal duty or liability does, or does not, exist, or that, with respect to a claim in suit, no cause of action exists or that no defence exists. In that sense, a judgment signifies the end of the court’s jurisdiction in the case. </w:t>
      </w:r>
      <w:r w:rsidRPr="009F2B7C">
        <w:rPr>
          <w:rFonts w:ascii="Times New Roman" w:hAnsi="Times New Roman" w:cs="Times New Roman"/>
          <w:kern w:val="0"/>
          <w:sz w:val="24"/>
          <w:szCs w:val="24"/>
          <w:u w:val="single"/>
        </w:rPr>
        <w:t>It is a means of achieving an objective that is universal: the just resolution of conflict which is the core business of every court of law</w:t>
      </w:r>
      <w:r w:rsidRPr="009F2B7C">
        <w:rPr>
          <w:rFonts w:ascii="Times New Roman" w:hAnsi="Times New Roman" w:cs="Times New Roman"/>
          <w:kern w:val="0"/>
          <w:sz w:val="24"/>
          <w:szCs w:val="24"/>
        </w:rPr>
        <w:t>.</w:t>
      </w:r>
      <w:r>
        <w:rPr>
          <w:rFonts w:ascii="Times New Roman" w:hAnsi="Times New Roman" w:cs="Times New Roman"/>
          <w:kern w:val="0"/>
          <w:sz w:val="24"/>
          <w:szCs w:val="24"/>
        </w:rPr>
        <w:t xml:space="preserve">” [Underlined for emphasis] </w:t>
      </w:r>
    </w:p>
    <w:p w14:paraId="1D194E0D" w14:textId="77777777" w:rsidR="004F67C2" w:rsidRDefault="004F67C2" w:rsidP="009F2B7C">
      <w:pPr>
        <w:spacing w:line="360" w:lineRule="auto"/>
        <w:jc w:val="both"/>
        <w:rPr>
          <w:rFonts w:ascii="Times New Roman" w:hAnsi="Times New Roman" w:cs="Times New Roman"/>
          <w:sz w:val="24"/>
          <w:szCs w:val="24"/>
        </w:rPr>
      </w:pPr>
    </w:p>
    <w:p w14:paraId="62CE5A54" w14:textId="63AC25DD" w:rsidR="009F2B7C" w:rsidRDefault="009F2B7C" w:rsidP="009F2B7C">
      <w:pPr>
        <w:spacing w:line="360" w:lineRule="auto"/>
        <w:jc w:val="both"/>
        <w:rPr>
          <w:rFonts w:ascii="Times New Roman" w:hAnsi="Times New Roman" w:cs="Times New Roman"/>
          <w:sz w:val="24"/>
          <w:szCs w:val="24"/>
        </w:rPr>
      </w:pPr>
      <w:r>
        <w:rPr>
          <w:rFonts w:ascii="Times New Roman" w:hAnsi="Times New Roman" w:cs="Times New Roman"/>
          <w:sz w:val="24"/>
          <w:szCs w:val="24"/>
        </w:rPr>
        <w:t>THE HISTORY OF THIS DISPUTE</w:t>
      </w:r>
    </w:p>
    <w:p w14:paraId="5259A4D2" w14:textId="267B1B5B" w:rsidR="00906A55" w:rsidRDefault="009F2B7C" w:rsidP="009F2B7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11DB3">
        <w:rPr>
          <w:rFonts w:ascii="Times New Roman" w:hAnsi="Times New Roman" w:cs="Times New Roman"/>
          <w:sz w:val="24"/>
          <w:szCs w:val="24"/>
        </w:rPr>
        <w:t>7</w:t>
      </w:r>
      <w:r>
        <w:rPr>
          <w:rFonts w:ascii="Times New Roman" w:hAnsi="Times New Roman" w:cs="Times New Roman"/>
          <w:sz w:val="24"/>
          <w:szCs w:val="24"/>
        </w:rPr>
        <w:t xml:space="preserve">] As observed above, this matter evolves from </w:t>
      </w:r>
      <w:r w:rsidR="00906A55">
        <w:rPr>
          <w:rFonts w:ascii="Times New Roman" w:hAnsi="Times New Roman" w:cs="Times New Roman"/>
          <w:sz w:val="24"/>
          <w:szCs w:val="24"/>
        </w:rPr>
        <w:t xml:space="preserve">the disaffection that blighted shareholders and other associates to third respondent entity Godtrev Enterprises. There has been a flurry of </w:t>
      </w:r>
      <w:r w:rsidR="00906A55">
        <w:rPr>
          <w:rFonts w:ascii="Times New Roman" w:hAnsi="Times New Roman" w:cs="Times New Roman"/>
          <w:sz w:val="24"/>
          <w:szCs w:val="24"/>
        </w:rPr>
        <w:lastRenderedPageBreak/>
        <w:t>litigation associated with the parties` interest in Godtrev Enterprises.  This led this court per MUNANGATI-MANONGWA J to attempt a rationalisation of the turbulence by an order dated 12 January 2022.</w:t>
      </w:r>
    </w:p>
    <w:p w14:paraId="6DA3157F" w14:textId="6BDAB0A6" w:rsidR="00F91525" w:rsidRDefault="00906A55" w:rsidP="009F2B7C">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00311DB3">
        <w:rPr>
          <w:rFonts w:ascii="Times New Roman" w:hAnsi="Times New Roman" w:cs="Times New Roman"/>
          <w:sz w:val="24"/>
          <w:szCs w:val="24"/>
        </w:rPr>
        <w:t>28]</w:t>
      </w:r>
      <w:r>
        <w:rPr>
          <w:rFonts w:ascii="Times New Roman" w:hAnsi="Times New Roman" w:cs="Times New Roman"/>
          <w:sz w:val="24"/>
          <w:szCs w:val="24"/>
        </w:rPr>
        <w:t xml:space="preserve"> What this ebullience demonstrates is the inability or unwillingness of parties to reflect on the cause of their dispute and logically approach its resolution. By whatever means. The matters which troubled the parties </w:t>
      </w:r>
      <w:r w:rsidR="00F91525">
        <w:rPr>
          <w:rFonts w:ascii="Times New Roman" w:hAnsi="Times New Roman" w:cs="Times New Roman"/>
          <w:sz w:val="24"/>
          <w:szCs w:val="24"/>
        </w:rPr>
        <w:t xml:space="preserve">could possibly be addressed by </w:t>
      </w:r>
      <w:r>
        <w:rPr>
          <w:rFonts w:ascii="Times New Roman" w:hAnsi="Times New Roman" w:cs="Times New Roman"/>
          <w:sz w:val="24"/>
          <w:szCs w:val="24"/>
        </w:rPr>
        <w:t xml:space="preserve">the Registrar of Companies under his or her powers in terms of Part II of Chapter II of the </w:t>
      </w:r>
    </w:p>
    <w:p w14:paraId="03A5A5C8" w14:textId="09403FE9" w:rsidR="00F91525" w:rsidRDefault="00F91525" w:rsidP="009F2B7C">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sidR="00311DB3">
        <w:rPr>
          <w:rFonts w:ascii="Times New Roman" w:hAnsi="Times New Roman" w:cs="Times New Roman"/>
          <w:sz w:val="24"/>
          <w:szCs w:val="24"/>
        </w:rPr>
        <w:t>9</w:t>
      </w:r>
      <w:r>
        <w:rPr>
          <w:rFonts w:ascii="Times New Roman" w:hAnsi="Times New Roman" w:cs="Times New Roman"/>
          <w:sz w:val="24"/>
          <w:szCs w:val="24"/>
        </w:rPr>
        <w:t xml:space="preserve">] That aside, even where parties elect to pursue remedies in the courts, surely, they should craft some basic strategy as to how to go about it? Who are foes? Who are our allies? Who shall associate with us in the legal proceedings? Who shall file supporting affidavits?  How shall we approach the courts? What exactly is the relief we require? </w:t>
      </w:r>
    </w:p>
    <w:p w14:paraId="455372F4" w14:textId="292322AF" w:rsidR="009F2B7C" w:rsidRPr="009F2B7C" w:rsidRDefault="00F91525" w:rsidP="009F2B7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11DB3">
        <w:rPr>
          <w:rFonts w:ascii="Times New Roman" w:hAnsi="Times New Roman" w:cs="Times New Roman"/>
          <w:sz w:val="24"/>
          <w:szCs w:val="24"/>
        </w:rPr>
        <w:t>30</w:t>
      </w:r>
      <w:r>
        <w:rPr>
          <w:rFonts w:ascii="Times New Roman" w:hAnsi="Times New Roman" w:cs="Times New Roman"/>
          <w:sz w:val="24"/>
          <w:szCs w:val="24"/>
        </w:rPr>
        <w:t>] My firm conviction is that had the parties considered the above matters, as they were obliged to have done, then the present predicament would have been averted. Where there are respondents who have filed opposing papers to a cause they are supportive of.</w:t>
      </w:r>
      <w:r w:rsidR="00906A55">
        <w:rPr>
          <w:rFonts w:ascii="Times New Roman" w:hAnsi="Times New Roman" w:cs="Times New Roman"/>
          <w:sz w:val="24"/>
          <w:szCs w:val="24"/>
        </w:rPr>
        <w:t xml:space="preserve"> </w:t>
      </w:r>
      <w:r w:rsidR="009F2B7C">
        <w:rPr>
          <w:rFonts w:ascii="Times New Roman" w:hAnsi="Times New Roman" w:cs="Times New Roman"/>
          <w:sz w:val="24"/>
          <w:szCs w:val="24"/>
        </w:rPr>
        <w:t xml:space="preserve"> </w:t>
      </w:r>
    </w:p>
    <w:p w14:paraId="3A7001B6" w14:textId="089ED189" w:rsidR="0006591B" w:rsidRDefault="00F91525" w:rsidP="000659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DISPOSITION </w:t>
      </w:r>
    </w:p>
    <w:p w14:paraId="55140D2D" w14:textId="6006EAB9" w:rsidR="006C62C2" w:rsidRDefault="006C62C2" w:rsidP="0006591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311DB3">
        <w:rPr>
          <w:rFonts w:ascii="Times New Roman" w:hAnsi="Times New Roman" w:cs="Times New Roman"/>
          <w:sz w:val="24"/>
          <w:szCs w:val="24"/>
        </w:rPr>
        <w:t>1</w:t>
      </w:r>
      <w:r>
        <w:rPr>
          <w:rFonts w:ascii="Times New Roman" w:hAnsi="Times New Roman" w:cs="Times New Roman"/>
          <w:sz w:val="24"/>
          <w:szCs w:val="24"/>
        </w:rPr>
        <w:t xml:space="preserve">] </w:t>
      </w:r>
      <w:r w:rsidR="00F91525">
        <w:rPr>
          <w:rFonts w:ascii="Times New Roman" w:hAnsi="Times New Roman" w:cs="Times New Roman"/>
          <w:sz w:val="24"/>
          <w:szCs w:val="24"/>
        </w:rPr>
        <w:t xml:space="preserve">The point taken in limine by applicant </w:t>
      </w:r>
      <w:r w:rsidR="00BD0546">
        <w:rPr>
          <w:rFonts w:ascii="Times New Roman" w:hAnsi="Times New Roman" w:cs="Times New Roman"/>
          <w:sz w:val="24"/>
          <w:szCs w:val="24"/>
        </w:rPr>
        <w:t xml:space="preserve">raising the fatal defects in </w:t>
      </w:r>
      <w:r w:rsidR="00DA4977">
        <w:rPr>
          <w:rFonts w:ascii="Times New Roman" w:hAnsi="Times New Roman" w:cs="Times New Roman"/>
          <w:sz w:val="24"/>
          <w:szCs w:val="24"/>
        </w:rPr>
        <w:t xml:space="preserve">the notice of </w:t>
      </w:r>
      <w:r w:rsidR="007A576E">
        <w:rPr>
          <w:rFonts w:ascii="Times New Roman" w:hAnsi="Times New Roman" w:cs="Times New Roman"/>
          <w:sz w:val="24"/>
          <w:szCs w:val="24"/>
        </w:rPr>
        <w:t>opposition</w:t>
      </w:r>
      <w:r w:rsidR="00F91525">
        <w:rPr>
          <w:rFonts w:ascii="Times New Roman" w:hAnsi="Times New Roman" w:cs="Times New Roman"/>
          <w:sz w:val="24"/>
          <w:szCs w:val="24"/>
        </w:rPr>
        <w:t xml:space="preserve"> </w:t>
      </w:r>
      <w:r w:rsidR="00DA4977">
        <w:rPr>
          <w:rFonts w:ascii="Times New Roman" w:hAnsi="Times New Roman" w:cs="Times New Roman"/>
          <w:sz w:val="24"/>
          <w:szCs w:val="24"/>
        </w:rPr>
        <w:t>its opposing</w:t>
      </w:r>
      <w:r w:rsidR="00F91525">
        <w:rPr>
          <w:rFonts w:ascii="Times New Roman" w:hAnsi="Times New Roman" w:cs="Times New Roman"/>
          <w:sz w:val="24"/>
          <w:szCs w:val="24"/>
        </w:rPr>
        <w:t xml:space="preserve"> affidavit filed on by and on behalf of second and third respondent </w:t>
      </w:r>
      <w:r w:rsidR="007A576E">
        <w:rPr>
          <w:rFonts w:ascii="Times New Roman" w:hAnsi="Times New Roman" w:cs="Times New Roman"/>
          <w:sz w:val="24"/>
          <w:szCs w:val="24"/>
        </w:rPr>
        <w:t xml:space="preserve">must succeed. The papers </w:t>
      </w:r>
      <w:r w:rsidR="00F91525">
        <w:rPr>
          <w:rFonts w:ascii="Times New Roman" w:hAnsi="Times New Roman" w:cs="Times New Roman"/>
          <w:sz w:val="24"/>
          <w:szCs w:val="24"/>
        </w:rPr>
        <w:t>are improperly before the court</w:t>
      </w:r>
      <w:r w:rsidR="007A576E">
        <w:rPr>
          <w:rFonts w:ascii="Times New Roman" w:hAnsi="Times New Roman" w:cs="Times New Roman"/>
          <w:sz w:val="24"/>
          <w:szCs w:val="24"/>
        </w:rPr>
        <w:t xml:space="preserve"> and must</w:t>
      </w:r>
      <w:r w:rsidR="00F91525">
        <w:rPr>
          <w:rFonts w:ascii="Times New Roman" w:hAnsi="Times New Roman" w:cs="Times New Roman"/>
          <w:sz w:val="24"/>
          <w:szCs w:val="24"/>
        </w:rPr>
        <w:t xml:space="preserve"> be expunged. </w:t>
      </w:r>
      <w:r w:rsidR="00DA4977">
        <w:rPr>
          <w:rFonts w:ascii="Times New Roman" w:hAnsi="Times New Roman" w:cs="Times New Roman"/>
          <w:sz w:val="24"/>
          <w:szCs w:val="24"/>
        </w:rPr>
        <w:t xml:space="preserve">On the question of costs, I am inclined to let each party bear its own for two reasons. </w:t>
      </w:r>
    </w:p>
    <w:p w14:paraId="5BFD671F" w14:textId="14802287" w:rsidR="00F91525" w:rsidRDefault="006C62C2" w:rsidP="0006591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00311DB3">
        <w:rPr>
          <w:rFonts w:ascii="Times New Roman" w:hAnsi="Times New Roman" w:cs="Times New Roman"/>
          <w:sz w:val="24"/>
          <w:szCs w:val="24"/>
        </w:rPr>
        <w:t>2</w:t>
      </w:r>
      <w:r>
        <w:rPr>
          <w:rFonts w:ascii="Times New Roman" w:hAnsi="Times New Roman" w:cs="Times New Roman"/>
          <w:sz w:val="24"/>
          <w:szCs w:val="24"/>
        </w:rPr>
        <w:t xml:space="preserve">] </w:t>
      </w:r>
      <w:r w:rsidR="00DA4977">
        <w:rPr>
          <w:rFonts w:ascii="Times New Roman" w:hAnsi="Times New Roman" w:cs="Times New Roman"/>
          <w:sz w:val="24"/>
          <w:szCs w:val="24"/>
        </w:rPr>
        <w:t>Firstly, the parties engaged in this exercise to ventilate a query in assisting the court. Secondly, the applicant subsequently raised a number of extraneous arguments which strayed away from the court`s inquiry. For clarity, those submissions will be disregarded and expunged as well. A number of them seek to reopen argument and without following the proper route prescribed by the rules of court.</w:t>
      </w:r>
    </w:p>
    <w:p w14:paraId="6D04A885" w14:textId="687C0F5C" w:rsidR="00DA4977" w:rsidRDefault="006C62C2" w:rsidP="0006591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t>
      </w:r>
      <w:r w:rsidR="00311DB3">
        <w:rPr>
          <w:rFonts w:ascii="Times New Roman" w:hAnsi="Times New Roman" w:cs="Times New Roman"/>
          <w:sz w:val="24"/>
          <w:szCs w:val="24"/>
        </w:rPr>
        <w:t>is ordered</w:t>
      </w:r>
      <w:r>
        <w:rPr>
          <w:rFonts w:ascii="Times New Roman" w:hAnsi="Times New Roman" w:cs="Times New Roman"/>
          <w:sz w:val="24"/>
          <w:szCs w:val="24"/>
        </w:rPr>
        <w:t>; -</w:t>
      </w:r>
    </w:p>
    <w:p w14:paraId="4029C9FC" w14:textId="2D0D9276" w:rsidR="006C62C2" w:rsidRDefault="005D5BF2" w:rsidP="0006591B">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006C62C2">
        <w:rPr>
          <w:rFonts w:ascii="Times New Roman" w:hAnsi="Times New Roman" w:cs="Times New Roman"/>
          <w:sz w:val="24"/>
          <w:szCs w:val="24"/>
        </w:rPr>
        <w:t>That second and third respondents notice of opposition and opposing affidavit be and are hereby ruled improperly before the court in case number HC 6649/21 and expunged from the record.</w:t>
      </w:r>
    </w:p>
    <w:p w14:paraId="1D2C1D6F" w14:textId="77777777" w:rsidR="006C62C2" w:rsidRDefault="006C62C2" w:rsidP="0006591B">
      <w:pPr>
        <w:spacing w:line="360" w:lineRule="auto"/>
        <w:jc w:val="both"/>
        <w:rPr>
          <w:rFonts w:ascii="Times New Roman" w:hAnsi="Times New Roman" w:cs="Times New Roman"/>
          <w:sz w:val="24"/>
          <w:szCs w:val="24"/>
        </w:rPr>
      </w:pPr>
    </w:p>
    <w:p w14:paraId="6B12D4ED" w14:textId="0856E337" w:rsidR="006C62C2" w:rsidRPr="006C62C2" w:rsidRDefault="006C62C2" w:rsidP="006C62C2">
      <w:pPr>
        <w:pStyle w:val="NoSpacing"/>
        <w:rPr>
          <w:rFonts w:ascii="Times New Roman" w:hAnsi="Times New Roman" w:cs="Times New Roman"/>
          <w:sz w:val="24"/>
          <w:szCs w:val="24"/>
        </w:rPr>
      </w:pPr>
      <w:r w:rsidRPr="006C62C2">
        <w:rPr>
          <w:rFonts w:ascii="Times New Roman" w:hAnsi="Times New Roman" w:cs="Times New Roman"/>
          <w:i/>
          <w:iCs/>
          <w:sz w:val="24"/>
          <w:szCs w:val="24"/>
        </w:rPr>
        <w:lastRenderedPageBreak/>
        <w:t>John Mugogo Attorneys</w:t>
      </w:r>
      <w:r w:rsidRPr="006C62C2">
        <w:rPr>
          <w:rFonts w:ascii="Times New Roman" w:hAnsi="Times New Roman" w:cs="Times New Roman"/>
          <w:sz w:val="24"/>
          <w:szCs w:val="24"/>
        </w:rPr>
        <w:t>-applicant`s legal practitioners</w:t>
      </w:r>
    </w:p>
    <w:p w14:paraId="1C6BE0E3" w14:textId="5936479E" w:rsidR="006C62C2" w:rsidRPr="006C62C2" w:rsidRDefault="006C62C2" w:rsidP="006C62C2">
      <w:pPr>
        <w:pStyle w:val="NoSpacing"/>
        <w:rPr>
          <w:rFonts w:ascii="Times New Roman" w:hAnsi="Times New Roman" w:cs="Times New Roman"/>
          <w:sz w:val="24"/>
          <w:szCs w:val="24"/>
        </w:rPr>
      </w:pPr>
      <w:r w:rsidRPr="006C62C2">
        <w:rPr>
          <w:rFonts w:ascii="Times New Roman" w:hAnsi="Times New Roman" w:cs="Times New Roman"/>
          <w:i/>
          <w:iCs/>
          <w:sz w:val="24"/>
          <w:szCs w:val="24"/>
        </w:rPr>
        <w:t>Mufari and Paradzayi</w:t>
      </w:r>
      <w:r w:rsidRPr="006C62C2">
        <w:rPr>
          <w:rFonts w:ascii="Times New Roman" w:hAnsi="Times New Roman" w:cs="Times New Roman"/>
          <w:sz w:val="24"/>
          <w:szCs w:val="24"/>
        </w:rPr>
        <w:t>-first respondent`s legal practitioners</w:t>
      </w:r>
    </w:p>
    <w:p w14:paraId="7DFA16F6" w14:textId="7E19EE42" w:rsidR="006C62C2" w:rsidRPr="006C62C2" w:rsidRDefault="006C62C2" w:rsidP="006C62C2">
      <w:pPr>
        <w:pStyle w:val="NoSpacing"/>
        <w:rPr>
          <w:rFonts w:ascii="Times New Roman" w:hAnsi="Times New Roman" w:cs="Times New Roman"/>
          <w:sz w:val="24"/>
          <w:szCs w:val="24"/>
        </w:rPr>
      </w:pPr>
      <w:r w:rsidRPr="006C62C2">
        <w:rPr>
          <w:rFonts w:ascii="Times New Roman" w:hAnsi="Times New Roman" w:cs="Times New Roman"/>
          <w:i/>
          <w:iCs/>
          <w:sz w:val="24"/>
          <w:szCs w:val="24"/>
        </w:rPr>
        <w:t>Stancilous and Asspociates</w:t>
      </w:r>
      <w:r w:rsidRPr="006C62C2">
        <w:rPr>
          <w:rFonts w:ascii="Times New Roman" w:hAnsi="Times New Roman" w:cs="Times New Roman"/>
          <w:sz w:val="24"/>
          <w:szCs w:val="24"/>
        </w:rPr>
        <w:t>-second and third respondents` legal practitioners</w:t>
      </w:r>
    </w:p>
    <w:p w14:paraId="53DFBF6E" w14:textId="77777777" w:rsidR="00864747" w:rsidRDefault="00864747" w:rsidP="00864275">
      <w:pPr>
        <w:spacing w:line="360" w:lineRule="auto"/>
        <w:jc w:val="both"/>
        <w:rPr>
          <w:rFonts w:ascii="Times New Roman" w:hAnsi="Times New Roman" w:cs="Times New Roman"/>
          <w:sz w:val="24"/>
          <w:szCs w:val="24"/>
        </w:rPr>
      </w:pPr>
    </w:p>
    <w:p w14:paraId="3B8D300D" w14:textId="58EB038B" w:rsidR="007E71A9" w:rsidRDefault="006C62C2" w:rsidP="008642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CHILIMBE J_____31/7/23</w:t>
      </w:r>
    </w:p>
    <w:p w14:paraId="683EC4CF" w14:textId="77777777" w:rsidR="00864275" w:rsidRDefault="00864275" w:rsidP="00864275">
      <w:pPr>
        <w:spacing w:line="360" w:lineRule="auto"/>
        <w:jc w:val="both"/>
        <w:rPr>
          <w:rFonts w:ascii="Times New Roman" w:hAnsi="Times New Roman" w:cs="Times New Roman"/>
          <w:sz w:val="24"/>
          <w:szCs w:val="24"/>
        </w:rPr>
      </w:pPr>
    </w:p>
    <w:sectPr w:rsidR="0086427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738A5" w14:textId="77777777" w:rsidR="008D1956" w:rsidRDefault="008D1956" w:rsidP="009F19BE">
      <w:pPr>
        <w:spacing w:after="0" w:line="240" w:lineRule="auto"/>
      </w:pPr>
      <w:r>
        <w:separator/>
      </w:r>
    </w:p>
  </w:endnote>
  <w:endnote w:type="continuationSeparator" w:id="0">
    <w:p w14:paraId="2D349316" w14:textId="77777777" w:rsidR="008D1956" w:rsidRDefault="008D1956" w:rsidP="009F19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EA7C6" w14:textId="77777777" w:rsidR="008D1956" w:rsidRDefault="008D1956" w:rsidP="009F19BE">
      <w:pPr>
        <w:spacing w:after="0" w:line="240" w:lineRule="auto"/>
      </w:pPr>
      <w:r>
        <w:separator/>
      </w:r>
    </w:p>
  </w:footnote>
  <w:footnote w:type="continuationSeparator" w:id="0">
    <w:p w14:paraId="77B4F0AD" w14:textId="77777777" w:rsidR="008D1956" w:rsidRDefault="008D1956" w:rsidP="009F19BE">
      <w:pPr>
        <w:spacing w:after="0" w:line="240" w:lineRule="auto"/>
      </w:pPr>
      <w:r>
        <w:continuationSeparator/>
      </w:r>
    </w:p>
  </w:footnote>
  <w:footnote w:id="1">
    <w:p w14:paraId="36DBF002" w14:textId="77777777" w:rsidR="00FC3C23" w:rsidRDefault="00FC3C23" w:rsidP="00FC3C23">
      <w:pPr>
        <w:pStyle w:val="FootnoteText"/>
      </w:pPr>
      <w:r>
        <w:rPr>
          <w:rStyle w:val="FootnoteReference"/>
        </w:rPr>
        <w:footnoteRef/>
      </w:r>
      <w:r>
        <w:t xml:space="preserve"> The hearing is certainly not an appeal against nor a review of, the Labour Officer’s ruling. This is because the procedure that is set out in sub-sections (5a) and (5b) is not capable of accommodating an appeal or review process in relation to the labour officer’s ruling. </w:t>
      </w:r>
    </w:p>
  </w:footnote>
  <w:footnote w:id="2">
    <w:p w14:paraId="12079B09" w14:textId="209F9984" w:rsidR="009F2B7C" w:rsidRDefault="009F2B7C">
      <w:pPr>
        <w:pStyle w:val="FootnoteText"/>
      </w:pPr>
      <w:r>
        <w:rPr>
          <w:rStyle w:val="FootnoteReference"/>
        </w:rPr>
        <w:footnoteRef/>
      </w:r>
      <w:r>
        <w:t xml:space="preserve"> </w:t>
      </w:r>
      <w:r w:rsidR="00BD0546">
        <w:t xml:space="preserve">The learned Chief Justice presented a paper titled </w:t>
      </w:r>
      <w:r w:rsidR="00BD0546" w:rsidRPr="00BD0546">
        <w:rPr>
          <w:u w:val="single"/>
        </w:rPr>
        <w:t>Judgment Writing</w:t>
      </w:r>
      <w:r w:rsidR="00BD0546">
        <w:t xml:space="preserve"> published in the compilation; -</w:t>
      </w:r>
      <w:r w:rsidR="00BD0546" w:rsidRPr="00BD0546">
        <w:rPr>
          <w:u w:val="single"/>
        </w:rPr>
        <w:t>Judges Induction Compendium November 2021 Editio</w:t>
      </w:r>
      <w:r w:rsidR="00BD0546">
        <w:t xml:space="preserve">n by the Judicial Training College of Zimbabwe.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6657625"/>
      <w:docPartObj>
        <w:docPartGallery w:val="Page Numbers (Top of Page)"/>
        <w:docPartUnique/>
      </w:docPartObj>
    </w:sdtPr>
    <w:sdtEndPr>
      <w:rPr>
        <w:noProof/>
      </w:rPr>
    </w:sdtEndPr>
    <w:sdtContent>
      <w:p w14:paraId="33D3B689" w14:textId="225DFE54" w:rsidR="009F19BE" w:rsidRDefault="009F19BE" w:rsidP="009E4E0D">
        <w:pPr>
          <w:pStyle w:val="Header"/>
          <w:jc w:val="right"/>
          <w:rPr>
            <w:noProof/>
          </w:rPr>
        </w:pPr>
        <w:r>
          <w:fldChar w:fldCharType="begin"/>
        </w:r>
        <w:r>
          <w:instrText xml:space="preserve"> PAGE   \* MERGEFORMAT </w:instrText>
        </w:r>
        <w:r>
          <w:fldChar w:fldCharType="separate"/>
        </w:r>
        <w:r w:rsidR="00653AE6">
          <w:rPr>
            <w:noProof/>
          </w:rPr>
          <w:t>1</w:t>
        </w:r>
        <w:r>
          <w:rPr>
            <w:noProof/>
          </w:rPr>
          <w:fldChar w:fldCharType="end"/>
        </w:r>
      </w:p>
      <w:p w14:paraId="25FD3C60" w14:textId="23ABE5AF" w:rsidR="009F19BE" w:rsidRDefault="009F19BE" w:rsidP="009E4E0D">
        <w:pPr>
          <w:pStyle w:val="Header"/>
          <w:jc w:val="right"/>
          <w:rPr>
            <w:noProof/>
          </w:rPr>
        </w:pPr>
        <w:r>
          <w:rPr>
            <w:noProof/>
          </w:rPr>
          <w:t>HH</w:t>
        </w:r>
        <w:r w:rsidR="00311DB3">
          <w:rPr>
            <w:noProof/>
          </w:rPr>
          <w:t xml:space="preserve"> 471-23</w:t>
        </w:r>
      </w:p>
      <w:p w14:paraId="4480615E" w14:textId="77777777" w:rsidR="008D639E" w:rsidRDefault="009F19BE" w:rsidP="009E4E0D">
        <w:pPr>
          <w:pStyle w:val="Header"/>
          <w:jc w:val="right"/>
          <w:rPr>
            <w:noProof/>
          </w:rPr>
        </w:pPr>
        <w:r>
          <w:rPr>
            <w:noProof/>
          </w:rPr>
          <w:t>HC</w:t>
        </w:r>
        <w:r w:rsidR="0029136E">
          <w:rPr>
            <w:noProof/>
          </w:rPr>
          <w:t xml:space="preserve"> 6649/21</w:t>
        </w:r>
      </w:p>
      <w:p w14:paraId="33248995" w14:textId="17EC30F3" w:rsidR="009F19BE" w:rsidRDefault="008D639E" w:rsidP="009E4E0D">
        <w:pPr>
          <w:pStyle w:val="Header"/>
          <w:jc w:val="right"/>
        </w:pPr>
        <w:r>
          <w:rPr>
            <w:noProof/>
          </w:rPr>
          <w:t>HC 6353/21</w:t>
        </w:r>
      </w:p>
    </w:sdtContent>
  </w:sdt>
  <w:p w14:paraId="6C4C15A0" w14:textId="77777777" w:rsidR="009F19BE" w:rsidRDefault="009F19B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913804"/>
    <w:multiLevelType w:val="hybridMultilevel"/>
    <w:tmpl w:val="53428154"/>
    <w:lvl w:ilvl="0" w:tplc="30090011">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BE"/>
    <w:rsid w:val="0006591B"/>
    <w:rsid w:val="000A0232"/>
    <w:rsid w:val="001A670D"/>
    <w:rsid w:val="001E5A29"/>
    <w:rsid w:val="00220C74"/>
    <w:rsid w:val="002662B4"/>
    <w:rsid w:val="0029136E"/>
    <w:rsid w:val="00311DB3"/>
    <w:rsid w:val="003201F5"/>
    <w:rsid w:val="004839CB"/>
    <w:rsid w:val="004B2F00"/>
    <w:rsid w:val="004F67C2"/>
    <w:rsid w:val="0051665B"/>
    <w:rsid w:val="005219FD"/>
    <w:rsid w:val="00522E22"/>
    <w:rsid w:val="005810DF"/>
    <w:rsid w:val="005C40C4"/>
    <w:rsid w:val="005D5BF2"/>
    <w:rsid w:val="00653AE6"/>
    <w:rsid w:val="00682981"/>
    <w:rsid w:val="006A3606"/>
    <w:rsid w:val="006C62C2"/>
    <w:rsid w:val="00743640"/>
    <w:rsid w:val="00791537"/>
    <w:rsid w:val="007A576E"/>
    <w:rsid w:val="007D7BC3"/>
    <w:rsid w:val="007E71A9"/>
    <w:rsid w:val="00864275"/>
    <w:rsid w:val="00864747"/>
    <w:rsid w:val="00887568"/>
    <w:rsid w:val="008D1956"/>
    <w:rsid w:val="008D639E"/>
    <w:rsid w:val="00906A55"/>
    <w:rsid w:val="00934E0D"/>
    <w:rsid w:val="009A4E78"/>
    <w:rsid w:val="009E4E0D"/>
    <w:rsid w:val="009F19BE"/>
    <w:rsid w:val="009F2B7C"/>
    <w:rsid w:val="00A72C7C"/>
    <w:rsid w:val="00AD5D39"/>
    <w:rsid w:val="00BD0546"/>
    <w:rsid w:val="00C51311"/>
    <w:rsid w:val="00C70010"/>
    <w:rsid w:val="00C9108E"/>
    <w:rsid w:val="00D53EFE"/>
    <w:rsid w:val="00DA4977"/>
    <w:rsid w:val="00E00F8E"/>
    <w:rsid w:val="00F22D17"/>
    <w:rsid w:val="00F91525"/>
    <w:rsid w:val="00FC3C2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5DE9"/>
  <w15:chartTrackingRefBased/>
  <w15:docId w15:val="{3BAD43D5-9FEB-4D36-BD0C-4D498142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9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9BE"/>
  </w:style>
  <w:style w:type="paragraph" w:styleId="Footer">
    <w:name w:val="footer"/>
    <w:basedOn w:val="Normal"/>
    <w:link w:val="FooterChar"/>
    <w:uiPriority w:val="99"/>
    <w:unhideWhenUsed/>
    <w:rsid w:val="009F19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9BE"/>
  </w:style>
  <w:style w:type="paragraph" w:styleId="NoSpacing">
    <w:name w:val="No Spacing"/>
    <w:uiPriority w:val="1"/>
    <w:qFormat/>
    <w:rsid w:val="00AD5D39"/>
    <w:pPr>
      <w:spacing w:after="0" w:line="240" w:lineRule="auto"/>
    </w:pPr>
  </w:style>
  <w:style w:type="paragraph" w:styleId="FootnoteText">
    <w:name w:val="footnote text"/>
    <w:basedOn w:val="Normal"/>
    <w:link w:val="FootnoteTextChar"/>
    <w:uiPriority w:val="99"/>
    <w:semiHidden/>
    <w:unhideWhenUsed/>
    <w:rsid w:val="00934E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4E0D"/>
    <w:rPr>
      <w:sz w:val="20"/>
      <w:szCs w:val="20"/>
    </w:rPr>
  </w:style>
  <w:style w:type="character" w:styleId="FootnoteReference">
    <w:name w:val="footnote reference"/>
    <w:basedOn w:val="DefaultParagraphFont"/>
    <w:uiPriority w:val="99"/>
    <w:semiHidden/>
    <w:unhideWhenUsed/>
    <w:rsid w:val="00934E0D"/>
    <w:rPr>
      <w:vertAlign w:val="superscript"/>
    </w:rPr>
  </w:style>
  <w:style w:type="paragraph" w:styleId="ListParagraph">
    <w:name w:val="List Paragraph"/>
    <w:basedOn w:val="Normal"/>
    <w:uiPriority w:val="34"/>
    <w:qFormat/>
    <w:rsid w:val="008D63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0C6C-001B-4126-8C5D-6EC574DE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2122</Words>
  <Characters>12097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2023-07-31T09:46:00Z</cp:lastPrinted>
  <dcterms:created xsi:type="dcterms:W3CDTF">2023-08-11T10:15:00Z</dcterms:created>
  <dcterms:modified xsi:type="dcterms:W3CDTF">2023-08-11T10:15:00Z</dcterms:modified>
</cp:coreProperties>
</file>