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13" w:rsidRDefault="00854A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THE LABOUR COURT OF ZIMBABWE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JUDGMENT NO LC/H/</w:t>
      </w:r>
      <w:r w:rsidR="001A720C">
        <w:rPr>
          <w:b/>
          <w:sz w:val="24"/>
          <w:szCs w:val="24"/>
        </w:rPr>
        <w:t>550</w:t>
      </w:r>
      <w:r>
        <w:rPr>
          <w:b/>
          <w:sz w:val="24"/>
          <w:szCs w:val="24"/>
        </w:rPr>
        <w:t>/16</w:t>
      </w:r>
    </w:p>
    <w:p w:rsidR="00854A4F" w:rsidRDefault="00854A4F">
      <w:pPr>
        <w:rPr>
          <w:b/>
          <w:sz w:val="24"/>
          <w:szCs w:val="24"/>
        </w:rPr>
      </w:pPr>
      <w:r>
        <w:rPr>
          <w:b/>
          <w:sz w:val="24"/>
          <w:szCs w:val="24"/>
        </w:rPr>
        <w:t>HELD AT HARARE 30 JUNE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CASE NO LC/H/233/16</w:t>
      </w:r>
    </w:p>
    <w:p w:rsidR="00854A4F" w:rsidRDefault="00854A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&amp; </w:t>
      </w:r>
      <w:r w:rsidR="00ED756D">
        <w:rPr>
          <w:b/>
          <w:sz w:val="24"/>
          <w:szCs w:val="24"/>
        </w:rPr>
        <w:t>9 SEPTEMBER</w:t>
      </w:r>
      <w:r>
        <w:rPr>
          <w:b/>
          <w:sz w:val="24"/>
          <w:szCs w:val="24"/>
        </w:rPr>
        <w:t xml:space="preserve"> 2016</w:t>
      </w:r>
    </w:p>
    <w:p w:rsidR="00854A4F" w:rsidRDefault="00854A4F">
      <w:pPr>
        <w:rPr>
          <w:sz w:val="24"/>
          <w:szCs w:val="24"/>
        </w:rPr>
      </w:pPr>
      <w:r>
        <w:rPr>
          <w:sz w:val="24"/>
          <w:szCs w:val="24"/>
        </w:rPr>
        <w:t>In the matter between:</w:t>
      </w:r>
    </w:p>
    <w:p w:rsidR="00854A4F" w:rsidRDefault="00854A4F" w:rsidP="00854A4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GODFREY CHIPUMHA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Appellant</w:t>
      </w:r>
    </w:p>
    <w:p w:rsidR="00854A4F" w:rsidRDefault="00854A4F" w:rsidP="00854A4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And</w:t>
      </w:r>
    </w:p>
    <w:p w:rsidR="00854A4F" w:rsidRDefault="00854A4F" w:rsidP="00854A4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BARCLAYS BANK OF ZIMBABWE LTD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</w:t>
      </w:r>
    </w:p>
    <w:p w:rsidR="00854A4F" w:rsidRDefault="00854A4F" w:rsidP="00854A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Before The Honourable Hove, J</w:t>
      </w:r>
    </w:p>
    <w:p w:rsidR="00854A4F" w:rsidRDefault="00854A4F" w:rsidP="00854A4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Appellant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Ms S Omar (Legal Practitioner)</w:t>
      </w:r>
    </w:p>
    <w:p w:rsidR="00854A4F" w:rsidRDefault="00854A4F" w:rsidP="00854A4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Respondent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E T </w:t>
      </w:r>
      <w:proofErr w:type="spellStart"/>
      <w:r>
        <w:rPr>
          <w:b/>
          <w:sz w:val="24"/>
          <w:szCs w:val="24"/>
        </w:rPr>
        <w:t>Moyo</w:t>
      </w:r>
      <w:proofErr w:type="spellEnd"/>
      <w:r>
        <w:rPr>
          <w:b/>
          <w:sz w:val="24"/>
          <w:szCs w:val="24"/>
        </w:rPr>
        <w:t xml:space="preserve"> (Legal Practitioner)</w:t>
      </w:r>
    </w:p>
    <w:p w:rsidR="00854A4F" w:rsidRDefault="00854A4F" w:rsidP="00854A4F">
      <w:pPr>
        <w:spacing w:line="360" w:lineRule="auto"/>
        <w:jc w:val="both"/>
        <w:rPr>
          <w:b/>
          <w:sz w:val="24"/>
          <w:szCs w:val="24"/>
        </w:rPr>
      </w:pPr>
    </w:p>
    <w:p w:rsidR="00854A4F" w:rsidRDefault="00854A4F" w:rsidP="00854A4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HOVE J:</w:t>
      </w:r>
    </w:p>
    <w:p w:rsidR="00854A4F" w:rsidRDefault="00854A4F" w:rsidP="00854A4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This is an appeal from the decision of the respondent’s appeal board.</w:t>
      </w:r>
    </w:p>
    <w:p w:rsidR="00854A4F" w:rsidRDefault="00854A4F" w:rsidP="009D04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background of the matter is that the appellant is employed by the respondent as a relationship manager.</w:t>
      </w:r>
    </w:p>
    <w:p w:rsidR="00854A4F" w:rsidRDefault="00854A4F" w:rsidP="009D04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On 15 April 2008, the applicant was appointed as a man</w:t>
      </w:r>
      <w:r w:rsidR="005B1178">
        <w:rPr>
          <w:sz w:val="24"/>
          <w:szCs w:val="24"/>
        </w:rPr>
        <w:t>ag</w:t>
      </w:r>
      <w:r>
        <w:rPr>
          <w:sz w:val="24"/>
          <w:szCs w:val="24"/>
        </w:rPr>
        <w:t xml:space="preserve">er and since his appointment in </w:t>
      </w:r>
      <w:proofErr w:type="gramStart"/>
      <w:r>
        <w:rPr>
          <w:sz w:val="24"/>
          <w:szCs w:val="24"/>
        </w:rPr>
        <w:t>2008,</w:t>
      </w:r>
      <w:proofErr w:type="gramEnd"/>
      <w:r>
        <w:rPr>
          <w:sz w:val="24"/>
          <w:szCs w:val="24"/>
        </w:rPr>
        <w:t xml:space="preserve"> he had use of a Nissan/J85/D/CAB.  He was allowed to purchase the vehicle in 2010 and in 2011 he was given a second motor vehicle, a Nissan NP300 which he continues to use to</w:t>
      </w:r>
      <w:r w:rsidR="005B1178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date.</w:t>
      </w:r>
    </w:p>
    <w:p w:rsidR="00854A4F" w:rsidRDefault="00854A4F" w:rsidP="00854A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</w:t>
      </w:r>
      <w:r w:rsidR="005B1178">
        <w:rPr>
          <w:sz w:val="24"/>
          <w:szCs w:val="24"/>
        </w:rPr>
        <w:t>n</w:t>
      </w:r>
      <w:r>
        <w:rPr>
          <w:sz w:val="24"/>
          <w:szCs w:val="24"/>
        </w:rPr>
        <w:t xml:space="preserve"> November 2015, some 4 years later, the respondent wrote to him, the contents of</w:t>
      </w:r>
      <w:r w:rsidR="005B1178">
        <w:rPr>
          <w:sz w:val="24"/>
          <w:szCs w:val="24"/>
        </w:rPr>
        <w:t xml:space="preserve"> which </w:t>
      </w:r>
      <w:r>
        <w:rPr>
          <w:sz w:val="24"/>
          <w:szCs w:val="24"/>
        </w:rPr>
        <w:t>letter aggrieved the appellant who raised a grievance with the respondent.  The complaint was dealt with by the Grievance Committee which held a hearing on the matter and dismissed the complaint.  An appeal to the internal appeals board was not successful and hence this appeal to this court.</w:t>
      </w:r>
    </w:p>
    <w:p w:rsidR="00AF197D" w:rsidRDefault="00AF197D" w:rsidP="00854A4F">
      <w:pPr>
        <w:spacing w:line="360" w:lineRule="auto"/>
        <w:jc w:val="both"/>
        <w:rPr>
          <w:sz w:val="24"/>
          <w:szCs w:val="24"/>
        </w:rPr>
      </w:pPr>
    </w:p>
    <w:p w:rsidR="00AF197D" w:rsidRDefault="00AF197D" w:rsidP="00854A4F">
      <w:pPr>
        <w:spacing w:line="360" w:lineRule="auto"/>
        <w:jc w:val="both"/>
        <w:rPr>
          <w:sz w:val="24"/>
          <w:szCs w:val="24"/>
        </w:rPr>
      </w:pPr>
    </w:p>
    <w:p w:rsidR="009D04FA" w:rsidRDefault="009D04FA" w:rsidP="00854A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In the letter of November 2015 the respondent wrote as follows</w:t>
      </w:r>
    </w:p>
    <w:p w:rsidR="009D04FA" w:rsidRDefault="009D04FA" w:rsidP="009D04FA">
      <w:pPr>
        <w:spacing w:after="0" w:line="240" w:lineRule="auto"/>
        <w:ind w:left="1440"/>
        <w:jc w:val="both"/>
      </w:pPr>
      <w:r>
        <w:t>“We write to advise that the vehicle you are currently using, Reg. ABPO530, Nissan NP300 will remain a pool vehicle which</w:t>
      </w:r>
      <w:r w:rsidR="00ED5609">
        <w:t xml:space="preserve"> you are authorised to take </w:t>
      </w:r>
      <w:r>
        <w:t>home after hours and the following conditions will apply:</w:t>
      </w:r>
    </w:p>
    <w:p w:rsidR="009D04FA" w:rsidRDefault="009D04FA" w:rsidP="009D04F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vehicle will remain a pool vehicle and a tracking device shall be installed.</w:t>
      </w:r>
    </w:p>
    <w:p w:rsidR="009D04FA" w:rsidRDefault="009D04FA" w:rsidP="009D04F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vehicle will be used strictly for bank business and all other terms and conditions will apply.</w:t>
      </w:r>
    </w:p>
    <w:p w:rsidR="009D04FA" w:rsidRDefault="009D04FA" w:rsidP="009D04F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All out of Harare personal travels will require prior authority from your line manager.</w:t>
      </w:r>
    </w:p>
    <w:p w:rsidR="009D04FA" w:rsidRDefault="009D04FA" w:rsidP="009D04F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You will continue to use smart card already allocated to you for fuelling the vehicle.</w:t>
      </w:r>
    </w:p>
    <w:p w:rsidR="009D04FA" w:rsidRDefault="009D04FA" w:rsidP="009D04F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As you will be taking the vehicle home, fringe benefit tax shall apply for the use of the vehicle.</w:t>
      </w:r>
    </w:p>
    <w:p w:rsidR="009D04FA" w:rsidRDefault="009D04FA" w:rsidP="003F0A8F">
      <w:pPr>
        <w:spacing w:after="0" w:line="240" w:lineRule="auto"/>
        <w:ind w:left="2160"/>
        <w:jc w:val="both"/>
        <w:rPr>
          <w:sz w:val="24"/>
          <w:szCs w:val="24"/>
        </w:rPr>
      </w:pPr>
      <w:r w:rsidRPr="003F0A8F">
        <w:rPr>
          <w:sz w:val="24"/>
          <w:szCs w:val="24"/>
        </w:rPr>
        <w:t>Kindly acknowledge receipt of this letter by signing and re</w:t>
      </w:r>
      <w:r w:rsidR="003F0A8F">
        <w:rPr>
          <w:sz w:val="24"/>
          <w:szCs w:val="24"/>
        </w:rPr>
        <w:t>turning a copy to the undersigned within 7 days from the date of this letter.”</w:t>
      </w:r>
    </w:p>
    <w:p w:rsidR="003F0A8F" w:rsidRDefault="003F0A8F" w:rsidP="003F0A8F">
      <w:pPr>
        <w:spacing w:after="0" w:line="240" w:lineRule="auto"/>
        <w:ind w:left="2160"/>
        <w:jc w:val="both"/>
        <w:rPr>
          <w:sz w:val="24"/>
          <w:szCs w:val="24"/>
        </w:rPr>
      </w:pPr>
    </w:p>
    <w:p w:rsidR="003F0A8F" w:rsidRPr="003F0A8F" w:rsidRDefault="003F0A8F" w:rsidP="001A720C">
      <w:pPr>
        <w:spacing w:after="0" w:line="360" w:lineRule="auto"/>
        <w:jc w:val="both"/>
      </w:pPr>
      <w:r>
        <w:rPr>
          <w:sz w:val="24"/>
          <w:szCs w:val="24"/>
        </w:rPr>
        <w:tab/>
        <w:t>The appellant considered this to be a unilateral variation or alteration of</w:t>
      </w:r>
      <w:r w:rsidR="00ED5609">
        <w:rPr>
          <w:sz w:val="24"/>
          <w:szCs w:val="24"/>
        </w:rPr>
        <w:t xml:space="preserve"> a condition of his</w:t>
      </w:r>
      <w:r>
        <w:rPr>
          <w:sz w:val="24"/>
          <w:szCs w:val="24"/>
        </w:rPr>
        <w:t xml:space="preserve"> employment.  He considered this to </w:t>
      </w:r>
      <w:r w:rsidR="00ED5609">
        <w:rPr>
          <w:sz w:val="24"/>
          <w:szCs w:val="24"/>
        </w:rPr>
        <w:t>be so for the following reason.  When he first was allocated a vehicle, the following term</w:t>
      </w:r>
      <w:r w:rsidR="001A720C">
        <w:rPr>
          <w:sz w:val="24"/>
          <w:szCs w:val="24"/>
        </w:rPr>
        <w:t>s</w:t>
      </w:r>
      <w:r w:rsidR="00ED5609">
        <w:rPr>
          <w:sz w:val="24"/>
          <w:szCs w:val="24"/>
        </w:rPr>
        <w:t xml:space="preserve"> applied</w:t>
      </w:r>
      <w:r w:rsidR="001A720C">
        <w:rPr>
          <w:sz w:val="24"/>
          <w:szCs w:val="24"/>
        </w:rPr>
        <w:t>.</w:t>
      </w:r>
      <w:r w:rsidR="00ED5609">
        <w:rPr>
          <w:sz w:val="24"/>
          <w:szCs w:val="24"/>
        </w:rPr>
        <w:t xml:space="preserve"> </w:t>
      </w:r>
      <w:r w:rsidRPr="003F0A8F">
        <w:t>The vehicle would be sold to him after its useful life which was generally after 4 years.</w:t>
      </w:r>
    </w:p>
    <w:p w:rsidR="003F0A8F" w:rsidRPr="003F0A8F" w:rsidRDefault="003F0A8F" w:rsidP="003F0A8F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3F0A8F">
        <w:t>The vehicle was specifically allocated to him (not a pool vehicle) and therefore no tracking device was ever installed on it</w:t>
      </w:r>
    </w:p>
    <w:p w:rsidR="003F0A8F" w:rsidRPr="003F0A8F" w:rsidRDefault="003F0A8F" w:rsidP="003F0A8F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3F0A8F">
        <w:t>The vehicle was allocated for both personal and business use</w:t>
      </w:r>
    </w:p>
    <w:p w:rsidR="003F0A8F" w:rsidRPr="003F0A8F" w:rsidRDefault="00ED5609" w:rsidP="003F0A8F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>He n</w:t>
      </w:r>
      <w:r w:rsidR="003F0A8F" w:rsidRPr="003F0A8F">
        <w:t>ever had to seek prior approval/authority from any line manager for out of Harare personal travels, excerpt for cross-border travels</w:t>
      </w:r>
    </w:p>
    <w:p w:rsidR="003F0A8F" w:rsidRDefault="003F0A8F" w:rsidP="003F0A8F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3F0A8F">
        <w:t>He was allocated 240 litres fuel every month</w:t>
      </w:r>
      <w:r>
        <w:t>.</w:t>
      </w:r>
    </w:p>
    <w:p w:rsidR="00AF197D" w:rsidRPr="001A720C" w:rsidRDefault="001A720C" w:rsidP="001A720C">
      <w:pPr>
        <w:spacing w:after="0" w:line="360" w:lineRule="auto"/>
        <w:ind w:left="720"/>
        <w:jc w:val="both"/>
        <w:rPr>
          <w:sz w:val="24"/>
          <w:szCs w:val="24"/>
        </w:rPr>
      </w:pPr>
      <w:r w:rsidRPr="001A720C">
        <w:rPr>
          <w:sz w:val="24"/>
          <w:szCs w:val="24"/>
        </w:rPr>
        <w:t>The letter of November 2015 was seeking to vary these terms.</w:t>
      </w:r>
    </w:p>
    <w:p w:rsidR="003F0A8F" w:rsidRDefault="003F0A8F" w:rsidP="003F0A8F">
      <w:pPr>
        <w:spacing w:after="0" w:line="360" w:lineRule="auto"/>
        <w:ind w:left="720"/>
        <w:jc w:val="both"/>
        <w:rPr>
          <w:sz w:val="24"/>
          <w:szCs w:val="24"/>
        </w:rPr>
      </w:pPr>
      <w:r w:rsidRPr="003F0A8F">
        <w:rPr>
          <w:sz w:val="24"/>
          <w:szCs w:val="24"/>
        </w:rPr>
        <w:t xml:space="preserve">The bank does not dispute that since 2008 the appellant had used the bank vehicle </w:t>
      </w:r>
    </w:p>
    <w:p w:rsidR="003F0A8F" w:rsidRDefault="003F0A8F" w:rsidP="003F0A8F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3F0A8F">
        <w:rPr>
          <w:sz w:val="24"/>
          <w:szCs w:val="24"/>
        </w:rPr>
        <w:t>as</w:t>
      </w:r>
      <w:proofErr w:type="gramEnd"/>
      <w:r w:rsidRPr="003F0A8F">
        <w:rPr>
          <w:sz w:val="24"/>
          <w:szCs w:val="24"/>
        </w:rPr>
        <w:t xml:space="preserve"> tabulated</w:t>
      </w:r>
      <w:r>
        <w:rPr>
          <w:sz w:val="24"/>
          <w:szCs w:val="24"/>
        </w:rPr>
        <w:t xml:space="preserve"> above.  The bank was thus now altering the conditions that the appellant had enjoyed prior</w:t>
      </w:r>
      <w:r w:rsidR="008D475F">
        <w:rPr>
          <w:sz w:val="24"/>
          <w:szCs w:val="24"/>
        </w:rPr>
        <w:t xml:space="preserve"> to 19 November 2015.  The appellant cried foul.  He alleged the bank could not alter the goal posts unilaterally.</w:t>
      </w:r>
    </w:p>
    <w:p w:rsidR="008D475F" w:rsidRDefault="008D475F" w:rsidP="003F0A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bank states that the appellant was never entitled to the use of the vehicle as a personal issue motor vehicle. That he had used it as such was a mistake.  His contract of employment never gave him that benefit.</w:t>
      </w:r>
    </w:p>
    <w:p w:rsidR="008D475F" w:rsidRDefault="008D475F" w:rsidP="003F0A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appellant argued that he had been promised that the vehicle he was using</w:t>
      </w:r>
      <w:r w:rsidR="00ED5609">
        <w:rPr>
          <w:sz w:val="24"/>
          <w:szCs w:val="24"/>
        </w:rPr>
        <w:t xml:space="preserve"> would be sold to him in line</w:t>
      </w:r>
      <w:r>
        <w:rPr>
          <w:sz w:val="24"/>
          <w:szCs w:val="24"/>
        </w:rPr>
        <w:t xml:space="preserve"> with the motor vehicle policy as had been</w:t>
      </w:r>
      <w:r w:rsidR="00516682">
        <w:rPr>
          <w:sz w:val="24"/>
          <w:szCs w:val="24"/>
        </w:rPr>
        <w:t xml:space="preserve"> </w:t>
      </w:r>
      <w:r w:rsidR="00ED5609">
        <w:rPr>
          <w:sz w:val="24"/>
          <w:szCs w:val="24"/>
        </w:rPr>
        <w:t>the case with</w:t>
      </w:r>
      <w:r w:rsidR="00516682">
        <w:rPr>
          <w:sz w:val="24"/>
          <w:szCs w:val="24"/>
        </w:rPr>
        <w:t xml:space="preserve"> the first vehicle.  The bank had specifically undertaken that the same terms were applicable in </w:t>
      </w:r>
      <w:r w:rsidR="00516682">
        <w:rPr>
          <w:sz w:val="24"/>
          <w:szCs w:val="24"/>
        </w:rPr>
        <w:lastRenderedPageBreak/>
        <w:t>relation to the 2</w:t>
      </w:r>
      <w:r w:rsidR="00516682" w:rsidRPr="00516682">
        <w:rPr>
          <w:sz w:val="24"/>
          <w:szCs w:val="24"/>
          <w:vertAlign w:val="superscript"/>
        </w:rPr>
        <w:t>nd</w:t>
      </w:r>
      <w:r w:rsidR="00516682">
        <w:rPr>
          <w:sz w:val="24"/>
          <w:szCs w:val="24"/>
        </w:rPr>
        <w:t xml:space="preserve"> vehicle.  The fact that he had unlimited use of the vehicle and no tracking device was placed on the vehicle and generally</w:t>
      </w:r>
      <w:r w:rsidR="00ED5609">
        <w:rPr>
          <w:sz w:val="24"/>
          <w:szCs w:val="24"/>
        </w:rPr>
        <w:t xml:space="preserve"> the fact that the vehicle never</w:t>
      </w:r>
      <w:r w:rsidR="00516682">
        <w:rPr>
          <w:sz w:val="24"/>
          <w:szCs w:val="24"/>
        </w:rPr>
        <w:t xml:space="preserve"> had the terms and conditions of a pool vehicle attached to it made him develop a legitimate expectation that the vehicle was a personal issue and not a pool vehicle and would be sold to him after its useful life.</w:t>
      </w:r>
    </w:p>
    <w:p w:rsidR="00516682" w:rsidRDefault="00516682" w:rsidP="003F0A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grievance committee had made a factual finding that the contract of employment did not give the applicant the right to a personal issue vehicle.  The contract filed as of record does not give </w:t>
      </w:r>
      <w:r w:rsidR="00ED5609">
        <w:rPr>
          <w:sz w:val="24"/>
          <w:szCs w:val="24"/>
        </w:rPr>
        <w:t xml:space="preserve">this vehicle benefit </w:t>
      </w:r>
      <w:r>
        <w:rPr>
          <w:sz w:val="24"/>
          <w:szCs w:val="24"/>
        </w:rPr>
        <w:t>as one of his benefits.</w:t>
      </w:r>
    </w:p>
    <w:p w:rsidR="00516682" w:rsidRDefault="00516682" w:rsidP="003F0A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claim can thus only be granted if it can be held that the applicant had a legitimate expectation to continue to use the car as he had done prior to November 2015.</w:t>
      </w:r>
    </w:p>
    <w:p w:rsidR="00516682" w:rsidRDefault="00516682" w:rsidP="003F0A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It has been argued that in the case of </w:t>
      </w:r>
      <w:proofErr w:type="spellStart"/>
      <w:r>
        <w:rPr>
          <w:i/>
          <w:sz w:val="24"/>
          <w:szCs w:val="24"/>
        </w:rPr>
        <w:t>Adminstrator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Transval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i/>
          <w:sz w:val="24"/>
          <w:szCs w:val="24"/>
        </w:rPr>
        <w:t>Traub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(1989) 10 ILJ 823 (A) the court held that </w:t>
      </w:r>
    </w:p>
    <w:p w:rsidR="00516682" w:rsidRDefault="00516682" w:rsidP="00516682">
      <w:pPr>
        <w:spacing w:after="0" w:line="240" w:lineRule="auto"/>
        <w:ind w:left="1440"/>
        <w:jc w:val="both"/>
      </w:pPr>
      <w:r>
        <w:t>“</w:t>
      </w:r>
      <w:proofErr w:type="gramStart"/>
      <w:r>
        <w:t>the</w:t>
      </w:r>
      <w:proofErr w:type="gramEnd"/>
      <w:r>
        <w:t xml:space="preserve"> implication of the doctrine of legitimate expectation is that, if a decision maker either through the application and a regular practice or through an express promise, leads those affected legitimately to expect that he or she will decide in a particular way then that expectation is protected and the decision maker cannot ignore it when making the decision.”</w:t>
      </w:r>
    </w:p>
    <w:p w:rsidR="00516682" w:rsidRDefault="00516682" w:rsidP="00516682">
      <w:pPr>
        <w:spacing w:after="0" w:line="240" w:lineRule="auto"/>
        <w:ind w:left="1440"/>
        <w:jc w:val="both"/>
      </w:pPr>
    </w:p>
    <w:p w:rsidR="00516682" w:rsidRDefault="00516682" w:rsidP="00516682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It was stated further that in </w:t>
      </w:r>
      <w:proofErr w:type="spellStart"/>
      <w:r>
        <w:rPr>
          <w:i/>
          <w:sz w:val="24"/>
          <w:szCs w:val="24"/>
        </w:rPr>
        <w:t>Dierks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 xml:space="preserve">University of South Africa </w:t>
      </w:r>
      <w:r w:rsidRPr="00516682">
        <w:rPr>
          <w:sz w:val="24"/>
          <w:szCs w:val="24"/>
        </w:rPr>
        <w:t>(J399/98) [1998]</w:t>
      </w:r>
      <w:r>
        <w:rPr>
          <w:sz w:val="24"/>
          <w:szCs w:val="24"/>
        </w:rPr>
        <w:t xml:space="preserve"> ZALC 126 the court held that the wording of a contract is not sufficient to exclude a legitimate expectation.  All the surrounding circumstances and particularly the conduct of the parties must be assessed.</w:t>
      </w:r>
    </w:p>
    <w:p w:rsidR="00516682" w:rsidRDefault="00516682" w:rsidP="0051668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It was submitted that the circumstances of this case</w:t>
      </w:r>
      <w:r w:rsidR="00676577">
        <w:rPr>
          <w:sz w:val="24"/>
          <w:szCs w:val="24"/>
        </w:rPr>
        <w:t xml:space="preserve"> are such that the conduct and the undertakings of the bank caused the applicant to have a legitimate expectation.</w:t>
      </w:r>
    </w:p>
    <w:p w:rsidR="00ED5609" w:rsidRDefault="00676577" w:rsidP="0051668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It is clear that the bank varied the conditions hitherto enjoyed by the appellant.  But as is argued by the bank, the contract of employment never provided for such</w:t>
      </w:r>
      <w:r w:rsidR="00ED560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benefit.  The appellant could not prove that it was a term of his contract of employment.  This is why, I think, reliance is being placed on such cases like the </w:t>
      </w:r>
      <w:proofErr w:type="spellStart"/>
      <w:r>
        <w:rPr>
          <w:i/>
          <w:sz w:val="24"/>
          <w:szCs w:val="24"/>
        </w:rPr>
        <w:t>Dierks</w:t>
      </w:r>
      <w:proofErr w:type="spellEnd"/>
      <w:r>
        <w:rPr>
          <w:i/>
          <w:sz w:val="24"/>
          <w:szCs w:val="24"/>
        </w:rPr>
        <w:t xml:space="preserve"> (supra) </w:t>
      </w:r>
      <w:r>
        <w:rPr>
          <w:sz w:val="24"/>
          <w:szCs w:val="24"/>
        </w:rPr>
        <w:t>which stated that the wording of a contract is not sufficient to exclude a legitimate expectation.</w:t>
      </w:r>
    </w:p>
    <w:p w:rsidR="00676577" w:rsidRDefault="00676577" w:rsidP="00ED5609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So the following cases;</w:t>
      </w:r>
    </w:p>
    <w:p w:rsidR="00676577" w:rsidRDefault="00676577" w:rsidP="00516682">
      <w:p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Commercial Bank of Zimbabwe</w:t>
      </w:r>
    </w:p>
    <w:p w:rsidR="00676577" w:rsidRDefault="00676577" w:rsidP="00516682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Nominess</w:t>
      </w:r>
      <w:proofErr w:type="spellEnd"/>
      <w:r>
        <w:rPr>
          <w:i/>
          <w:sz w:val="24"/>
          <w:szCs w:val="24"/>
        </w:rPr>
        <w:t xml:space="preserve"> (Pvt) Ltd </w:t>
      </w:r>
      <w:r w:rsidRPr="00676577">
        <w:rPr>
          <w:sz w:val="24"/>
          <w:szCs w:val="24"/>
        </w:rPr>
        <w:t>v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Lyton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Shumba</w:t>
      </w:r>
      <w:proofErr w:type="spellEnd"/>
      <w:r>
        <w:rPr>
          <w:i/>
          <w:sz w:val="24"/>
          <w:szCs w:val="24"/>
        </w:rPr>
        <w:t xml:space="preserve"> </w:t>
      </w:r>
      <w:r w:rsidRPr="00676577">
        <w:rPr>
          <w:sz w:val="24"/>
          <w:szCs w:val="24"/>
        </w:rPr>
        <w:t>SC 105/2001</w:t>
      </w:r>
      <w:r>
        <w:rPr>
          <w:sz w:val="24"/>
          <w:szCs w:val="24"/>
        </w:rPr>
        <w:t xml:space="preserve"> and </w:t>
      </w:r>
      <w:r w:rsidRPr="00676577">
        <w:rPr>
          <w:i/>
          <w:sz w:val="24"/>
          <w:szCs w:val="24"/>
        </w:rPr>
        <w:t xml:space="preserve">Agricultural Bank of Zimbabwe Ltd t/a </w:t>
      </w:r>
      <w:proofErr w:type="spellStart"/>
      <w:r w:rsidRPr="00676577">
        <w:rPr>
          <w:i/>
          <w:sz w:val="24"/>
          <w:szCs w:val="24"/>
        </w:rPr>
        <w:t>Agribank</w:t>
      </w:r>
      <w:proofErr w:type="spellEnd"/>
      <w:r w:rsidRPr="00676577">
        <w:rPr>
          <w:i/>
          <w:sz w:val="24"/>
          <w:szCs w:val="24"/>
        </w:rPr>
        <w:t xml:space="preserve"> </w:t>
      </w:r>
      <w:r w:rsidRPr="00676577">
        <w:rPr>
          <w:sz w:val="24"/>
          <w:szCs w:val="24"/>
        </w:rPr>
        <w:t xml:space="preserve">v </w:t>
      </w:r>
      <w:proofErr w:type="spellStart"/>
      <w:r w:rsidRPr="00676577">
        <w:rPr>
          <w:i/>
          <w:sz w:val="24"/>
          <w:szCs w:val="24"/>
        </w:rPr>
        <w:t>Machingaifa</w:t>
      </w:r>
      <w:proofErr w:type="spellEnd"/>
      <w:r>
        <w:rPr>
          <w:i/>
          <w:sz w:val="24"/>
          <w:szCs w:val="24"/>
        </w:rPr>
        <w:t xml:space="preserve"> &amp; </w:t>
      </w:r>
      <w:proofErr w:type="spellStart"/>
      <w:r>
        <w:rPr>
          <w:i/>
          <w:sz w:val="24"/>
          <w:szCs w:val="24"/>
        </w:rPr>
        <w:t>Anor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(Civil Appeal No 11/06) [2008] ZWSC 6</w:t>
      </w:r>
      <w:r w:rsidR="00ED5609">
        <w:rPr>
          <w:sz w:val="24"/>
          <w:szCs w:val="24"/>
        </w:rPr>
        <w:t>,</w:t>
      </w:r>
      <w:r>
        <w:rPr>
          <w:sz w:val="24"/>
          <w:szCs w:val="24"/>
        </w:rPr>
        <w:t xml:space="preserve"> where the court held that</w:t>
      </w:r>
    </w:p>
    <w:p w:rsidR="00ED5609" w:rsidRDefault="00676577" w:rsidP="00676577">
      <w:pPr>
        <w:spacing w:after="0" w:line="240" w:lineRule="auto"/>
        <w:ind w:left="1440"/>
        <w:jc w:val="both"/>
      </w:pPr>
      <w:r>
        <w:rPr>
          <w:sz w:val="24"/>
          <w:szCs w:val="24"/>
        </w:rPr>
        <w:lastRenderedPageBreak/>
        <w:t>“</w:t>
      </w:r>
      <w:r w:rsidRPr="00676577">
        <w:t xml:space="preserve">It is a position of our law that a contract of employment </w:t>
      </w:r>
      <w:r>
        <w:t xml:space="preserve">cannot be varied unilaterally and that entitlements could not be changed altered or amended at the </w:t>
      </w:r>
      <w:r w:rsidR="00ED5609">
        <w:t>whim</w:t>
      </w:r>
      <w:r>
        <w:t xml:space="preserve"> of the employer</w:t>
      </w:r>
      <w:r w:rsidR="00ED5609">
        <w:t>.  A</w:t>
      </w:r>
      <w:r>
        <w:t xml:space="preserve"> party to a contract cannot unilaterally alter the terms and conditions of a contract</w:t>
      </w:r>
      <w:r w:rsidR="00ED5609">
        <w:t>.”</w:t>
      </w:r>
    </w:p>
    <w:p w:rsidR="00ED5609" w:rsidRDefault="00ED5609" w:rsidP="00ED5609">
      <w:pPr>
        <w:spacing w:after="0" w:line="240" w:lineRule="auto"/>
        <w:jc w:val="both"/>
      </w:pPr>
    </w:p>
    <w:p w:rsidR="00676577" w:rsidRPr="00ED5609" w:rsidRDefault="00ED5609" w:rsidP="00ED5609">
      <w:pPr>
        <w:spacing w:after="0" w:line="360" w:lineRule="auto"/>
        <w:ind w:firstLine="720"/>
        <w:jc w:val="both"/>
        <w:rPr>
          <w:sz w:val="24"/>
          <w:szCs w:val="24"/>
        </w:rPr>
      </w:pPr>
      <w:r w:rsidRPr="00ED5609">
        <w:rPr>
          <w:sz w:val="24"/>
          <w:szCs w:val="24"/>
        </w:rPr>
        <w:t>A</w:t>
      </w:r>
      <w:r w:rsidR="00676577" w:rsidRPr="00ED5609">
        <w:rPr>
          <w:sz w:val="24"/>
          <w:szCs w:val="24"/>
        </w:rPr>
        <w:t xml:space="preserve">re not applicable in a case where the employer is not altering the terms of a contract of employment per se but withdrawing a benefit or a privilege that was never enjoyed in terms of </w:t>
      </w:r>
      <w:bookmarkStart w:id="0" w:name="_GoBack"/>
      <w:bookmarkEnd w:id="0"/>
      <w:r w:rsidRPr="00ED5609">
        <w:rPr>
          <w:sz w:val="24"/>
          <w:szCs w:val="24"/>
        </w:rPr>
        <w:t>a contract of employment.</w:t>
      </w:r>
    </w:p>
    <w:p w:rsidR="00676577" w:rsidRDefault="00676577" w:rsidP="00ED5609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Such cases would in my opinion be covered under the doctrine of legitimate</w:t>
      </w:r>
      <w:r w:rsidR="005F44DB">
        <w:rPr>
          <w:sz w:val="24"/>
          <w:szCs w:val="24"/>
        </w:rPr>
        <w:t xml:space="preserve"> expectation.  One could argue as in this case that I have always used the vehicle as a personal issue vehicle without</w:t>
      </w:r>
    </w:p>
    <w:p w:rsidR="005F44DB" w:rsidRDefault="005F44DB" w:rsidP="005F44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having to seek for authority to go outside town</w:t>
      </w:r>
    </w:p>
    <w:p w:rsidR="005F44DB" w:rsidRDefault="005F44DB" w:rsidP="005F44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tracking device</w:t>
      </w:r>
    </w:p>
    <w:p w:rsidR="005F44DB" w:rsidRDefault="005F44DB" w:rsidP="005F44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tax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and this had been the case for more than 5 years or 7 years and the employer cannot now make</w:t>
      </w:r>
      <w:r w:rsidR="00ED560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decision without taking into account the legitimate expectation of the employee.</w:t>
      </w:r>
    </w:p>
    <w:p w:rsidR="005F44DB" w:rsidRDefault="005F44DB" w:rsidP="00ED5609">
      <w:pPr>
        <w:pStyle w:val="ListParagraph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Supreme Court has however rejected the argument </w:t>
      </w:r>
      <w:r w:rsidR="00ED5609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regular practice can </w:t>
      </w:r>
    </w:p>
    <w:p w:rsidR="00ED5609" w:rsidRPr="00ED5609" w:rsidRDefault="00ED5609" w:rsidP="00ED5609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ED5609">
        <w:rPr>
          <w:sz w:val="24"/>
          <w:szCs w:val="24"/>
        </w:rPr>
        <w:t>form</w:t>
      </w:r>
      <w:proofErr w:type="gramEnd"/>
      <w:r w:rsidRPr="00ED5609">
        <w:rPr>
          <w:sz w:val="24"/>
          <w:szCs w:val="24"/>
        </w:rPr>
        <w:t xml:space="preserve"> the basis for a legitimate expectation.</w:t>
      </w:r>
    </w:p>
    <w:p w:rsidR="005F44DB" w:rsidRDefault="005F44DB" w:rsidP="005F44DB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Magodora</w:t>
      </w:r>
      <w:proofErr w:type="spellEnd"/>
      <w:r>
        <w:rPr>
          <w:i/>
          <w:sz w:val="24"/>
          <w:szCs w:val="24"/>
        </w:rPr>
        <w:t xml:space="preserve"> &amp; </w:t>
      </w:r>
      <w:proofErr w:type="spellStart"/>
      <w:r>
        <w:rPr>
          <w:i/>
          <w:sz w:val="24"/>
          <w:szCs w:val="24"/>
        </w:rPr>
        <w:t>Ors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 xml:space="preserve">Care International </w:t>
      </w:r>
      <w:r w:rsidR="00ED5609">
        <w:rPr>
          <w:sz w:val="24"/>
          <w:szCs w:val="24"/>
        </w:rPr>
        <w:t>SC 24/14.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 In that case the Supreme Court said it is not open to the courts to rewrite the contract for the parties.  The appellant is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casu</w:t>
      </w:r>
      <w:proofErr w:type="spellEnd"/>
      <w:r>
        <w:rPr>
          <w:sz w:val="24"/>
          <w:szCs w:val="24"/>
        </w:rPr>
        <w:t xml:space="preserve"> asking me to do that which the Supreme Court in the </w:t>
      </w:r>
      <w:proofErr w:type="spellStart"/>
      <w:r w:rsidRPr="005F44DB">
        <w:rPr>
          <w:i/>
          <w:sz w:val="24"/>
          <w:szCs w:val="24"/>
        </w:rPr>
        <w:t>Magodora</w:t>
      </w:r>
      <w:proofErr w:type="spellEnd"/>
      <w:r>
        <w:rPr>
          <w:sz w:val="24"/>
          <w:szCs w:val="24"/>
        </w:rPr>
        <w:t xml:space="preserve"> case (</w:t>
      </w:r>
      <w:r>
        <w:rPr>
          <w:i/>
          <w:sz w:val="24"/>
          <w:szCs w:val="24"/>
        </w:rPr>
        <w:t xml:space="preserve">supra) </w:t>
      </w:r>
      <w:r>
        <w:rPr>
          <w:sz w:val="24"/>
          <w:szCs w:val="24"/>
        </w:rPr>
        <w:t>says I cannot do, that is write a contract for the parties in which the appellant will be entitled to the use of a personal issues vehicle when this was not in his contract of employment.</w:t>
      </w:r>
    </w:p>
    <w:p w:rsidR="005F44DB" w:rsidRDefault="005F44DB" w:rsidP="005F44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 line with the court’s reasoning in the </w:t>
      </w:r>
      <w:r>
        <w:rPr>
          <w:i/>
          <w:sz w:val="24"/>
          <w:szCs w:val="24"/>
        </w:rPr>
        <w:t xml:space="preserve">Foreman &amp; </w:t>
      </w:r>
      <w:proofErr w:type="spellStart"/>
      <w:r>
        <w:rPr>
          <w:i/>
          <w:sz w:val="24"/>
          <w:szCs w:val="24"/>
        </w:rPr>
        <w:t>Anor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 xml:space="preserve">KLM Royal Dutch Airlines </w:t>
      </w:r>
      <w:r>
        <w:rPr>
          <w:sz w:val="24"/>
          <w:szCs w:val="24"/>
        </w:rPr>
        <w:t>2001</w:t>
      </w:r>
      <w:r w:rsidR="00ED5609">
        <w:rPr>
          <w:sz w:val="24"/>
          <w:szCs w:val="24"/>
        </w:rPr>
        <w:t>, the appellant can</w:t>
      </w:r>
      <w:r>
        <w:rPr>
          <w:sz w:val="24"/>
          <w:szCs w:val="24"/>
        </w:rPr>
        <w:t>not claim as a right, the privilege he had enjoyed in the use of the bank’s vehicles over the past 7 years.</w:t>
      </w:r>
    </w:p>
    <w:p w:rsidR="005F44DB" w:rsidRDefault="00ED5609" w:rsidP="005F44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Finally, t</w:t>
      </w:r>
      <w:r w:rsidR="005F44DB">
        <w:rPr>
          <w:sz w:val="24"/>
          <w:szCs w:val="24"/>
        </w:rPr>
        <w:t>he appellant raised issues of procedural irregularities.  These are appeal proceedings</w:t>
      </w:r>
      <w:r>
        <w:rPr>
          <w:sz w:val="24"/>
          <w:szCs w:val="24"/>
        </w:rPr>
        <w:t>,</w:t>
      </w:r>
      <w:r w:rsidR="005F44DB">
        <w:rPr>
          <w:sz w:val="24"/>
          <w:szCs w:val="24"/>
        </w:rPr>
        <w:t xml:space="preserve"> in an </w:t>
      </w:r>
      <w:proofErr w:type="gramStart"/>
      <w:r w:rsidR="005F44DB">
        <w:rPr>
          <w:sz w:val="24"/>
          <w:szCs w:val="24"/>
        </w:rPr>
        <w:t>appeal,</w:t>
      </w:r>
      <w:proofErr w:type="gramEnd"/>
      <w:r w:rsidR="005F44DB">
        <w:rPr>
          <w:sz w:val="24"/>
          <w:szCs w:val="24"/>
        </w:rPr>
        <w:t xml:space="preserve"> the court is concerned not with issues of procedural irregularities or the manner in which a decision has been reach but with the substantive correctness of a decision.</w:t>
      </w:r>
    </w:p>
    <w:p w:rsidR="005F44DB" w:rsidRDefault="005F44DB" w:rsidP="005F44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position is trite.  The appellant could have if he wanted to challenge procedural</w:t>
      </w:r>
      <w:r w:rsidR="00AF197D">
        <w:rPr>
          <w:sz w:val="24"/>
          <w:szCs w:val="24"/>
        </w:rPr>
        <w:t xml:space="preserve"> issues, filled an application for review with the court </w:t>
      </w:r>
      <w:r w:rsidR="00ED5609">
        <w:rPr>
          <w:sz w:val="24"/>
          <w:szCs w:val="24"/>
        </w:rPr>
        <w:t>but can</w:t>
      </w:r>
      <w:r w:rsidR="00AF197D">
        <w:rPr>
          <w:sz w:val="24"/>
          <w:szCs w:val="24"/>
        </w:rPr>
        <w:t>not raise procedural issues in an appeal.</w:t>
      </w:r>
    </w:p>
    <w:p w:rsidR="00AF197D" w:rsidRDefault="00AF197D" w:rsidP="005F44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In the result, there has not bee</w:t>
      </w:r>
      <w:r w:rsidR="00ED5609">
        <w:rPr>
          <w:sz w:val="24"/>
          <w:szCs w:val="24"/>
        </w:rPr>
        <w:t>n any basis established to show</w:t>
      </w:r>
      <w:r>
        <w:rPr>
          <w:sz w:val="24"/>
          <w:szCs w:val="24"/>
        </w:rPr>
        <w:t xml:space="preserve"> that there was a legitimate expectation and the contract of employment does not give the applicant the right he is seeking to enforce before this court.  I accordingly make the following order.</w:t>
      </w:r>
    </w:p>
    <w:p w:rsidR="00AF197D" w:rsidRDefault="00AF197D" w:rsidP="005F44DB">
      <w:pPr>
        <w:spacing w:after="0" w:line="360" w:lineRule="auto"/>
        <w:jc w:val="both"/>
        <w:rPr>
          <w:sz w:val="24"/>
          <w:szCs w:val="24"/>
        </w:rPr>
      </w:pPr>
    </w:p>
    <w:p w:rsidR="00AF197D" w:rsidRDefault="00AF197D" w:rsidP="006967E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Order</w:t>
      </w:r>
    </w:p>
    <w:p w:rsidR="00AF197D" w:rsidRDefault="00AF197D" w:rsidP="005F44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Appeal is dismissed with each party bearing its own costs.</w:t>
      </w:r>
    </w:p>
    <w:p w:rsidR="00AF197D" w:rsidRDefault="00AF197D" w:rsidP="005F44DB">
      <w:pPr>
        <w:spacing w:after="0" w:line="360" w:lineRule="auto"/>
        <w:jc w:val="both"/>
        <w:rPr>
          <w:sz w:val="24"/>
          <w:szCs w:val="24"/>
        </w:rPr>
      </w:pPr>
    </w:p>
    <w:p w:rsidR="00AF197D" w:rsidRDefault="00AF197D" w:rsidP="005F44DB">
      <w:pPr>
        <w:spacing w:after="0" w:line="360" w:lineRule="auto"/>
        <w:jc w:val="both"/>
        <w:rPr>
          <w:sz w:val="24"/>
          <w:szCs w:val="24"/>
        </w:rPr>
      </w:pPr>
    </w:p>
    <w:p w:rsidR="00AF197D" w:rsidRDefault="00AF197D" w:rsidP="005F44DB">
      <w:pPr>
        <w:spacing w:after="0" w:line="360" w:lineRule="auto"/>
        <w:jc w:val="both"/>
        <w:rPr>
          <w:sz w:val="24"/>
          <w:szCs w:val="24"/>
        </w:rPr>
      </w:pPr>
    </w:p>
    <w:p w:rsidR="00AF197D" w:rsidRDefault="00AF197D" w:rsidP="005F44DB">
      <w:pPr>
        <w:spacing w:after="0" w:line="360" w:lineRule="auto"/>
        <w:jc w:val="both"/>
        <w:rPr>
          <w:sz w:val="24"/>
          <w:szCs w:val="24"/>
        </w:rPr>
      </w:pPr>
    </w:p>
    <w:p w:rsidR="00AF197D" w:rsidRDefault="00AF197D" w:rsidP="005F44DB">
      <w:pPr>
        <w:spacing w:after="0" w:line="360" w:lineRule="auto"/>
        <w:jc w:val="both"/>
      </w:pPr>
      <w:r>
        <w:rPr>
          <w:i/>
        </w:rPr>
        <w:t xml:space="preserve">Hussein </w:t>
      </w:r>
      <w:proofErr w:type="spellStart"/>
      <w:r>
        <w:rPr>
          <w:i/>
        </w:rPr>
        <w:t>Ranchord</w:t>
      </w:r>
      <w:proofErr w:type="spellEnd"/>
      <w:r>
        <w:rPr>
          <w:i/>
        </w:rPr>
        <w:t xml:space="preserve"> &amp; Company</w:t>
      </w:r>
      <w:proofErr w:type="gramStart"/>
      <w:r>
        <w:rPr>
          <w:i/>
        </w:rPr>
        <w:t xml:space="preserve">, </w:t>
      </w:r>
      <w:r>
        <w:t xml:space="preserve"> appellant’s</w:t>
      </w:r>
      <w:proofErr w:type="gramEnd"/>
      <w:r>
        <w:t xml:space="preserve"> legal practitioners</w:t>
      </w:r>
    </w:p>
    <w:p w:rsidR="00AF197D" w:rsidRPr="00AF197D" w:rsidRDefault="00AF197D" w:rsidP="005F44DB">
      <w:pPr>
        <w:spacing w:after="0" w:line="360" w:lineRule="auto"/>
        <w:jc w:val="both"/>
      </w:pPr>
      <w:proofErr w:type="spellStart"/>
      <w:r w:rsidRPr="00AF197D">
        <w:rPr>
          <w:i/>
        </w:rPr>
        <w:t>Scanlen</w:t>
      </w:r>
      <w:proofErr w:type="spellEnd"/>
      <w:r w:rsidRPr="00AF197D">
        <w:rPr>
          <w:i/>
        </w:rPr>
        <w:t xml:space="preserve"> &amp; Holderness</w:t>
      </w:r>
      <w:r>
        <w:t>, respondent’s legal practitioners</w:t>
      </w:r>
    </w:p>
    <w:p w:rsidR="00AF197D" w:rsidRDefault="00AF197D" w:rsidP="005F44DB">
      <w:pPr>
        <w:spacing w:after="0" w:line="360" w:lineRule="auto"/>
        <w:jc w:val="both"/>
        <w:rPr>
          <w:sz w:val="24"/>
          <w:szCs w:val="24"/>
        </w:rPr>
      </w:pPr>
    </w:p>
    <w:p w:rsidR="00AF197D" w:rsidRPr="005F44DB" w:rsidRDefault="00AF197D" w:rsidP="005F44DB">
      <w:pPr>
        <w:spacing w:after="0" w:line="360" w:lineRule="auto"/>
        <w:jc w:val="both"/>
        <w:rPr>
          <w:sz w:val="24"/>
          <w:szCs w:val="24"/>
        </w:rPr>
      </w:pPr>
    </w:p>
    <w:p w:rsidR="00516682" w:rsidRPr="003F0A8F" w:rsidRDefault="00516682" w:rsidP="00516682">
      <w:pPr>
        <w:spacing w:after="0" w:line="360" w:lineRule="auto"/>
        <w:jc w:val="both"/>
        <w:rPr>
          <w:sz w:val="24"/>
          <w:szCs w:val="24"/>
        </w:rPr>
      </w:pPr>
    </w:p>
    <w:p w:rsidR="003F0A8F" w:rsidRPr="003F0A8F" w:rsidRDefault="003F0A8F" w:rsidP="003F0A8F">
      <w:pPr>
        <w:spacing w:after="0" w:line="360" w:lineRule="auto"/>
        <w:jc w:val="both"/>
        <w:rPr>
          <w:sz w:val="24"/>
          <w:szCs w:val="24"/>
        </w:rPr>
      </w:pPr>
    </w:p>
    <w:p w:rsidR="00854A4F" w:rsidRPr="003F0A8F" w:rsidRDefault="00854A4F" w:rsidP="00854A4F">
      <w:pPr>
        <w:spacing w:line="360" w:lineRule="auto"/>
        <w:jc w:val="both"/>
        <w:rPr>
          <w:b/>
          <w:sz w:val="24"/>
          <w:szCs w:val="24"/>
        </w:rPr>
      </w:pPr>
      <w:r w:rsidRPr="003F0A8F">
        <w:rPr>
          <w:b/>
          <w:sz w:val="24"/>
          <w:szCs w:val="24"/>
        </w:rPr>
        <w:tab/>
      </w:r>
    </w:p>
    <w:p w:rsidR="009D04FA" w:rsidRPr="003F0A8F" w:rsidRDefault="009D04FA" w:rsidP="00854A4F">
      <w:pPr>
        <w:spacing w:line="360" w:lineRule="auto"/>
        <w:jc w:val="both"/>
        <w:rPr>
          <w:b/>
          <w:sz w:val="24"/>
          <w:szCs w:val="24"/>
        </w:rPr>
      </w:pPr>
      <w:r w:rsidRPr="003F0A8F">
        <w:rPr>
          <w:b/>
          <w:sz w:val="24"/>
          <w:szCs w:val="24"/>
        </w:rPr>
        <w:tab/>
      </w:r>
    </w:p>
    <w:p w:rsidR="00854A4F" w:rsidRPr="003F0A8F" w:rsidRDefault="00854A4F">
      <w:pPr>
        <w:spacing w:line="360" w:lineRule="auto"/>
        <w:jc w:val="both"/>
        <w:rPr>
          <w:b/>
          <w:sz w:val="24"/>
          <w:szCs w:val="24"/>
        </w:rPr>
      </w:pPr>
    </w:p>
    <w:sectPr w:rsidR="00854A4F" w:rsidRPr="003F0A8F" w:rsidSect="0051668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9E" w:rsidRDefault="0033699E" w:rsidP="00516682">
      <w:pPr>
        <w:spacing w:after="0" w:line="240" w:lineRule="auto"/>
      </w:pPr>
      <w:r>
        <w:separator/>
      </w:r>
    </w:p>
  </w:endnote>
  <w:endnote w:type="continuationSeparator" w:id="0">
    <w:p w:rsidR="0033699E" w:rsidRDefault="0033699E" w:rsidP="0051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700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4DB" w:rsidRDefault="005F44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2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44DB" w:rsidRDefault="005F4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9E" w:rsidRDefault="0033699E" w:rsidP="00516682">
      <w:pPr>
        <w:spacing w:after="0" w:line="240" w:lineRule="auto"/>
      </w:pPr>
      <w:r>
        <w:separator/>
      </w:r>
    </w:p>
  </w:footnote>
  <w:footnote w:type="continuationSeparator" w:id="0">
    <w:p w:rsidR="0033699E" w:rsidRDefault="0033699E" w:rsidP="0051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DB" w:rsidRDefault="005F44DB" w:rsidP="00516682">
    <w:pPr>
      <w:ind w:left="5040" w:firstLine="720"/>
      <w:rPr>
        <w:b/>
        <w:sz w:val="24"/>
        <w:szCs w:val="24"/>
      </w:rPr>
    </w:pPr>
    <w:r>
      <w:rPr>
        <w:b/>
        <w:sz w:val="24"/>
        <w:szCs w:val="24"/>
      </w:rPr>
      <w:t>JUDGMENT NO LC/H/</w:t>
    </w:r>
    <w:r w:rsidR="001A720C">
      <w:rPr>
        <w:b/>
        <w:sz w:val="24"/>
        <w:szCs w:val="24"/>
      </w:rPr>
      <w:t>550</w:t>
    </w:r>
    <w:r>
      <w:rPr>
        <w:b/>
        <w:sz w:val="24"/>
        <w:szCs w:val="24"/>
      </w:rPr>
      <w:t>/16</w:t>
    </w:r>
  </w:p>
  <w:p w:rsidR="005F44DB" w:rsidRDefault="005F44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C3F"/>
    <w:multiLevelType w:val="hybridMultilevel"/>
    <w:tmpl w:val="E820BCD6"/>
    <w:lvl w:ilvl="0" w:tplc="3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F2530E"/>
    <w:multiLevelType w:val="hybridMultilevel"/>
    <w:tmpl w:val="3D9E586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44C61"/>
    <w:multiLevelType w:val="hybridMultilevel"/>
    <w:tmpl w:val="3EDE42BE"/>
    <w:lvl w:ilvl="0" w:tplc="44FCE31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4F"/>
    <w:rsid w:val="001A720C"/>
    <w:rsid w:val="0033699E"/>
    <w:rsid w:val="0037427D"/>
    <w:rsid w:val="003E7E09"/>
    <w:rsid w:val="003F0A8F"/>
    <w:rsid w:val="00516682"/>
    <w:rsid w:val="005B1178"/>
    <w:rsid w:val="005F44DB"/>
    <w:rsid w:val="00676577"/>
    <w:rsid w:val="006967E7"/>
    <w:rsid w:val="00854A4F"/>
    <w:rsid w:val="008D475F"/>
    <w:rsid w:val="009D04FA"/>
    <w:rsid w:val="00AE0B51"/>
    <w:rsid w:val="00AF197D"/>
    <w:rsid w:val="00AF4913"/>
    <w:rsid w:val="00DD3D7C"/>
    <w:rsid w:val="00ED5609"/>
    <w:rsid w:val="00E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682"/>
  </w:style>
  <w:style w:type="paragraph" w:styleId="Footer">
    <w:name w:val="footer"/>
    <w:basedOn w:val="Normal"/>
    <w:link w:val="FooterChar"/>
    <w:uiPriority w:val="99"/>
    <w:unhideWhenUsed/>
    <w:rsid w:val="0051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682"/>
  </w:style>
  <w:style w:type="paragraph" w:styleId="Footer">
    <w:name w:val="footer"/>
    <w:basedOn w:val="Normal"/>
    <w:link w:val="FooterChar"/>
    <w:uiPriority w:val="99"/>
    <w:unhideWhenUsed/>
    <w:rsid w:val="0051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2016-08-10T09:27:00Z</dcterms:created>
  <dcterms:modified xsi:type="dcterms:W3CDTF">2016-09-01T06:12:00Z</dcterms:modified>
</cp:coreProperties>
</file>