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D3" w:rsidRDefault="003131D3" w:rsidP="003131D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141A45">
        <w:rPr>
          <w:b/>
          <w:sz w:val="22"/>
          <w:szCs w:val="22"/>
        </w:rPr>
        <w:t>172</w:t>
      </w:r>
      <w:r>
        <w:rPr>
          <w:b/>
          <w:sz w:val="22"/>
          <w:szCs w:val="22"/>
        </w:rPr>
        <w:t>/2016</w:t>
      </w:r>
    </w:p>
    <w:p w:rsidR="003131D3" w:rsidRDefault="003131D3" w:rsidP="003131D3">
      <w:pPr>
        <w:spacing w:line="360" w:lineRule="auto"/>
        <w:jc w:val="both"/>
        <w:rPr>
          <w:b/>
          <w:sz w:val="22"/>
          <w:szCs w:val="22"/>
        </w:rPr>
      </w:pPr>
    </w:p>
    <w:p w:rsidR="003131D3" w:rsidRDefault="003131D3" w:rsidP="003131D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4 MARCH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CASE NO. LC/H/</w:t>
      </w:r>
      <w:r w:rsidR="000D7294">
        <w:rPr>
          <w:b/>
          <w:sz w:val="22"/>
          <w:szCs w:val="22"/>
        </w:rPr>
        <w:t>06/13</w:t>
      </w:r>
    </w:p>
    <w:p w:rsidR="003131D3" w:rsidRDefault="003131D3" w:rsidP="003131D3">
      <w:pPr>
        <w:spacing w:line="360" w:lineRule="auto"/>
        <w:jc w:val="both"/>
        <w:rPr>
          <w:b/>
          <w:sz w:val="22"/>
          <w:szCs w:val="22"/>
        </w:rPr>
      </w:pPr>
    </w:p>
    <w:p w:rsidR="003131D3" w:rsidRDefault="003131D3" w:rsidP="003131D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 18 MARCH 2016</w:t>
      </w:r>
    </w:p>
    <w:p w:rsidR="003131D3" w:rsidRDefault="003131D3" w:rsidP="003131D3">
      <w:pPr>
        <w:spacing w:line="360" w:lineRule="auto"/>
        <w:jc w:val="both"/>
        <w:rPr>
          <w:b/>
          <w:sz w:val="22"/>
          <w:szCs w:val="22"/>
        </w:rPr>
      </w:pPr>
    </w:p>
    <w:p w:rsidR="003131D3" w:rsidRDefault="003131D3" w:rsidP="003131D3">
      <w:pPr>
        <w:spacing w:line="360" w:lineRule="auto"/>
        <w:jc w:val="both"/>
      </w:pPr>
    </w:p>
    <w:p w:rsidR="003131D3" w:rsidRDefault="00FE79C9" w:rsidP="003131D3">
      <w:pPr>
        <w:spacing w:line="360" w:lineRule="auto"/>
        <w:jc w:val="both"/>
        <w:rPr>
          <w:b/>
        </w:rPr>
      </w:pPr>
      <w:r>
        <w:rPr>
          <w:b/>
        </w:rPr>
        <w:t>GODFREY CHAPETA &amp; 11 OTHERS</w:t>
      </w:r>
      <w:r w:rsidR="003131D3">
        <w:rPr>
          <w:b/>
        </w:rPr>
        <w:tab/>
      </w:r>
      <w:r w:rsidR="003131D3">
        <w:rPr>
          <w:b/>
        </w:rPr>
        <w:tab/>
      </w:r>
      <w:r w:rsidR="003131D3">
        <w:rPr>
          <w:b/>
        </w:rPr>
        <w:tab/>
      </w:r>
      <w:r w:rsidR="003131D3">
        <w:rPr>
          <w:b/>
        </w:rPr>
        <w:tab/>
      </w:r>
      <w:r w:rsidR="003131D3">
        <w:rPr>
          <w:b/>
        </w:rPr>
        <w:tab/>
        <w:t>Appellant</w:t>
      </w:r>
      <w:r w:rsidR="0002270E">
        <w:rPr>
          <w:b/>
        </w:rPr>
        <w:t>s</w:t>
      </w:r>
    </w:p>
    <w:p w:rsidR="003131D3" w:rsidRDefault="003131D3" w:rsidP="003131D3">
      <w:pPr>
        <w:spacing w:line="360" w:lineRule="auto"/>
        <w:jc w:val="both"/>
        <w:rPr>
          <w:b/>
        </w:rPr>
      </w:pPr>
    </w:p>
    <w:p w:rsidR="003131D3" w:rsidRDefault="00FE79C9" w:rsidP="003131D3">
      <w:pPr>
        <w:spacing w:line="360" w:lineRule="auto"/>
        <w:jc w:val="both"/>
        <w:rPr>
          <w:b/>
        </w:rPr>
      </w:pPr>
      <w:r>
        <w:rPr>
          <w:b/>
        </w:rPr>
        <w:t>ENTERPRISE DOG HANDLER UNIT</w:t>
      </w:r>
      <w:r w:rsidR="003131D3">
        <w:rPr>
          <w:b/>
        </w:rPr>
        <w:tab/>
      </w:r>
      <w:r w:rsidR="003131D3">
        <w:rPr>
          <w:b/>
        </w:rPr>
        <w:tab/>
      </w:r>
      <w:r w:rsidR="003131D3">
        <w:rPr>
          <w:b/>
        </w:rPr>
        <w:tab/>
      </w:r>
      <w:r w:rsidR="003131D3">
        <w:rPr>
          <w:b/>
        </w:rPr>
        <w:tab/>
      </w:r>
      <w:r w:rsidR="003131D3">
        <w:rPr>
          <w:b/>
        </w:rPr>
        <w:tab/>
        <w:t xml:space="preserve">Respondent </w:t>
      </w:r>
      <w:r w:rsidR="003131D3">
        <w:rPr>
          <w:b/>
        </w:rPr>
        <w:tab/>
      </w:r>
    </w:p>
    <w:p w:rsidR="003131D3" w:rsidRDefault="003131D3" w:rsidP="003131D3">
      <w:pPr>
        <w:spacing w:line="360" w:lineRule="auto"/>
        <w:jc w:val="both"/>
        <w:rPr>
          <w:b/>
        </w:rPr>
      </w:pPr>
    </w:p>
    <w:p w:rsidR="003131D3" w:rsidRDefault="003131D3" w:rsidP="003131D3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3131D3" w:rsidRDefault="003131D3" w:rsidP="003131D3">
      <w:pPr>
        <w:spacing w:line="360" w:lineRule="auto"/>
        <w:jc w:val="both"/>
      </w:pPr>
    </w:p>
    <w:p w:rsidR="003131D3" w:rsidRDefault="003131D3" w:rsidP="003131D3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 w:rsidR="0002270E">
        <w:rPr>
          <w:b/>
        </w:rPr>
        <w:t>s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FE79C9">
        <w:rPr>
          <w:b/>
        </w:rPr>
        <w:t>Ms M. Mukucha, Unionist</w:t>
      </w:r>
    </w:p>
    <w:p w:rsidR="003131D3" w:rsidRDefault="003131D3" w:rsidP="003131D3">
      <w:pPr>
        <w:jc w:val="both"/>
        <w:rPr>
          <w:b/>
        </w:rPr>
      </w:pPr>
      <w:r>
        <w:rPr>
          <w:b/>
        </w:rPr>
        <w:tab/>
      </w:r>
    </w:p>
    <w:p w:rsidR="003131D3" w:rsidRDefault="003131D3" w:rsidP="003131D3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 xml:space="preserve">Mr </w:t>
      </w:r>
      <w:r w:rsidR="00F474E5">
        <w:rPr>
          <w:b/>
        </w:rPr>
        <w:t>T. Tanyanyiwa, Attorney</w:t>
      </w:r>
    </w:p>
    <w:p w:rsidR="003131D3" w:rsidRDefault="003131D3" w:rsidP="003131D3">
      <w:pPr>
        <w:spacing w:line="360" w:lineRule="auto"/>
        <w:jc w:val="both"/>
        <w:rPr>
          <w:b/>
          <w:sz w:val="28"/>
          <w:szCs w:val="28"/>
        </w:rPr>
      </w:pPr>
    </w:p>
    <w:p w:rsidR="003131D3" w:rsidRDefault="003131D3" w:rsidP="003131D3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6B5DE3" w:rsidRDefault="006B5DE3" w:rsidP="00AB24AA">
      <w:pPr>
        <w:spacing w:line="360" w:lineRule="auto"/>
        <w:jc w:val="both"/>
      </w:pPr>
    </w:p>
    <w:p w:rsidR="00AB24AA" w:rsidRDefault="00AB24AA" w:rsidP="00AB24AA">
      <w:pPr>
        <w:spacing w:line="360" w:lineRule="auto"/>
        <w:jc w:val="both"/>
      </w:pPr>
      <w:r>
        <w:t>On 13</w:t>
      </w:r>
      <w:r w:rsidRPr="00AB24AA">
        <w:rPr>
          <w:vertAlign w:val="superscript"/>
        </w:rPr>
        <w:t>th</w:t>
      </w:r>
      <w:r>
        <w:t xml:space="preserve"> December 2012</w:t>
      </w:r>
      <w:r w:rsidR="005418E0">
        <w:t xml:space="preserve"> at Harare</w:t>
      </w:r>
      <w:r>
        <w:t xml:space="preserve">, Arbitrator D. </w:t>
      </w:r>
      <w:proofErr w:type="spellStart"/>
      <w:r>
        <w:t>Mudzengi</w:t>
      </w:r>
      <w:proofErr w:type="spellEnd"/>
      <w:r>
        <w:t xml:space="preserve"> </w:t>
      </w:r>
      <w:r w:rsidR="005418E0">
        <w:t>issued</w:t>
      </w:r>
      <w:r>
        <w:t xml:space="preserve"> an</w:t>
      </w:r>
      <w:r w:rsidR="0002270E">
        <w:t xml:space="preserve"> arbitration award.  In terms </w:t>
      </w:r>
      <w:r w:rsidR="00B41040">
        <w:t>thereof</w:t>
      </w:r>
      <w:r w:rsidR="0002270E">
        <w:t xml:space="preserve"> he dismissed </w:t>
      </w:r>
      <w:r w:rsidR="00175C72">
        <w:t xml:space="preserve">Appellants’ complaint against Respondent </w:t>
      </w:r>
      <w:r w:rsidR="00F14851">
        <w:t>for failure to pay them for</w:t>
      </w:r>
      <w:r w:rsidR="00175C72">
        <w:t xml:space="preserve"> overtime</w:t>
      </w:r>
      <w:r w:rsidR="00F14851">
        <w:t xml:space="preserve"> worked</w:t>
      </w:r>
      <w:r w:rsidR="00175C72">
        <w:t>.  Appellants then appealed to this Court against the award.  Respondent opposed the appeal.</w:t>
      </w:r>
    </w:p>
    <w:p w:rsidR="00175C72" w:rsidRDefault="00175C72" w:rsidP="000B7C1B">
      <w:pPr>
        <w:jc w:val="both"/>
      </w:pPr>
    </w:p>
    <w:p w:rsidR="00175C72" w:rsidRDefault="00175C72" w:rsidP="00AB24AA">
      <w:pPr>
        <w:spacing w:line="360" w:lineRule="auto"/>
        <w:jc w:val="both"/>
      </w:pPr>
      <w:r>
        <w:t xml:space="preserve">Working hours and payment therefor in the sector Respondent operates in are governed by a CBA </w:t>
      </w:r>
      <w:r w:rsidR="00BD4DD4">
        <w:t>cal</w:t>
      </w:r>
      <w:r w:rsidR="00765279">
        <w:t xml:space="preserve">led </w:t>
      </w:r>
      <w:r w:rsidR="00765279" w:rsidRPr="00BD4DD4">
        <w:rPr>
          <w:u w:val="single"/>
        </w:rPr>
        <w:t>Collective Bargaining Agreement: Commercial Sectors</w:t>
      </w:r>
      <w:r w:rsidR="00765279">
        <w:t xml:space="preserve"> S.I. 45/93.  It is common cause that Appellants</w:t>
      </w:r>
      <w:r w:rsidR="00B12748">
        <w:t xml:space="preserve"> worked more hours than the stipulate</w:t>
      </w:r>
      <w:r w:rsidR="00BD4DD4">
        <w:t>d</w:t>
      </w:r>
      <w:r w:rsidR="00B12748">
        <w:t xml:space="preserve"> hours.  </w:t>
      </w:r>
      <w:r w:rsidR="000B7C1B">
        <w:t>However</w:t>
      </w:r>
      <w:r w:rsidR="00B12748">
        <w:t xml:space="preserve"> Respondent argued that it </w:t>
      </w:r>
      <w:r w:rsidR="005464BB">
        <w:t xml:space="preserve">compensated for the overtime by giving Appellants 9 days-off every month.  </w:t>
      </w:r>
      <w:r w:rsidR="00393FE0">
        <w:t>This was per minutes of a Works Council (WC) meeting held on 2</w:t>
      </w:r>
      <w:r w:rsidR="00393FE0" w:rsidRPr="00393FE0">
        <w:rPr>
          <w:vertAlign w:val="superscript"/>
        </w:rPr>
        <w:t>nd</w:t>
      </w:r>
      <w:r w:rsidR="00393FE0">
        <w:t xml:space="preserve"> February 2005.  A copy of</w:t>
      </w:r>
      <w:r w:rsidR="00113C12">
        <w:t xml:space="preserve"> the minutes is filed of record.  The relevant portion</w:t>
      </w:r>
      <w:r w:rsidR="006732D0">
        <w:t xml:space="preserve"> reads as follows,</w:t>
      </w:r>
    </w:p>
    <w:p w:rsidR="006732D0" w:rsidRDefault="006732D0" w:rsidP="00AB24AA">
      <w:pPr>
        <w:spacing w:line="360" w:lineRule="auto"/>
        <w:jc w:val="both"/>
      </w:pPr>
    </w:p>
    <w:p w:rsidR="006732D0" w:rsidRPr="003A1232" w:rsidRDefault="006732D0" w:rsidP="003A1232">
      <w:pPr>
        <w:spacing w:line="276" w:lineRule="auto"/>
        <w:jc w:val="both"/>
        <w:rPr>
          <w:sz w:val="22"/>
          <w:szCs w:val="22"/>
        </w:rPr>
      </w:pPr>
      <w:r>
        <w:lastRenderedPageBreak/>
        <w:tab/>
      </w:r>
      <w:r w:rsidRPr="003A1232">
        <w:rPr>
          <w:sz w:val="22"/>
          <w:szCs w:val="22"/>
        </w:rPr>
        <w:t>“3. …</w:t>
      </w:r>
    </w:p>
    <w:p w:rsidR="006732D0" w:rsidRPr="003A1232" w:rsidRDefault="006732D0" w:rsidP="003A1232">
      <w:pPr>
        <w:spacing w:line="276" w:lineRule="auto"/>
        <w:ind w:left="720"/>
        <w:jc w:val="both"/>
        <w:rPr>
          <w:sz w:val="22"/>
          <w:szCs w:val="22"/>
        </w:rPr>
      </w:pPr>
      <w:r w:rsidRPr="003A1232">
        <w:rPr>
          <w:sz w:val="22"/>
          <w:szCs w:val="22"/>
        </w:rPr>
        <w:tab/>
        <w:t xml:space="preserve">It was unanimously resolved that the Enterprise Dog Handler </w:t>
      </w:r>
      <w:r w:rsidR="00285531" w:rsidRPr="003A1232">
        <w:rPr>
          <w:sz w:val="22"/>
          <w:szCs w:val="22"/>
        </w:rPr>
        <w:t xml:space="preserve">Unit be registered with the NEC Commercial and that by virtue of this Resolution authority be </w:t>
      </w:r>
      <w:r w:rsidR="00E21516" w:rsidRPr="003A1232">
        <w:rPr>
          <w:sz w:val="22"/>
          <w:szCs w:val="22"/>
        </w:rPr>
        <w:t>granted for Dog Handlers to work 21 days (12 hour shifts) followed by 9 days off-duty.”</w:t>
      </w:r>
    </w:p>
    <w:p w:rsidR="00E21516" w:rsidRDefault="00E21516" w:rsidP="003A1232">
      <w:pPr>
        <w:jc w:val="both"/>
      </w:pPr>
    </w:p>
    <w:p w:rsidR="00E21516" w:rsidRDefault="00E21516" w:rsidP="00AB24AA">
      <w:pPr>
        <w:spacing w:line="360" w:lineRule="auto"/>
        <w:jc w:val="both"/>
      </w:pPr>
      <w:r>
        <w:t>Appellants argued that despite the WC agreement they were entitled to payment for the</w:t>
      </w:r>
      <w:r w:rsidR="00946EC6">
        <w:t xml:space="preserve"> overtime.  They further argued that the parties could not waive application</w:t>
      </w:r>
      <w:r w:rsidR="003E3E56">
        <w:t xml:space="preserve"> of </w:t>
      </w:r>
      <w:r w:rsidR="00BD4DD4">
        <w:t>provisions in the CBA.  They relied on</w:t>
      </w:r>
      <w:r w:rsidR="003E3E56">
        <w:t xml:space="preserve"> section</w:t>
      </w:r>
      <w:r w:rsidR="00BD4DD4">
        <w:t xml:space="preserve"> 2 (2) of the CBA which provides</w:t>
      </w:r>
      <w:r w:rsidR="003E3E56">
        <w:t xml:space="preserve"> that</w:t>
      </w:r>
      <w:r w:rsidR="004A4E6B">
        <w:t>,</w:t>
      </w:r>
    </w:p>
    <w:p w:rsidR="003E3E56" w:rsidRDefault="003E3E56" w:rsidP="003A1232">
      <w:pPr>
        <w:jc w:val="both"/>
      </w:pPr>
    </w:p>
    <w:p w:rsidR="003E3E56" w:rsidRPr="003A1232" w:rsidRDefault="003E3E56" w:rsidP="003A1232">
      <w:pPr>
        <w:spacing w:line="276" w:lineRule="auto"/>
        <w:ind w:left="720"/>
        <w:jc w:val="both"/>
        <w:rPr>
          <w:sz w:val="22"/>
          <w:szCs w:val="22"/>
        </w:rPr>
      </w:pPr>
      <w:r w:rsidRPr="003A1232">
        <w:rPr>
          <w:sz w:val="22"/>
          <w:szCs w:val="22"/>
        </w:rPr>
        <w:t xml:space="preserve">“No employer or employee may waive any provision of this agreement, whether or not the said provision creates a </w:t>
      </w:r>
      <w:r w:rsidR="004A4E6B">
        <w:rPr>
          <w:sz w:val="22"/>
          <w:szCs w:val="22"/>
        </w:rPr>
        <w:t>benefit to o</w:t>
      </w:r>
      <w:r w:rsidR="00221621" w:rsidRPr="003A1232">
        <w:rPr>
          <w:sz w:val="22"/>
          <w:szCs w:val="22"/>
        </w:rPr>
        <w:t>r an obligation on the employer or employee concerned.  …”</w:t>
      </w:r>
    </w:p>
    <w:p w:rsidR="00221621" w:rsidRPr="003A1232" w:rsidRDefault="00221621" w:rsidP="003A1232">
      <w:pPr>
        <w:spacing w:line="276" w:lineRule="auto"/>
        <w:jc w:val="both"/>
        <w:rPr>
          <w:sz w:val="22"/>
          <w:szCs w:val="22"/>
        </w:rPr>
      </w:pPr>
    </w:p>
    <w:p w:rsidR="00221621" w:rsidRDefault="00221621" w:rsidP="00AB24AA">
      <w:pPr>
        <w:spacing w:line="360" w:lineRule="auto"/>
        <w:jc w:val="both"/>
      </w:pPr>
      <w:r>
        <w:t>On the other hand, Respondent relied on section 7 (2) of the CBA which reads thus,</w:t>
      </w:r>
    </w:p>
    <w:p w:rsidR="00221621" w:rsidRDefault="00221621" w:rsidP="003A1232">
      <w:pPr>
        <w:jc w:val="both"/>
      </w:pPr>
    </w:p>
    <w:p w:rsidR="00221621" w:rsidRPr="003A1232" w:rsidRDefault="00221621" w:rsidP="003A1232">
      <w:pPr>
        <w:spacing w:line="276" w:lineRule="auto"/>
        <w:jc w:val="both"/>
        <w:rPr>
          <w:sz w:val="22"/>
          <w:szCs w:val="22"/>
        </w:rPr>
      </w:pPr>
      <w:r>
        <w:tab/>
      </w:r>
      <w:r w:rsidRPr="003A1232">
        <w:rPr>
          <w:sz w:val="22"/>
          <w:szCs w:val="22"/>
        </w:rPr>
        <w:t>“</w:t>
      </w:r>
      <w:r w:rsidR="007A6CA6" w:rsidRPr="003A1232">
        <w:rPr>
          <w:sz w:val="22"/>
          <w:szCs w:val="22"/>
        </w:rPr>
        <w:t xml:space="preserve">(2) </w:t>
      </w:r>
      <w:r w:rsidRPr="003A1232">
        <w:rPr>
          <w:sz w:val="22"/>
          <w:szCs w:val="22"/>
        </w:rPr>
        <w:t>An employee shall –</w:t>
      </w:r>
    </w:p>
    <w:p w:rsidR="00221621" w:rsidRPr="003A1232" w:rsidRDefault="001D362E" w:rsidP="003A1232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A1232">
        <w:rPr>
          <w:sz w:val="22"/>
          <w:szCs w:val="22"/>
        </w:rPr>
        <w:t>b</w:t>
      </w:r>
      <w:r w:rsidR="00221621" w:rsidRPr="003A1232">
        <w:rPr>
          <w:sz w:val="22"/>
          <w:szCs w:val="22"/>
        </w:rPr>
        <w:t>e paid in terms of subsection (3) for all hours worked on overtime; or</w:t>
      </w:r>
    </w:p>
    <w:p w:rsidR="00221621" w:rsidRPr="003A1232" w:rsidRDefault="001D362E" w:rsidP="003A1232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A1232">
        <w:rPr>
          <w:sz w:val="22"/>
          <w:szCs w:val="22"/>
        </w:rPr>
        <w:t xml:space="preserve">by </w:t>
      </w:r>
      <w:r w:rsidR="00CB7F6D" w:rsidRPr="003A1232">
        <w:rPr>
          <w:sz w:val="22"/>
          <w:szCs w:val="22"/>
          <w:u w:val="single"/>
        </w:rPr>
        <w:t>mutual agreement</w:t>
      </w:r>
      <w:r w:rsidR="00CB7F6D" w:rsidRPr="003A1232">
        <w:rPr>
          <w:sz w:val="22"/>
          <w:szCs w:val="22"/>
        </w:rPr>
        <w:t>, be allowed time off by the employer during normal working hours, equivalent to – “</w:t>
      </w:r>
    </w:p>
    <w:p w:rsidR="00800AFB" w:rsidRDefault="00CB7F6D" w:rsidP="003A1232">
      <w:pPr>
        <w:pStyle w:val="ListParagraph"/>
        <w:spacing w:line="276" w:lineRule="auto"/>
        <w:ind w:left="1080"/>
        <w:jc w:val="both"/>
      </w:pPr>
      <w:r>
        <w:t>(The underlining is for emphasis.)</w:t>
      </w:r>
    </w:p>
    <w:p w:rsidR="003A1232" w:rsidRDefault="003A1232" w:rsidP="003A1232">
      <w:pPr>
        <w:pStyle w:val="ListParagraph"/>
        <w:spacing w:line="276" w:lineRule="auto"/>
        <w:ind w:left="1080"/>
        <w:jc w:val="both"/>
      </w:pPr>
    </w:p>
    <w:p w:rsidR="007F1C24" w:rsidRDefault="00800AFB" w:rsidP="00800AFB">
      <w:pPr>
        <w:spacing w:line="360" w:lineRule="auto"/>
        <w:jc w:val="both"/>
      </w:pPr>
      <w:r>
        <w:t xml:space="preserve">In other words the employer can either pay for overtime in cash or by giving increased time-off for </w:t>
      </w:r>
      <w:r w:rsidR="00401DD3">
        <w:t xml:space="preserve">employee/s.  In </w:t>
      </w:r>
      <w:r w:rsidR="00401DD3" w:rsidRPr="00401DD3">
        <w:rPr>
          <w:i/>
        </w:rPr>
        <w:t>casu</w:t>
      </w:r>
      <w:r w:rsidR="00401DD3">
        <w:t xml:space="preserve"> the parties entered a </w:t>
      </w:r>
      <w:r w:rsidR="00401DD3" w:rsidRPr="00401DD3">
        <w:rPr>
          <w:u w:val="single"/>
        </w:rPr>
        <w:t>mutual agreement</w:t>
      </w:r>
      <w:r w:rsidR="00401DD3">
        <w:t xml:space="preserve"> whereby</w:t>
      </w:r>
      <w:r w:rsidR="008B12DD">
        <w:t xml:space="preserve"> overtime was paid for by increased time-off.  That was permitted by the CBA.  Therefore there is no question of waiving any provision of the CBA.  On that basis, Appellants’ appeal lacks merit and needs be dismissed.</w:t>
      </w:r>
    </w:p>
    <w:p w:rsidR="007F1C24" w:rsidRDefault="007F1C24" w:rsidP="00800AFB">
      <w:pPr>
        <w:spacing w:line="360" w:lineRule="auto"/>
        <w:jc w:val="both"/>
      </w:pPr>
    </w:p>
    <w:p w:rsidR="007F1C24" w:rsidRDefault="007F1C24" w:rsidP="007F1C24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7F1C24" w:rsidRDefault="007F1C24" w:rsidP="007F1C24">
      <w:pPr>
        <w:spacing w:line="360" w:lineRule="auto"/>
        <w:jc w:val="both"/>
        <w:rPr>
          <w:b/>
        </w:rPr>
      </w:pPr>
    </w:p>
    <w:p w:rsidR="007F1C24" w:rsidRDefault="007F1C24" w:rsidP="007F1C24">
      <w:pPr>
        <w:pStyle w:val="ListParagraph"/>
        <w:numPr>
          <w:ilvl w:val="0"/>
          <w:numId w:val="3"/>
        </w:numPr>
        <w:spacing w:line="360" w:lineRule="auto"/>
        <w:jc w:val="both"/>
        <w:rPr>
          <w:b/>
        </w:rPr>
      </w:pPr>
      <w:r w:rsidRPr="001C50BD">
        <w:rPr>
          <w:b/>
        </w:rPr>
        <w:t xml:space="preserve">The </w:t>
      </w:r>
      <w:r>
        <w:rPr>
          <w:b/>
        </w:rPr>
        <w:t>appeal be and is hereby dismissed; and</w:t>
      </w:r>
    </w:p>
    <w:p w:rsidR="007F1C24" w:rsidRPr="001C50BD" w:rsidRDefault="007F1C24" w:rsidP="007F1C24">
      <w:pPr>
        <w:pStyle w:val="ListParagraph"/>
        <w:jc w:val="both"/>
        <w:rPr>
          <w:b/>
        </w:rPr>
      </w:pPr>
    </w:p>
    <w:p w:rsidR="007F1C24" w:rsidRPr="00A23A60" w:rsidRDefault="007F1C24" w:rsidP="00A23A60">
      <w:pPr>
        <w:pStyle w:val="ListParagraph"/>
        <w:numPr>
          <w:ilvl w:val="0"/>
          <w:numId w:val="3"/>
        </w:numPr>
        <w:spacing w:line="360" w:lineRule="auto"/>
        <w:jc w:val="both"/>
        <w:rPr>
          <w:b/>
        </w:rPr>
      </w:pPr>
      <w:bookmarkStart w:id="0" w:name="_GoBack"/>
      <w:bookmarkEnd w:id="0"/>
      <w:r w:rsidRPr="00A23A60">
        <w:rPr>
          <w:b/>
        </w:rPr>
        <w:t>Each party shall bear its own costs.</w:t>
      </w:r>
    </w:p>
    <w:p w:rsidR="007F1C24" w:rsidRDefault="007F1C24" w:rsidP="007F1C24">
      <w:pPr>
        <w:pStyle w:val="ListParagraph"/>
        <w:spacing w:line="360" w:lineRule="auto"/>
        <w:jc w:val="both"/>
        <w:rPr>
          <w:b/>
        </w:rPr>
      </w:pPr>
    </w:p>
    <w:p w:rsidR="007F1C24" w:rsidRDefault="007F1C24" w:rsidP="007F1C24">
      <w:pPr>
        <w:pStyle w:val="ListParagraph"/>
        <w:spacing w:line="360" w:lineRule="auto"/>
        <w:jc w:val="both"/>
        <w:rPr>
          <w:b/>
        </w:rPr>
      </w:pPr>
    </w:p>
    <w:p w:rsidR="007F1C24" w:rsidRPr="008C1574" w:rsidRDefault="007F1C24" w:rsidP="007F1C24">
      <w:pPr>
        <w:pStyle w:val="ListParagraph"/>
        <w:spacing w:line="360" w:lineRule="auto"/>
        <w:jc w:val="both"/>
        <w:rPr>
          <w:b/>
        </w:rPr>
      </w:pPr>
    </w:p>
    <w:p w:rsidR="007F1C24" w:rsidRDefault="007F1C24" w:rsidP="007F1C24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 MUSARIRI</w:t>
      </w:r>
    </w:p>
    <w:p w:rsidR="007F1C24" w:rsidRDefault="004C2BBF" w:rsidP="000B7C1B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J-U-D-G-E.</w:t>
      </w:r>
    </w:p>
    <w:sectPr w:rsidR="007F1C24" w:rsidSect="003172C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BC" w:rsidRDefault="00A06BBC" w:rsidP="003172C0">
      <w:r>
        <w:separator/>
      </w:r>
    </w:p>
  </w:endnote>
  <w:endnote w:type="continuationSeparator" w:id="0">
    <w:p w:rsidR="00A06BBC" w:rsidRDefault="00A06BBC" w:rsidP="0031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799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2C0" w:rsidRDefault="003172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A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72C0" w:rsidRDefault="00317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BC" w:rsidRDefault="00A06BBC" w:rsidP="003172C0">
      <w:r>
        <w:separator/>
      </w:r>
    </w:p>
  </w:footnote>
  <w:footnote w:type="continuationSeparator" w:id="0">
    <w:p w:rsidR="00A06BBC" w:rsidRDefault="00A06BBC" w:rsidP="0031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C0" w:rsidRPr="003172C0" w:rsidRDefault="003172C0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141A45">
      <w:rPr>
        <w:lang w:val="en-ZW"/>
      </w:rPr>
      <w:t>172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E666F"/>
    <w:multiLevelType w:val="hybridMultilevel"/>
    <w:tmpl w:val="31A61564"/>
    <w:lvl w:ilvl="0" w:tplc="22DE1A64">
      <w:start w:val="1"/>
      <w:numFmt w:val="lowerLetter"/>
      <w:lvlText w:val="(%1)"/>
      <w:lvlJc w:val="left"/>
      <w:pPr>
        <w:ind w:left="1512" w:hanging="360"/>
      </w:pPr>
      <w:rPr>
        <w:rFonts w:ascii="Tahoma" w:eastAsia="Times New Roman" w:hAnsi="Tahoma" w:cs="Times New Roman"/>
      </w:rPr>
    </w:lvl>
    <w:lvl w:ilvl="1" w:tplc="30090019" w:tentative="1">
      <w:start w:val="1"/>
      <w:numFmt w:val="lowerLetter"/>
      <w:lvlText w:val="%2."/>
      <w:lvlJc w:val="left"/>
      <w:pPr>
        <w:ind w:left="2232" w:hanging="360"/>
      </w:pPr>
    </w:lvl>
    <w:lvl w:ilvl="2" w:tplc="3009001B" w:tentative="1">
      <w:start w:val="1"/>
      <w:numFmt w:val="lowerRoman"/>
      <w:lvlText w:val="%3."/>
      <w:lvlJc w:val="right"/>
      <w:pPr>
        <w:ind w:left="2952" w:hanging="180"/>
      </w:pPr>
    </w:lvl>
    <w:lvl w:ilvl="3" w:tplc="3009000F" w:tentative="1">
      <w:start w:val="1"/>
      <w:numFmt w:val="decimal"/>
      <w:lvlText w:val="%4."/>
      <w:lvlJc w:val="left"/>
      <w:pPr>
        <w:ind w:left="3672" w:hanging="360"/>
      </w:pPr>
    </w:lvl>
    <w:lvl w:ilvl="4" w:tplc="30090019" w:tentative="1">
      <w:start w:val="1"/>
      <w:numFmt w:val="lowerLetter"/>
      <w:lvlText w:val="%5."/>
      <w:lvlJc w:val="left"/>
      <w:pPr>
        <w:ind w:left="4392" w:hanging="360"/>
      </w:pPr>
    </w:lvl>
    <w:lvl w:ilvl="5" w:tplc="3009001B" w:tentative="1">
      <w:start w:val="1"/>
      <w:numFmt w:val="lowerRoman"/>
      <w:lvlText w:val="%6."/>
      <w:lvlJc w:val="right"/>
      <w:pPr>
        <w:ind w:left="5112" w:hanging="180"/>
      </w:pPr>
    </w:lvl>
    <w:lvl w:ilvl="6" w:tplc="3009000F" w:tentative="1">
      <w:start w:val="1"/>
      <w:numFmt w:val="decimal"/>
      <w:lvlText w:val="%7."/>
      <w:lvlJc w:val="left"/>
      <w:pPr>
        <w:ind w:left="5832" w:hanging="360"/>
      </w:pPr>
    </w:lvl>
    <w:lvl w:ilvl="7" w:tplc="30090019" w:tentative="1">
      <w:start w:val="1"/>
      <w:numFmt w:val="lowerLetter"/>
      <w:lvlText w:val="%8."/>
      <w:lvlJc w:val="left"/>
      <w:pPr>
        <w:ind w:left="6552" w:hanging="360"/>
      </w:pPr>
    </w:lvl>
    <w:lvl w:ilvl="8" w:tplc="30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6E7E2F1A"/>
    <w:multiLevelType w:val="hybridMultilevel"/>
    <w:tmpl w:val="0AB64112"/>
    <w:lvl w:ilvl="0" w:tplc="8A5C4C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D3"/>
    <w:rsid w:val="0002270E"/>
    <w:rsid w:val="000B7C1B"/>
    <w:rsid w:val="000D50B1"/>
    <w:rsid w:val="000D7294"/>
    <w:rsid w:val="00113C12"/>
    <w:rsid w:val="00141A45"/>
    <w:rsid w:val="00175C72"/>
    <w:rsid w:val="0019126E"/>
    <w:rsid w:val="001D362E"/>
    <w:rsid w:val="00221621"/>
    <w:rsid w:val="002220B3"/>
    <w:rsid w:val="00257659"/>
    <w:rsid w:val="00285531"/>
    <w:rsid w:val="003131D3"/>
    <w:rsid w:val="003172C0"/>
    <w:rsid w:val="00393FE0"/>
    <w:rsid w:val="003A1232"/>
    <w:rsid w:val="003E3E56"/>
    <w:rsid w:val="00401DD3"/>
    <w:rsid w:val="004A4E6B"/>
    <w:rsid w:val="004C2BBF"/>
    <w:rsid w:val="005418E0"/>
    <w:rsid w:val="005464BB"/>
    <w:rsid w:val="006732D0"/>
    <w:rsid w:val="006B5DE3"/>
    <w:rsid w:val="00711B32"/>
    <w:rsid w:val="00765279"/>
    <w:rsid w:val="007A6CA6"/>
    <w:rsid w:val="007F1C24"/>
    <w:rsid w:val="00800AFB"/>
    <w:rsid w:val="008B12DD"/>
    <w:rsid w:val="00946EC6"/>
    <w:rsid w:val="00A06BBC"/>
    <w:rsid w:val="00A23A60"/>
    <w:rsid w:val="00A44C00"/>
    <w:rsid w:val="00AB24AA"/>
    <w:rsid w:val="00B12748"/>
    <w:rsid w:val="00B41040"/>
    <w:rsid w:val="00BD4DD4"/>
    <w:rsid w:val="00CB7F6D"/>
    <w:rsid w:val="00E21516"/>
    <w:rsid w:val="00F14851"/>
    <w:rsid w:val="00F474E5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2C0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7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2C0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2C0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7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2C0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2016-03-10T12:54:00Z</cp:lastPrinted>
  <dcterms:created xsi:type="dcterms:W3CDTF">2016-03-10T12:12:00Z</dcterms:created>
  <dcterms:modified xsi:type="dcterms:W3CDTF">2016-03-14T10:38:00Z</dcterms:modified>
</cp:coreProperties>
</file>