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05" w:rsidRPr="00BC6047" w:rsidRDefault="001E178A" w:rsidP="00534B91">
      <w:pPr>
        <w:spacing w:after="0" w:line="240" w:lineRule="auto"/>
        <w:jc w:val="both"/>
        <w:rPr>
          <w:rFonts w:ascii="Times New Roman" w:hAnsi="Times New Roman" w:cs="Times New Roman"/>
          <w:sz w:val="24"/>
          <w:szCs w:val="24"/>
        </w:rPr>
      </w:pPr>
      <w:bookmarkStart w:id="0" w:name="_GoBack"/>
      <w:bookmarkEnd w:id="0"/>
      <w:r w:rsidRPr="00BC6047">
        <w:rPr>
          <w:rFonts w:ascii="Times New Roman" w:hAnsi="Times New Roman" w:cs="Times New Roman"/>
          <w:sz w:val="24"/>
          <w:szCs w:val="24"/>
        </w:rPr>
        <w:t xml:space="preserve">GLOBAL HORIZON </w:t>
      </w:r>
      <w:r w:rsidR="00750E05" w:rsidRPr="00BC6047">
        <w:rPr>
          <w:rFonts w:ascii="Times New Roman" w:hAnsi="Times New Roman" w:cs="Times New Roman"/>
          <w:sz w:val="24"/>
          <w:szCs w:val="24"/>
        </w:rPr>
        <w:t>(</w:t>
      </w:r>
      <w:r w:rsidRPr="00BC6047">
        <w:rPr>
          <w:rFonts w:ascii="Times New Roman" w:hAnsi="Times New Roman" w:cs="Times New Roman"/>
          <w:sz w:val="24"/>
          <w:szCs w:val="24"/>
        </w:rPr>
        <w:t>PRIVATE</w:t>
      </w:r>
      <w:r w:rsidR="00750E05" w:rsidRPr="00BC6047">
        <w:rPr>
          <w:rFonts w:ascii="Times New Roman" w:hAnsi="Times New Roman" w:cs="Times New Roman"/>
          <w:sz w:val="24"/>
          <w:szCs w:val="24"/>
        </w:rPr>
        <w:t xml:space="preserve">) </w:t>
      </w:r>
      <w:r w:rsidRPr="00BC6047">
        <w:rPr>
          <w:rFonts w:ascii="Times New Roman" w:hAnsi="Times New Roman" w:cs="Times New Roman"/>
          <w:sz w:val="24"/>
          <w:szCs w:val="24"/>
        </w:rPr>
        <w:t>LIMITED</w:t>
      </w:r>
    </w:p>
    <w:p w:rsidR="00750E05" w:rsidRPr="00BC6047" w:rsidRDefault="00534B91" w:rsidP="00534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0E05" w:rsidRPr="00BC6047">
        <w:rPr>
          <w:rFonts w:ascii="Times New Roman" w:hAnsi="Times New Roman" w:cs="Times New Roman"/>
          <w:sz w:val="24"/>
          <w:szCs w:val="24"/>
        </w:rPr>
        <w:t>nd</w:t>
      </w:r>
    </w:p>
    <w:p w:rsidR="00750E05" w:rsidRPr="00BC6047" w:rsidRDefault="001E178A"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GODFREY CHINDOMU</w:t>
      </w:r>
    </w:p>
    <w:p w:rsidR="001E178A" w:rsidRPr="00BC6047" w:rsidRDefault="00534B91" w:rsidP="00534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E178A" w:rsidRPr="00BC6047">
        <w:rPr>
          <w:rFonts w:ascii="Times New Roman" w:hAnsi="Times New Roman" w:cs="Times New Roman"/>
          <w:sz w:val="24"/>
          <w:szCs w:val="24"/>
        </w:rPr>
        <w:t>nd</w:t>
      </w:r>
    </w:p>
    <w:p w:rsidR="001E178A" w:rsidRPr="00BC6047" w:rsidRDefault="001E178A"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NOMUSA CHINDOMU</w:t>
      </w:r>
    </w:p>
    <w:p w:rsidR="00750E05" w:rsidRPr="00BC6047" w:rsidRDefault="00534B91" w:rsidP="00534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50E05" w:rsidRPr="00BC6047">
        <w:rPr>
          <w:rFonts w:ascii="Times New Roman" w:hAnsi="Times New Roman" w:cs="Times New Roman"/>
          <w:sz w:val="24"/>
          <w:szCs w:val="24"/>
        </w:rPr>
        <w:t>ersus</w:t>
      </w:r>
    </w:p>
    <w:p w:rsidR="00750E05" w:rsidRPr="00BC6047" w:rsidRDefault="001E178A"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FMC FINANCE (PRIVATE) LIMITED</w:t>
      </w:r>
    </w:p>
    <w:p w:rsidR="00750E05" w:rsidRPr="00BC6047" w:rsidRDefault="00534B91" w:rsidP="00534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0E05" w:rsidRPr="00BC6047">
        <w:rPr>
          <w:rFonts w:ascii="Times New Roman" w:hAnsi="Times New Roman" w:cs="Times New Roman"/>
          <w:sz w:val="24"/>
          <w:szCs w:val="24"/>
        </w:rPr>
        <w:t>nd</w:t>
      </w:r>
    </w:p>
    <w:p w:rsidR="00750E05" w:rsidRPr="00BC6047" w:rsidRDefault="001E178A"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SHERIFF OF HIGH COURT N.O</w:t>
      </w:r>
    </w:p>
    <w:p w:rsidR="00750E05" w:rsidRPr="00BC6047" w:rsidRDefault="00534B91" w:rsidP="00534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0E05" w:rsidRPr="00BC6047">
        <w:rPr>
          <w:rFonts w:ascii="Times New Roman" w:hAnsi="Times New Roman" w:cs="Times New Roman"/>
          <w:sz w:val="24"/>
          <w:szCs w:val="24"/>
        </w:rPr>
        <w:t>nd</w:t>
      </w:r>
    </w:p>
    <w:p w:rsidR="00750E05" w:rsidRPr="00BC6047" w:rsidRDefault="001E178A"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REGISTRAR OF DEEDS N.O</w:t>
      </w:r>
    </w:p>
    <w:p w:rsidR="00750E05" w:rsidRPr="00BC6047" w:rsidRDefault="00750E05" w:rsidP="00BC6047">
      <w:pPr>
        <w:spacing w:line="360" w:lineRule="auto"/>
        <w:jc w:val="both"/>
        <w:rPr>
          <w:rFonts w:ascii="Times New Roman" w:hAnsi="Times New Roman" w:cs="Times New Roman"/>
          <w:sz w:val="24"/>
          <w:szCs w:val="24"/>
        </w:rPr>
      </w:pPr>
    </w:p>
    <w:p w:rsidR="00750E05" w:rsidRPr="00BC6047" w:rsidRDefault="00750E05"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HIGH COURT OF ZIMBABWE</w:t>
      </w:r>
    </w:p>
    <w:p w:rsidR="00750E05" w:rsidRPr="00BC6047" w:rsidRDefault="00750E05"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DEME J</w:t>
      </w:r>
    </w:p>
    <w:p w:rsidR="00750E05" w:rsidRPr="00BC6047" w:rsidRDefault="00750E05"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 xml:space="preserve"> HARARE, </w:t>
      </w:r>
      <w:r w:rsidR="001E178A" w:rsidRPr="00BC6047">
        <w:rPr>
          <w:rFonts w:ascii="Times New Roman" w:hAnsi="Times New Roman" w:cs="Times New Roman"/>
          <w:sz w:val="24"/>
          <w:szCs w:val="24"/>
        </w:rPr>
        <w:t>17 and 21</w:t>
      </w:r>
      <w:r w:rsidRPr="00BC6047">
        <w:rPr>
          <w:rFonts w:ascii="Times New Roman" w:hAnsi="Times New Roman" w:cs="Times New Roman"/>
          <w:sz w:val="24"/>
          <w:szCs w:val="24"/>
        </w:rPr>
        <w:t xml:space="preserve"> January, 2022</w:t>
      </w:r>
      <w:r w:rsidR="000271CB">
        <w:rPr>
          <w:rFonts w:ascii="Times New Roman" w:hAnsi="Times New Roman" w:cs="Times New Roman"/>
          <w:sz w:val="24"/>
          <w:szCs w:val="24"/>
        </w:rPr>
        <w:t xml:space="preserve"> and 3 February</w:t>
      </w:r>
      <w:r w:rsidR="00405FA6">
        <w:rPr>
          <w:rFonts w:ascii="Times New Roman" w:hAnsi="Times New Roman" w:cs="Times New Roman"/>
          <w:sz w:val="24"/>
          <w:szCs w:val="24"/>
        </w:rPr>
        <w:t xml:space="preserve"> 2022</w:t>
      </w:r>
    </w:p>
    <w:p w:rsidR="00750E05" w:rsidRPr="00BC6047" w:rsidRDefault="00750E05" w:rsidP="00BC6047">
      <w:pPr>
        <w:spacing w:line="360" w:lineRule="auto"/>
        <w:jc w:val="both"/>
        <w:rPr>
          <w:rFonts w:ascii="Times New Roman" w:hAnsi="Times New Roman" w:cs="Times New Roman"/>
          <w:sz w:val="24"/>
          <w:szCs w:val="24"/>
        </w:rPr>
      </w:pPr>
    </w:p>
    <w:p w:rsidR="00750E05" w:rsidRPr="00BC6047" w:rsidRDefault="00750E05" w:rsidP="00BC6047">
      <w:pPr>
        <w:spacing w:line="360" w:lineRule="auto"/>
        <w:jc w:val="both"/>
        <w:rPr>
          <w:rFonts w:ascii="Times New Roman" w:hAnsi="Times New Roman" w:cs="Times New Roman"/>
          <w:b/>
          <w:sz w:val="24"/>
          <w:szCs w:val="24"/>
        </w:rPr>
      </w:pPr>
      <w:r w:rsidRPr="00BC6047">
        <w:rPr>
          <w:rFonts w:ascii="Times New Roman" w:hAnsi="Times New Roman" w:cs="Times New Roman"/>
          <w:b/>
          <w:sz w:val="24"/>
          <w:szCs w:val="24"/>
        </w:rPr>
        <w:t>Urgent Chamber Application</w:t>
      </w:r>
    </w:p>
    <w:p w:rsidR="00750E05" w:rsidRPr="00BC6047" w:rsidRDefault="00750E05" w:rsidP="00BC6047">
      <w:pPr>
        <w:spacing w:line="360" w:lineRule="auto"/>
        <w:jc w:val="both"/>
        <w:rPr>
          <w:rFonts w:ascii="Times New Roman" w:hAnsi="Times New Roman" w:cs="Times New Roman"/>
          <w:b/>
          <w:sz w:val="24"/>
          <w:szCs w:val="24"/>
        </w:rPr>
      </w:pPr>
    </w:p>
    <w:p w:rsidR="00750E05" w:rsidRPr="00BC6047" w:rsidRDefault="007B4F6E"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i/>
          <w:sz w:val="24"/>
          <w:szCs w:val="24"/>
        </w:rPr>
        <w:t xml:space="preserve">Mr. </w:t>
      </w:r>
      <w:r w:rsidR="00750E05" w:rsidRPr="00BC6047">
        <w:rPr>
          <w:rFonts w:ascii="Times New Roman" w:hAnsi="Times New Roman" w:cs="Times New Roman"/>
          <w:i/>
          <w:sz w:val="24"/>
          <w:szCs w:val="24"/>
        </w:rPr>
        <w:t xml:space="preserve"> </w:t>
      </w:r>
      <w:r w:rsidRPr="00BC6047">
        <w:rPr>
          <w:rFonts w:ascii="Times New Roman" w:hAnsi="Times New Roman" w:cs="Times New Roman"/>
          <w:i/>
          <w:sz w:val="24"/>
          <w:szCs w:val="24"/>
        </w:rPr>
        <w:t>T.K. Hove</w:t>
      </w:r>
      <w:r w:rsidR="00750E05" w:rsidRPr="00BC6047">
        <w:rPr>
          <w:rFonts w:ascii="Times New Roman" w:hAnsi="Times New Roman" w:cs="Times New Roman"/>
          <w:i/>
          <w:sz w:val="24"/>
          <w:szCs w:val="24"/>
        </w:rPr>
        <w:t xml:space="preserve">, </w:t>
      </w:r>
      <w:r w:rsidR="00750E05" w:rsidRPr="00BC6047">
        <w:rPr>
          <w:rFonts w:ascii="Times New Roman" w:hAnsi="Times New Roman" w:cs="Times New Roman"/>
          <w:sz w:val="24"/>
          <w:szCs w:val="24"/>
        </w:rPr>
        <w:t>for the 1</w:t>
      </w:r>
      <w:r w:rsidR="00750E05" w:rsidRPr="00BC6047">
        <w:rPr>
          <w:rFonts w:ascii="Times New Roman" w:hAnsi="Times New Roman" w:cs="Times New Roman"/>
          <w:sz w:val="24"/>
          <w:szCs w:val="24"/>
          <w:vertAlign w:val="superscript"/>
        </w:rPr>
        <w:t>st</w:t>
      </w:r>
      <w:r w:rsidRPr="00BC6047">
        <w:rPr>
          <w:rFonts w:ascii="Times New Roman" w:hAnsi="Times New Roman" w:cs="Times New Roman"/>
          <w:sz w:val="24"/>
          <w:szCs w:val="24"/>
          <w:vertAlign w:val="superscript"/>
        </w:rPr>
        <w:t xml:space="preserve">, </w:t>
      </w:r>
      <w:r w:rsidR="00750E05" w:rsidRPr="00BC6047">
        <w:rPr>
          <w:rFonts w:ascii="Times New Roman" w:hAnsi="Times New Roman" w:cs="Times New Roman"/>
          <w:sz w:val="24"/>
          <w:szCs w:val="24"/>
        </w:rPr>
        <w:t>2</w:t>
      </w:r>
      <w:r w:rsidR="00750E05" w:rsidRPr="00BC6047">
        <w:rPr>
          <w:rFonts w:ascii="Times New Roman" w:hAnsi="Times New Roman" w:cs="Times New Roman"/>
          <w:sz w:val="24"/>
          <w:szCs w:val="24"/>
          <w:vertAlign w:val="superscript"/>
        </w:rPr>
        <w:t>nd</w:t>
      </w:r>
      <w:r w:rsidR="00534B91">
        <w:rPr>
          <w:rFonts w:ascii="Times New Roman" w:hAnsi="Times New Roman" w:cs="Times New Roman"/>
          <w:sz w:val="24"/>
          <w:szCs w:val="24"/>
          <w:vertAlign w:val="superscript"/>
        </w:rPr>
        <w:t xml:space="preserve"> </w:t>
      </w:r>
      <w:r w:rsidR="00534B91">
        <w:rPr>
          <w:rFonts w:ascii="Times New Roman" w:hAnsi="Times New Roman" w:cs="Times New Roman"/>
          <w:sz w:val="24"/>
          <w:szCs w:val="24"/>
        </w:rPr>
        <w:t>and 3</w:t>
      </w:r>
      <w:r w:rsidR="00534B91" w:rsidRPr="00534B91">
        <w:rPr>
          <w:rFonts w:ascii="Times New Roman" w:hAnsi="Times New Roman" w:cs="Times New Roman"/>
          <w:sz w:val="24"/>
          <w:szCs w:val="24"/>
          <w:vertAlign w:val="superscript"/>
        </w:rPr>
        <w:t>rd</w:t>
      </w:r>
      <w:r w:rsidR="00534B91">
        <w:rPr>
          <w:rFonts w:ascii="Times New Roman" w:hAnsi="Times New Roman" w:cs="Times New Roman"/>
          <w:sz w:val="24"/>
          <w:szCs w:val="24"/>
        </w:rPr>
        <w:t xml:space="preserve"> a</w:t>
      </w:r>
      <w:r w:rsidR="00BC6047" w:rsidRPr="00BC6047">
        <w:rPr>
          <w:rFonts w:ascii="Times New Roman" w:hAnsi="Times New Roman" w:cs="Times New Roman"/>
          <w:sz w:val="24"/>
          <w:szCs w:val="24"/>
        </w:rPr>
        <w:t>pplicants</w:t>
      </w:r>
    </w:p>
    <w:p w:rsidR="00A87D0D" w:rsidRPr="00BC6047" w:rsidRDefault="00750E05"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i/>
          <w:sz w:val="24"/>
          <w:szCs w:val="24"/>
        </w:rPr>
        <w:t xml:space="preserve">Mr. </w:t>
      </w:r>
      <w:r w:rsidR="007B4F6E" w:rsidRPr="00BC6047">
        <w:rPr>
          <w:rFonts w:ascii="Times New Roman" w:hAnsi="Times New Roman" w:cs="Times New Roman"/>
          <w:i/>
          <w:sz w:val="24"/>
          <w:szCs w:val="24"/>
        </w:rPr>
        <w:t>T.W. Nyamakura with Mr.  R.M. Dhaka</w:t>
      </w:r>
      <w:r w:rsidRPr="00BC6047">
        <w:rPr>
          <w:rFonts w:ascii="Times New Roman" w:hAnsi="Times New Roman" w:cs="Times New Roman"/>
          <w:sz w:val="24"/>
          <w:szCs w:val="24"/>
        </w:rPr>
        <w:t>, for the 1</w:t>
      </w:r>
      <w:r w:rsidRPr="00BC6047">
        <w:rPr>
          <w:rFonts w:ascii="Times New Roman" w:hAnsi="Times New Roman" w:cs="Times New Roman"/>
          <w:sz w:val="24"/>
          <w:szCs w:val="24"/>
          <w:vertAlign w:val="superscript"/>
        </w:rPr>
        <w:t>st</w:t>
      </w:r>
      <w:r w:rsidRPr="00BC6047">
        <w:rPr>
          <w:rFonts w:ascii="Times New Roman" w:hAnsi="Times New Roman" w:cs="Times New Roman"/>
          <w:sz w:val="24"/>
          <w:szCs w:val="24"/>
        </w:rPr>
        <w:t xml:space="preserve"> </w:t>
      </w:r>
      <w:r w:rsidR="007B4F6E" w:rsidRPr="00BC6047">
        <w:rPr>
          <w:rFonts w:ascii="Times New Roman" w:hAnsi="Times New Roman" w:cs="Times New Roman"/>
          <w:sz w:val="24"/>
          <w:szCs w:val="24"/>
        </w:rPr>
        <w:t>respondent</w:t>
      </w:r>
      <w:r w:rsidRPr="00BC6047">
        <w:rPr>
          <w:rFonts w:ascii="Times New Roman" w:hAnsi="Times New Roman" w:cs="Times New Roman"/>
          <w:sz w:val="24"/>
          <w:szCs w:val="24"/>
        </w:rPr>
        <w:t>.</w:t>
      </w:r>
    </w:p>
    <w:p w:rsidR="00750E05" w:rsidRPr="00BC6047" w:rsidRDefault="00A87D0D" w:rsidP="00534B91">
      <w:pPr>
        <w:spacing w:after="0" w:line="240" w:lineRule="auto"/>
        <w:jc w:val="both"/>
        <w:rPr>
          <w:rFonts w:ascii="Times New Roman" w:hAnsi="Times New Roman" w:cs="Times New Roman"/>
          <w:sz w:val="24"/>
          <w:szCs w:val="24"/>
        </w:rPr>
      </w:pPr>
      <w:r w:rsidRPr="00BC6047">
        <w:rPr>
          <w:rFonts w:ascii="Times New Roman" w:hAnsi="Times New Roman" w:cs="Times New Roman"/>
          <w:sz w:val="24"/>
          <w:szCs w:val="24"/>
        </w:rPr>
        <w:t>No appearance for the 2</w:t>
      </w:r>
      <w:r w:rsidRPr="00BC6047">
        <w:rPr>
          <w:rFonts w:ascii="Times New Roman" w:hAnsi="Times New Roman" w:cs="Times New Roman"/>
          <w:sz w:val="24"/>
          <w:szCs w:val="24"/>
          <w:vertAlign w:val="superscript"/>
        </w:rPr>
        <w:t>nd</w:t>
      </w:r>
      <w:r w:rsidRPr="00BC6047">
        <w:rPr>
          <w:rFonts w:ascii="Times New Roman" w:hAnsi="Times New Roman" w:cs="Times New Roman"/>
          <w:sz w:val="24"/>
          <w:szCs w:val="24"/>
        </w:rPr>
        <w:t xml:space="preserve"> and 3</w:t>
      </w:r>
      <w:r w:rsidRPr="00BC6047">
        <w:rPr>
          <w:rFonts w:ascii="Times New Roman" w:hAnsi="Times New Roman" w:cs="Times New Roman"/>
          <w:sz w:val="24"/>
          <w:szCs w:val="24"/>
          <w:vertAlign w:val="superscript"/>
        </w:rPr>
        <w:t>rd</w:t>
      </w:r>
      <w:r w:rsidRPr="00BC6047">
        <w:rPr>
          <w:rFonts w:ascii="Times New Roman" w:hAnsi="Times New Roman" w:cs="Times New Roman"/>
          <w:sz w:val="24"/>
          <w:szCs w:val="24"/>
        </w:rPr>
        <w:t xml:space="preserve"> Respondents.</w:t>
      </w:r>
      <w:r w:rsidR="00750E05" w:rsidRPr="00BC6047">
        <w:rPr>
          <w:rFonts w:ascii="Times New Roman" w:hAnsi="Times New Roman" w:cs="Times New Roman"/>
          <w:sz w:val="24"/>
          <w:szCs w:val="24"/>
        </w:rPr>
        <w:t xml:space="preserve"> </w:t>
      </w:r>
    </w:p>
    <w:p w:rsidR="00750E05" w:rsidRPr="00BC6047" w:rsidRDefault="00750E05" w:rsidP="00BC6047">
      <w:pPr>
        <w:spacing w:line="360" w:lineRule="auto"/>
        <w:jc w:val="both"/>
        <w:rPr>
          <w:rFonts w:ascii="Times New Roman" w:hAnsi="Times New Roman" w:cs="Times New Roman"/>
          <w:sz w:val="24"/>
          <w:szCs w:val="24"/>
        </w:rPr>
      </w:pPr>
    </w:p>
    <w:p w:rsidR="00733419" w:rsidRPr="00BC6047" w:rsidRDefault="00750E05" w:rsidP="00534B91">
      <w:pPr>
        <w:spacing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DEME J:</w:t>
      </w:r>
      <w:r w:rsidR="00733419" w:rsidRPr="00BC6047">
        <w:rPr>
          <w:rFonts w:ascii="Times New Roman" w:hAnsi="Times New Roman" w:cs="Times New Roman"/>
          <w:sz w:val="24"/>
          <w:szCs w:val="24"/>
        </w:rPr>
        <w:t xml:space="preserve"> The </w:t>
      </w:r>
      <w:r w:rsidR="00534B91">
        <w:rPr>
          <w:rFonts w:ascii="Times New Roman" w:hAnsi="Times New Roman" w:cs="Times New Roman"/>
          <w:sz w:val="24"/>
          <w:szCs w:val="24"/>
        </w:rPr>
        <w:t>first</w:t>
      </w:r>
      <w:r w:rsidR="00733419" w:rsidRPr="00BC6047">
        <w:rPr>
          <w:rFonts w:ascii="Times New Roman" w:hAnsi="Times New Roman" w:cs="Times New Roman"/>
          <w:sz w:val="24"/>
          <w:szCs w:val="24"/>
        </w:rPr>
        <w:t xml:space="preserve">, </w:t>
      </w:r>
      <w:r w:rsidR="00534B91">
        <w:rPr>
          <w:rFonts w:ascii="Times New Roman" w:hAnsi="Times New Roman" w:cs="Times New Roman"/>
          <w:sz w:val="24"/>
          <w:szCs w:val="24"/>
        </w:rPr>
        <w:t>second</w:t>
      </w:r>
      <w:r w:rsidR="00733419" w:rsidRPr="00BC6047">
        <w:rPr>
          <w:rFonts w:ascii="Times New Roman" w:hAnsi="Times New Roman" w:cs="Times New Roman"/>
          <w:sz w:val="24"/>
          <w:szCs w:val="24"/>
        </w:rPr>
        <w:t xml:space="preserve"> and </w:t>
      </w:r>
      <w:r w:rsidR="00534B91">
        <w:rPr>
          <w:rFonts w:ascii="Times New Roman" w:hAnsi="Times New Roman" w:cs="Times New Roman"/>
          <w:sz w:val="24"/>
          <w:szCs w:val="24"/>
        </w:rPr>
        <w:t>third a</w:t>
      </w:r>
      <w:r w:rsidR="00733419" w:rsidRPr="00BC6047">
        <w:rPr>
          <w:rFonts w:ascii="Times New Roman" w:hAnsi="Times New Roman" w:cs="Times New Roman"/>
          <w:sz w:val="24"/>
          <w:szCs w:val="24"/>
        </w:rPr>
        <w:t>pplicants approached this court on an urgent basis</w:t>
      </w:r>
      <w:r w:rsidR="003B031F" w:rsidRPr="00BC6047">
        <w:rPr>
          <w:rFonts w:ascii="Times New Roman" w:hAnsi="Times New Roman" w:cs="Times New Roman"/>
          <w:sz w:val="24"/>
          <w:szCs w:val="24"/>
        </w:rPr>
        <w:t xml:space="preserve"> seeking an order for the stay of execution of judgment</w:t>
      </w:r>
      <w:r w:rsidR="00733419" w:rsidRPr="00BC6047">
        <w:rPr>
          <w:rFonts w:ascii="Times New Roman" w:hAnsi="Times New Roman" w:cs="Times New Roman"/>
          <w:sz w:val="24"/>
          <w:szCs w:val="24"/>
        </w:rPr>
        <w:t xml:space="preserve">. </w:t>
      </w:r>
      <w:r w:rsidR="003B031F" w:rsidRPr="00BC6047">
        <w:rPr>
          <w:rFonts w:ascii="Times New Roman" w:hAnsi="Times New Roman" w:cs="Times New Roman"/>
          <w:sz w:val="24"/>
          <w:szCs w:val="24"/>
        </w:rPr>
        <w:t>More particularly</w:t>
      </w:r>
      <w:r w:rsidR="00BB6D22" w:rsidRPr="00BC6047">
        <w:rPr>
          <w:rFonts w:ascii="Times New Roman" w:hAnsi="Times New Roman" w:cs="Times New Roman"/>
          <w:sz w:val="24"/>
          <w:szCs w:val="24"/>
        </w:rPr>
        <w:t xml:space="preserve">, </w:t>
      </w:r>
      <w:r w:rsidR="00BC6047" w:rsidRPr="00BC6047">
        <w:rPr>
          <w:rFonts w:ascii="Times New Roman" w:hAnsi="Times New Roman" w:cs="Times New Roman"/>
          <w:sz w:val="24"/>
          <w:szCs w:val="24"/>
        </w:rPr>
        <w:t>the applicants’</w:t>
      </w:r>
      <w:r w:rsidR="00BB6D22" w:rsidRPr="00BC6047">
        <w:rPr>
          <w:rFonts w:ascii="Times New Roman" w:hAnsi="Times New Roman" w:cs="Times New Roman"/>
          <w:sz w:val="24"/>
          <w:szCs w:val="24"/>
        </w:rPr>
        <w:t xml:space="preserve"> provisional order</w:t>
      </w:r>
      <w:r w:rsidR="003E4C17" w:rsidRPr="00BC6047">
        <w:rPr>
          <w:rFonts w:ascii="Times New Roman" w:hAnsi="Times New Roman" w:cs="Times New Roman"/>
          <w:sz w:val="24"/>
          <w:szCs w:val="24"/>
        </w:rPr>
        <w:t xml:space="preserve"> is as follows</w:t>
      </w:r>
      <w:r w:rsidR="00BB6D22" w:rsidRPr="00BC6047">
        <w:rPr>
          <w:rFonts w:ascii="Times New Roman" w:hAnsi="Times New Roman" w:cs="Times New Roman"/>
          <w:sz w:val="24"/>
          <w:szCs w:val="24"/>
        </w:rPr>
        <w:t>:</w:t>
      </w:r>
      <w:r w:rsidR="00733419" w:rsidRPr="00BC6047">
        <w:rPr>
          <w:rFonts w:ascii="Times New Roman" w:hAnsi="Times New Roman" w:cs="Times New Roman"/>
          <w:sz w:val="24"/>
          <w:szCs w:val="24"/>
        </w:rPr>
        <w:t xml:space="preserve"> </w:t>
      </w:r>
    </w:p>
    <w:p w:rsidR="00733419" w:rsidRPr="00534B91" w:rsidRDefault="0053374E" w:rsidP="00534B91">
      <w:pPr>
        <w:spacing w:line="240" w:lineRule="auto"/>
        <w:ind w:firstLine="720"/>
        <w:jc w:val="both"/>
        <w:rPr>
          <w:rFonts w:ascii="Times New Roman" w:hAnsi="Times New Roman" w:cs="Times New Roman"/>
        </w:rPr>
      </w:pPr>
      <w:r w:rsidRPr="00534B91">
        <w:rPr>
          <w:rFonts w:ascii="Times New Roman" w:hAnsi="Times New Roman" w:cs="Times New Roman"/>
        </w:rPr>
        <w:t>“TERMS OF FINAL ORDER</w:t>
      </w:r>
    </w:p>
    <w:p w:rsidR="0053374E" w:rsidRPr="00534B91" w:rsidRDefault="0036359A" w:rsidP="00534B91">
      <w:pPr>
        <w:spacing w:line="240" w:lineRule="auto"/>
        <w:ind w:left="720"/>
        <w:jc w:val="both"/>
        <w:rPr>
          <w:rFonts w:ascii="Times New Roman" w:hAnsi="Times New Roman" w:cs="Times New Roman"/>
        </w:rPr>
      </w:pPr>
      <w:r w:rsidRPr="00534B91">
        <w:rPr>
          <w:rFonts w:ascii="Times New Roman" w:hAnsi="Times New Roman" w:cs="Times New Roman"/>
        </w:rPr>
        <w:t>That you show cause to this Honourable Court why a Final Order should not be made as set out in the Interim Relief granted hereunder;</w:t>
      </w:r>
    </w:p>
    <w:p w:rsidR="00296A22" w:rsidRPr="00534B91" w:rsidRDefault="00296A22" w:rsidP="00BC6047">
      <w:pPr>
        <w:pStyle w:val="ListParagraph"/>
        <w:numPr>
          <w:ilvl w:val="0"/>
          <w:numId w:val="1"/>
        </w:numPr>
        <w:spacing w:line="240" w:lineRule="auto"/>
        <w:jc w:val="both"/>
        <w:rPr>
          <w:rFonts w:ascii="Times New Roman" w:hAnsi="Times New Roman" w:cs="Times New Roman"/>
        </w:rPr>
      </w:pPr>
      <w:r w:rsidRPr="00534B91">
        <w:rPr>
          <w:rFonts w:ascii="Times New Roman" w:hAnsi="Times New Roman" w:cs="Times New Roman"/>
        </w:rPr>
        <w:t>That the Respondents be and are hereby ordered and directed to stay the execution of Applicants’ movable and immovable properties, pending the outcome of the  Application for Rescission of Judgment instituted by Applicants against 1</w:t>
      </w:r>
      <w:r w:rsidRPr="00534B91">
        <w:rPr>
          <w:rFonts w:ascii="Times New Roman" w:hAnsi="Times New Roman" w:cs="Times New Roman"/>
          <w:vertAlign w:val="superscript"/>
        </w:rPr>
        <w:t>st</w:t>
      </w:r>
      <w:r w:rsidRPr="00534B91">
        <w:rPr>
          <w:rFonts w:ascii="Times New Roman" w:hAnsi="Times New Roman" w:cs="Times New Roman"/>
        </w:rPr>
        <w:t xml:space="preserve"> Respondent.</w:t>
      </w:r>
    </w:p>
    <w:p w:rsidR="00C20BB9" w:rsidRPr="00534B91" w:rsidRDefault="00C20BB9" w:rsidP="00BC6047">
      <w:pPr>
        <w:pStyle w:val="ListParagraph"/>
        <w:numPr>
          <w:ilvl w:val="0"/>
          <w:numId w:val="1"/>
        </w:numPr>
        <w:spacing w:line="240" w:lineRule="auto"/>
        <w:jc w:val="both"/>
        <w:rPr>
          <w:rFonts w:ascii="Times New Roman" w:hAnsi="Times New Roman" w:cs="Times New Roman"/>
        </w:rPr>
      </w:pPr>
      <w:r w:rsidRPr="00534B91">
        <w:rPr>
          <w:rFonts w:ascii="Times New Roman" w:hAnsi="Times New Roman" w:cs="Times New Roman"/>
        </w:rPr>
        <w:t>The 2</w:t>
      </w:r>
      <w:r w:rsidRPr="00534B91">
        <w:rPr>
          <w:rFonts w:ascii="Times New Roman" w:hAnsi="Times New Roman" w:cs="Times New Roman"/>
          <w:vertAlign w:val="superscript"/>
        </w:rPr>
        <w:t>nd</w:t>
      </w:r>
      <w:r w:rsidRPr="00534B91">
        <w:rPr>
          <w:rFonts w:ascii="Times New Roman" w:hAnsi="Times New Roman" w:cs="Times New Roman"/>
        </w:rPr>
        <w:t xml:space="preserve"> Respondent be and is hereby empowered to appoint a firm of charted Accountants  to calculate the interest </w:t>
      </w:r>
      <w:r w:rsidR="007F5616" w:rsidRPr="00534B91">
        <w:rPr>
          <w:rFonts w:ascii="Times New Roman" w:hAnsi="Times New Roman" w:cs="Times New Roman"/>
        </w:rPr>
        <w:t xml:space="preserve"> due to 1</w:t>
      </w:r>
      <w:r w:rsidR="007F5616" w:rsidRPr="00534B91">
        <w:rPr>
          <w:rFonts w:ascii="Times New Roman" w:hAnsi="Times New Roman" w:cs="Times New Roman"/>
          <w:vertAlign w:val="superscript"/>
        </w:rPr>
        <w:t>st</w:t>
      </w:r>
      <w:r w:rsidR="007F5616" w:rsidRPr="00534B91">
        <w:rPr>
          <w:rFonts w:ascii="Times New Roman" w:hAnsi="Times New Roman" w:cs="Times New Roman"/>
        </w:rPr>
        <w:t xml:space="preserve"> Respondent using the prescribed rate of interest as provided for in the Money Lending and Rates of Interest Act [</w:t>
      </w:r>
      <w:r w:rsidR="007F5616" w:rsidRPr="00534B91">
        <w:rPr>
          <w:rFonts w:ascii="Times New Roman" w:hAnsi="Times New Roman" w:cs="Times New Roman"/>
          <w:i/>
        </w:rPr>
        <w:t>Cap</w:t>
      </w:r>
      <w:r w:rsidR="007F5616" w:rsidRPr="00534B91">
        <w:rPr>
          <w:rFonts w:ascii="Times New Roman" w:hAnsi="Times New Roman" w:cs="Times New Roman"/>
        </w:rPr>
        <w:t xml:space="preserve"> 14:14]</w:t>
      </w:r>
    </w:p>
    <w:p w:rsidR="00EF1895" w:rsidRPr="00534B91" w:rsidRDefault="00EF1895" w:rsidP="00BC6047">
      <w:pPr>
        <w:pStyle w:val="ListParagraph"/>
        <w:numPr>
          <w:ilvl w:val="0"/>
          <w:numId w:val="1"/>
        </w:numPr>
        <w:spacing w:line="240" w:lineRule="auto"/>
        <w:jc w:val="both"/>
        <w:rPr>
          <w:rFonts w:ascii="Times New Roman" w:hAnsi="Times New Roman" w:cs="Times New Roman"/>
        </w:rPr>
      </w:pPr>
      <w:r w:rsidRPr="00534B91">
        <w:rPr>
          <w:rFonts w:ascii="Times New Roman" w:hAnsi="Times New Roman" w:cs="Times New Roman"/>
        </w:rPr>
        <w:t>That 1</w:t>
      </w:r>
      <w:r w:rsidRPr="00534B91">
        <w:rPr>
          <w:rFonts w:ascii="Times New Roman" w:hAnsi="Times New Roman" w:cs="Times New Roman"/>
          <w:vertAlign w:val="superscript"/>
        </w:rPr>
        <w:t>st</w:t>
      </w:r>
      <w:r w:rsidRPr="00534B91">
        <w:rPr>
          <w:rFonts w:ascii="Times New Roman" w:hAnsi="Times New Roman" w:cs="Times New Roman"/>
        </w:rPr>
        <w:t xml:space="preserve"> Respondent pays the costs of suit on an attorney / client scale.</w:t>
      </w:r>
    </w:p>
    <w:p w:rsidR="00BB6D22" w:rsidRPr="00534B91" w:rsidRDefault="00BB6D22" w:rsidP="00BC6047">
      <w:pPr>
        <w:spacing w:line="240" w:lineRule="auto"/>
        <w:jc w:val="both"/>
        <w:rPr>
          <w:rFonts w:ascii="Times New Roman" w:hAnsi="Times New Roman" w:cs="Times New Roman"/>
        </w:rPr>
      </w:pPr>
    </w:p>
    <w:p w:rsidR="00E9765B" w:rsidRPr="00534B91" w:rsidRDefault="00EF1895" w:rsidP="00BC6047">
      <w:pPr>
        <w:spacing w:line="240" w:lineRule="auto"/>
        <w:jc w:val="both"/>
        <w:rPr>
          <w:rFonts w:ascii="Times New Roman" w:hAnsi="Times New Roman" w:cs="Times New Roman"/>
        </w:rPr>
      </w:pPr>
      <w:r w:rsidRPr="00534B91">
        <w:rPr>
          <w:rFonts w:ascii="Times New Roman" w:hAnsi="Times New Roman" w:cs="Times New Roman"/>
        </w:rPr>
        <w:t>INTERIM RELIEF GRANTED</w:t>
      </w:r>
    </w:p>
    <w:p w:rsidR="00E9765B" w:rsidRPr="00534B91" w:rsidRDefault="00E9765B" w:rsidP="00BC6047">
      <w:pPr>
        <w:spacing w:line="240" w:lineRule="auto"/>
        <w:jc w:val="both"/>
        <w:rPr>
          <w:rFonts w:ascii="Times New Roman" w:hAnsi="Times New Roman" w:cs="Times New Roman"/>
        </w:rPr>
      </w:pPr>
    </w:p>
    <w:p w:rsidR="00EB75CE" w:rsidRPr="00534B91" w:rsidRDefault="00EB75CE" w:rsidP="00BC6047">
      <w:pPr>
        <w:pStyle w:val="ListParagraph"/>
        <w:numPr>
          <w:ilvl w:val="0"/>
          <w:numId w:val="2"/>
        </w:numPr>
        <w:spacing w:line="240" w:lineRule="auto"/>
        <w:jc w:val="both"/>
        <w:rPr>
          <w:rFonts w:ascii="Times New Roman" w:hAnsi="Times New Roman" w:cs="Times New Roman"/>
        </w:rPr>
      </w:pPr>
      <w:r w:rsidRPr="00534B91">
        <w:rPr>
          <w:rFonts w:ascii="Times New Roman" w:hAnsi="Times New Roman" w:cs="Times New Roman"/>
        </w:rPr>
        <w:lastRenderedPageBreak/>
        <w:t>That the Respondents be and are hereby ordered and directed to stay the execution of Applicants’ movable and immovable properties, pending the outcome of Application for Rescission of Judgment instituted by  Applicants against 1</w:t>
      </w:r>
      <w:r w:rsidRPr="00534B91">
        <w:rPr>
          <w:rFonts w:ascii="Times New Roman" w:hAnsi="Times New Roman" w:cs="Times New Roman"/>
          <w:vertAlign w:val="superscript"/>
        </w:rPr>
        <w:t>st</w:t>
      </w:r>
      <w:r w:rsidRPr="00534B91">
        <w:rPr>
          <w:rFonts w:ascii="Times New Roman" w:hAnsi="Times New Roman" w:cs="Times New Roman"/>
        </w:rPr>
        <w:t xml:space="preserve"> Respondent.</w:t>
      </w:r>
    </w:p>
    <w:p w:rsidR="006164CB" w:rsidRPr="00534B91" w:rsidRDefault="006164CB" w:rsidP="00534B91">
      <w:pPr>
        <w:spacing w:line="240" w:lineRule="auto"/>
        <w:ind w:firstLine="720"/>
        <w:jc w:val="both"/>
        <w:rPr>
          <w:rFonts w:ascii="Times New Roman" w:hAnsi="Times New Roman" w:cs="Times New Roman"/>
        </w:rPr>
      </w:pPr>
      <w:r w:rsidRPr="00534B91">
        <w:rPr>
          <w:rFonts w:ascii="Times New Roman" w:hAnsi="Times New Roman" w:cs="Times New Roman"/>
        </w:rPr>
        <w:t>SERVICE OF PROVISIONAL ORDER</w:t>
      </w:r>
    </w:p>
    <w:p w:rsidR="00473FE1" w:rsidRPr="00534B91" w:rsidRDefault="00305F03" w:rsidP="00534B91">
      <w:pPr>
        <w:spacing w:line="240" w:lineRule="auto"/>
        <w:ind w:left="720"/>
        <w:jc w:val="both"/>
        <w:rPr>
          <w:rFonts w:ascii="Times New Roman" w:hAnsi="Times New Roman" w:cs="Times New Roman"/>
        </w:rPr>
      </w:pPr>
      <w:r w:rsidRPr="00534B91">
        <w:rPr>
          <w:rFonts w:ascii="Times New Roman" w:hAnsi="Times New Roman" w:cs="Times New Roman"/>
        </w:rPr>
        <w:t xml:space="preserve">This Provisional Order shall be served by the Sheriff of the High Court of Zimbabwe or the </w:t>
      </w:r>
      <w:r w:rsidR="00BC6047" w:rsidRPr="00534B91">
        <w:rPr>
          <w:rFonts w:ascii="Times New Roman" w:hAnsi="Times New Roman" w:cs="Times New Roman"/>
        </w:rPr>
        <w:t>Applicant’s Legal</w:t>
      </w:r>
      <w:r w:rsidRPr="00534B91">
        <w:rPr>
          <w:rFonts w:ascii="Times New Roman" w:hAnsi="Times New Roman" w:cs="Times New Roman"/>
        </w:rPr>
        <w:t xml:space="preserve"> Practitioners or their authorised agents.</w:t>
      </w:r>
      <w:r w:rsidR="00473FE1" w:rsidRPr="00534B91">
        <w:rPr>
          <w:rFonts w:ascii="Times New Roman" w:hAnsi="Times New Roman" w:cs="Times New Roman"/>
        </w:rPr>
        <w:t>”</w:t>
      </w:r>
    </w:p>
    <w:p w:rsidR="00473FE1" w:rsidRPr="00BC6047" w:rsidRDefault="00473FE1" w:rsidP="00BC6047">
      <w:pPr>
        <w:spacing w:line="240" w:lineRule="auto"/>
        <w:jc w:val="both"/>
        <w:rPr>
          <w:rFonts w:ascii="Times New Roman" w:hAnsi="Times New Roman" w:cs="Times New Roman"/>
        </w:rPr>
      </w:pPr>
    </w:p>
    <w:p w:rsidR="00EB136D" w:rsidRPr="00534B91" w:rsidRDefault="00832C54" w:rsidP="00534B91">
      <w:pPr>
        <w:spacing w:after="0" w:line="360" w:lineRule="auto"/>
        <w:ind w:firstLine="720"/>
        <w:jc w:val="both"/>
        <w:rPr>
          <w:rFonts w:ascii="Times New Roman" w:hAnsi="Times New Roman" w:cs="Times New Roman"/>
          <w:sz w:val="24"/>
          <w:szCs w:val="24"/>
        </w:rPr>
      </w:pPr>
      <w:r w:rsidRPr="00534B91">
        <w:rPr>
          <w:rFonts w:ascii="Times New Roman" w:hAnsi="Times New Roman" w:cs="Times New Roman"/>
          <w:sz w:val="24"/>
          <w:szCs w:val="24"/>
        </w:rPr>
        <w:t>According to the Applicants,</w:t>
      </w:r>
      <w:r w:rsidR="00383285" w:rsidRPr="00534B91">
        <w:rPr>
          <w:rFonts w:ascii="Times New Roman" w:hAnsi="Times New Roman" w:cs="Times New Roman"/>
          <w:sz w:val="24"/>
          <w:szCs w:val="24"/>
        </w:rPr>
        <w:t xml:space="preserve"> </w:t>
      </w:r>
      <w:r w:rsidR="00534B91">
        <w:rPr>
          <w:rFonts w:ascii="Times New Roman" w:hAnsi="Times New Roman" w:cs="Times New Roman"/>
          <w:sz w:val="24"/>
          <w:szCs w:val="24"/>
        </w:rPr>
        <w:t>the first</w:t>
      </w:r>
      <w:r w:rsidR="00A84C16" w:rsidRPr="00534B91">
        <w:rPr>
          <w:rFonts w:ascii="Times New Roman" w:hAnsi="Times New Roman" w:cs="Times New Roman"/>
          <w:sz w:val="24"/>
          <w:szCs w:val="24"/>
        </w:rPr>
        <w:t xml:space="preserve"> Respondent </w:t>
      </w:r>
      <w:r w:rsidR="003C762F" w:rsidRPr="00534B91">
        <w:rPr>
          <w:rFonts w:ascii="Times New Roman" w:hAnsi="Times New Roman" w:cs="Times New Roman"/>
          <w:sz w:val="24"/>
          <w:szCs w:val="24"/>
        </w:rPr>
        <w:t>obtained default judgment against the Applicants after instituting an action by way of summons for provisional sentence.</w:t>
      </w:r>
      <w:r w:rsidR="00D818C0" w:rsidRPr="00534B91">
        <w:rPr>
          <w:rFonts w:ascii="Times New Roman" w:hAnsi="Times New Roman" w:cs="Times New Roman"/>
          <w:sz w:val="24"/>
          <w:szCs w:val="24"/>
        </w:rPr>
        <w:t xml:space="preserve"> </w:t>
      </w:r>
      <w:r w:rsidR="00BC6047" w:rsidRPr="00534B91">
        <w:rPr>
          <w:rFonts w:ascii="Times New Roman" w:hAnsi="Times New Roman" w:cs="Times New Roman"/>
          <w:sz w:val="24"/>
          <w:szCs w:val="24"/>
        </w:rPr>
        <w:t>This matter</w:t>
      </w:r>
      <w:r w:rsidR="00D818C0" w:rsidRPr="00534B91">
        <w:rPr>
          <w:rFonts w:ascii="Times New Roman" w:hAnsi="Times New Roman" w:cs="Times New Roman"/>
          <w:sz w:val="24"/>
          <w:szCs w:val="24"/>
        </w:rPr>
        <w:t xml:space="preserve"> was instituted under case number HC 6333-21. </w:t>
      </w:r>
      <w:r w:rsidR="00C54BA4" w:rsidRPr="00534B91">
        <w:rPr>
          <w:rFonts w:ascii="Times New Roman" w:hAnsi="Times New Roman" w:cs="Times New Roman"/>
          <w:sz w:val="24"/>
          <w:szCs w:val="24"/>
        </w:rPr>
        <w:t xml:space="preserve"> After discovering there was default judgment</w:t>
      </w:r>
      <w:r w:rsidR="00B17041" w:rsidRPr="00534B91">
        <w:rPr>
          <w:rFonts w:ascii="Times New Roman" w:hAnsi="Times New Roman" w:cs="Times New Roman"/>
          <w:sz w:val="24"/>
          <w:szCs w:val="24"/>
        </w:rPr>
        <w:t xml:space="preserve"> against them</w:t>
      </w:r>
      <w:r w:rsidR="00C54BA4" w:rsidRPr="00534B91">
        <w:rPr>
          <w:rFonts w:ascii="Times New Roman" w:hAnsi="Times New Roman" w:cs="Times New Roman"/>
          <w:sz w:val="24"/>
          <w:szCs w:val="24"/>
        </w:rPr>
        <w:t>, the</w:t>
      </w:r>
      <w:r w:rsidR="00D818C0" w:rsidRPr="00534B91">
        <w:rPr>
          <w:rFonts w:ascii="Times New Roman" w:hAnsi="Times New Roman" w:cs="Times New Roman"/>
          <w:sz w:val="24"/>
          <w:szCs w:val="24"/>
        </w:rPr>
        <w:t xml:space="preserve"> Applicants proceeded to file application for rescission of default</w:t>
      </w:r>
      <w:r w:rsidR="00316015" w:rsidRPr="00534B91">
        <w:rPr>
          <w:rFonts w:ascii="Times New Roman" w:hAnsi="Times New Roman" w:cs="Times New Roman"/>
          <w:sz w:val="24"/>
          <w:szCs w:val="24"/>
        </w:rPr>
        <w:t xml:space="preserve"> judgment under case number HC 7268-21</w:t>
      </w:r>
      <w:r w:rsidR="00713579" w:rsidRPr="00534B91">
        <w:rPr>
          <w:rFonts w:ascii="Times New Roman" w:hAnsi="Times New Roman" w:cs="Times New Roman"/>
          <w:sz w:val="24"/>
          <w:szCs w:val="24"/>
        </w:rPr>
        <w:t xml:space="preserve"> and the application is still pending</w:t>
      </w:r>
      <w:r w:rsidR="00316015" w:rsidRPr="00534B91">
        <w:rPr>
          <w:rFonts w:ascii="Times New Roman" w:hAnsi="Times New Roman" w:cs="Times New Roman"/>
          <w:sz w:val="24"/>
          <w:szCs w:val="24"/>
        </w:rPr>
        <w:t>.</w:t>
      </w:r>
    </w:p>
    <w:p w:rsidR="009E6F03" w:rsidRPr="00534B91" w:rsidRDefault="009B55E4" w:rsidP="00534B91">
      <w:pPr>
        <w:spacing w:after="0" w:line="360" w:lineRule="auto"/>
        <w:jc w:val="both"/>
        <w:rPr>
          <w:rFonts w:ascii="Times New Roman" w:hAnsi="Times New Roman" w:cs="Times New Roman"/>
          <w:sz w:val="24"/>
          <w:szCs w:val="24"/>
        </w:rPr>
      </w:pPr>
      <w:r w:rsidRPr="00534B91">
        <w:rPr>
          <w:rFonts w:ascii="Times New Roman" w:hAnsi="Times New Roman" w:cs="Times New Roman"/>
          <w:sz w:val="24"/>
          <w:szCs w:val="24"/>
        </w:rPr>
        <w:t xml:space="preserve"> </w:t>
      </w:r>
      <w:r w:rsidR="00534B91">
        <w:rPr>
          <w:rFonts w:ascii="Times New Roman" w:hAnsi="Times New Roman" w:cs="Times New Roman"/>
          <w:sz w:val="24"/>
          <w:szCs w:val="24"/>
        </w:rPr>
        <w:tab/>
      </w:r>
      <w:r w:rsidRPr="00534B91">
        <w:rPr>
          <w:rFonts w:ascii="Times New Roman" w:hAnsi="Times New Roman" w:cs="Times New Roman"/>
          <w:sz w:val="24"/>
          <w:szCs w:val="24"/>
        </w:rPr>
        <w:t xml:space="preserve">According to the Applicants, on 19 November 2020, </w:t>
      </w:r>
      <w:r w:rsidR="00BC6047" w:rsidRPr="00534B91">
        <w:rPr>
          <w:rFonts w:ascii="Times New Roman" w:hAnsi="Times New Roman" w:cs="Times New Roman"/>
          <w:sz w:val="24"/>
          <w:szCs w:val="24"/>
        </w:rPr>
        <w:t xml:space="preserve">the </w:t>
      </w:r>
      <w:r w:rsidR="00534B91">
        <w:rPr>
          <w:rFonts w:ascii="Times New Roman" w:hAnsi="Times New Roman" w:cs="Times New Roman"/>
          <w:sz w:val="24"/>
          <w:szCs w:val="24"/>
        </w:rPr>
        <w:t>first</w:t>
      </w:r>
      <w:r w:rsidR="00474B75" w:rsidRPr="00534B91">
        <w:rPr>
          <w:rFonts w:ascii="Times New Roman" w:hAnsi="Times New Roman" w:cs="Times New Roman"/>
          <w:sz w:val="24"/>
          <w:szCs w:val="24"/>
        </w:rPr>
        <w:t xml:space="preserve"> Respondent and the Applicants entered into the loan agreement in terms of which the </w:t>
      </w:r>
      <w:r w:rsidR="00534B91">
        <w:rPr>
          <w:rFonts w:ascii="Times New Roman" w:hAnsi="Times New Roman" w:cs="Times New Roman"/>
          <w:sz w:val="24"/>
          <w:szCs w:val="24"/>
        </w:rPr>
        <w:t>first</w:t>
      </w:r>
      <w:r w:rsidR="00474B75" w:rsidRPr="00534B91">
        <w:rPr>
          <w:rFonts w:ascii="Times New Roman" w:hAnsi="Times New Roman" w:cs="Times New Roman"/>
          <w:sz w:val="24"/>
          <w:szCs w:val="24"/>
        </w:rPr>
        <w:t xml:space="preserve"> Respondent advanced the sum of money to the Applicants. The sum of money is in dispute.</w:t>
      </w:r>
      <w:r w:rsidR="00D867AA" w:rsidRPr="00534B91">
        <w:rPr>
          <w:rFonts w:ascii="Times New Roman" w:hAnsi="Times New Roman" w:cs="Times New Roman"/>
          <w:sz w:val="24"/>
          <w:szCs w:val="24"/>
        </w:rPr>
        <w:t xml:space="preserve"> </w:t>
      </w:r>
      <w:r w:rsidR="0023798F" w:rsidRPr="00534B91">
        <w:rPr>
          <w:rFonts w:ascii="Times New Roman" w:hAnsi="Times New Roman" w:cs="Times New Roman"/>
          <w:sz w:val="24"/>
          <w:szCs w:val="24"/>
        </w:rPr>
        <w:t xml:space="preserve">The Applicants </w:t>
      </w:r>
      <w:r w:rsidR="00BB6D22" w:rsidRPr="00534B91">
        <w:rPr>
          <w:rFonts w:ascii="Times New Roman" w:hAnsi="Times New Roman" w:cs="Times New Roman"/>
          <w:sz w:val="24"/>
          <w:szCs w:val="24"/>
        </w:rPr>
        <w:t xml:space="preserve">alleged </w:t>
      </w:r>
      <w:r w:rsidR="0023798F" w:rsidRPr="00534B91">
        <w:rPr>
          <w:rFonts w:ascii="Times New Roman" w:hAnsi="Times New Roman" w:cs="Times New Roman"/>
          <w:sz w:val="24"/>
          <w:szCs w:val="24"/>
        </w:rPr>
        <w:t xml:space="preserve">that they applied </w:t>
      </w:r>
      <w:r w:rsidR="00BB6D22" w:rsidRPr="00534B91">
        <w:rPr>
          <w:rFonts w:ascii="Times New Roman" w:hAnsi="Times New Roman" w:cs="Times New Roman"/>
          <w:sz w:val="24"/>
          <w:szCs w:val="24"/>
        </w:rPr>
        <w:t xml:space="preserve">for </w:t>
      </w:r>
      <w:r w:rsidR="0023798F" w:rsidRPr="00534B91">
        <w:rPr>
          <w:rFonts w:ascii="Times New Roman" w:hAnsi="Times New Roman" w:cs="Times New Roman"/>
          <w:sz w:val="24"/>
          <w:szCs w:val="24"/>
        </w:rPr>
        <w:t>US$ 55 000 (fifty-five thousand United States Dollars).</w:t>
      </w:r>
      <w:r w:rsidR="00190810" w:rsidRPr="00534B91">
        <w:rPr>
          <w:rFonts w:ascii="Times New Roman" w:hAnsi="Times New Roman" w:cs="Times New Roman"/>
          <w:sz w:val="24"/>
          <w:szCs w:val="24"/>
        </w:rPr>
        <w:t xml:space="preserve"> On the other hand,</w:t>
      </w:r>
      <w:r w:rsidR="006F6068" w:rsidRPr="00534B91">
        <w:rPr>
          <w:rFonts w:ascii="Times New Roman" w:hAnsi="Times New Roman" w:cs="Times New Roman"/>
          <w:sz w:val="24"/>
          <w:szCs w:val="24"/>
        </w:rPr>
        <w:t xml:space="preserve"> </w:t>
      </w:r>
      <w:r w:rsidR="00696194" w:rsidRPr="00534B91">
        <w:rPr>
          <w:rFonts w:ascii="Times New Roman" w:hAnsi="Times New Roman" w:cs="Times New Roman"/>
          <w:sz w:val="24"/>
          <w:szCs w:val="24"/>
        </w:rPr>
        <w:t xml:space="preserve">the </w:t>
      </w:r>
      <w:r w:rsidR="00534B91">
        <w:rPr>
          <w:rFonts w:ascii="Times New Roman" w:hAnsi="Times New Roman" w:cs="Times New Roman"/>
          <w:sz w:val="24"/>
          <w:szCs w:val="24"/>
        </w:rPr>
        <w:t>first</w:t>
      </w:r>
      <w:r w:rsidR="00F62813" w:rsidRPr="00534B91">
        <w:rPr>
          <w:rFonts w:ascii="Times New Roman" w:hAnsi="Times New Roman" w:cs="Times New Roman"/>
          <w:sz w:val="24"/>
          <w:szCs w:val="24"/>
        </w:rPr>
        <w:t xml:space="preserve"> Respondent </w:t>
      </w:r>
      <w:r w:rsidR="00BC6047" w:rsidRPr="00534B91">
        <w:rPr>
          <w:rFonts w:ascii="Times New Roman" w:hAnsi="Times New Roman" w:cs="Times New Roman"/>
          <w:sz w:val="24"/>
          <w:szCs w:val="24"/>
        </w:rPr>
        <w:t>averred that</w:t>
      </w:r>
      <w:r w:rsidR="00F62813" w:rsidRPr="00534B91">
        <w:rPr>
          <w:rFonts w:ascii="Times New Roman" w:hAnsi="Times New Roman" w:cs="Times New Roman"/>
          <w:sz w:val="24"/>
          <w:szCs w:val="24"/>
        </w:rPr>
        <w:t xml:space="preserve"> the capital sum for the loan was US$ 100 000</w:t>
      </w:r>
      <w:r w:rsidR="00115218" w:rsidRPr="00534B91">
        <w:rPr>
          <w:rFonts w:ascii="Times New Roman" w:hAnsi="Times New Roman" w:cs="Times New Roman"/>
          <w:sz w:val="24"/>
          <w:szCs w:val="24"/>
        </w:rPr>
        <w:t xml:space="preserve"> (one hundred thousand United States Dollars)</w:t>
      </w:r>
      <w:r w:rsidR="00F62813" w:rsidRPr="00534B91">
        <w:rPr>
          <w:rFonts w:ascii="Times New Roman" w:hAnsi="Times New Roman" w:cs="Times New Roman"/>
          <w:sz w:val="24"/>
          <w:szCs w:val="24"/>
        </w:rPr>
        <w:t>.</w:t>
      </w:r>
      <w:r w:rsidR="00CF4734" w:rsidRPr="00534B91">
        <w:rPr>
          <w:rFonts w:ascii="Times New Roman" w:hAnsi="Times New Roman" w:cs="Times New Roman"/>
          <w:sz w:val="24"/>
          <w:szCs w:val="24"/>
        </w:rPr>
        <w:t xml:space="preserve"> According</w:t>
      </w:r>
      <w:r w:rsidR="00B843E8" w:rsidRPr="00534B91">
        <w:rPr>
          <w:rFonts w:ascii="Times New Roman" w:hAnsi="Times New Roman" w:cs="Times New Roman"/>
          <w:sz w:val="24"/>
          <w:szCs w:val="24"/>
        </w:rPr>
        <w:t xml:space="preserve"> to the default judgment, the </w:t>
      </w:r>
      <w:r w:rsidR="00534B91">
        <w:rPr>
          <w:rFonts w:ascii="Times New Roman" w:hAnsi="Times New Roman" w:cs="Times New Roman"/>
          <w:sz w:val="24"/>
          <w:szCs w:val="24"/>
        </w:rPr>
        <w:t>first</w:t>
      </w:r>
      <w:r w:rsidR="00B843E8" w:rsidRPr="00534B91">
        <w:rPr>
          <w:rFonts w:ascii="Times New Roman" w:hAnsi="Times New Roman" w:cs="Times New Roman"/>
          <w:sz w:val="24"/>
          <w:szCs w:val="24"/>
        </w:rPr>
        <w:t xml:space="preserve"> Respondent was entitled to the sum in excess of US</w:t>
      </w:r>
      <w:r w:rsidR="00BC6047" w:rsidRPr="00534B91">
        <w:rPr>
          <w:rFonts w:ascii="Times New Roman" w:hAnsi="Times New Roman" w:cs="Times New Roman"/>
          <w:sz w:val="24"/>
          <w:szCs w:val="24"/>
        </w:rPr>
        <w:t>$ 142</w:t>
      </w:r>
      <w:r w:rsidR="00B843E8" w:rsidRPr="00534B91">
        <w:rPr>
          <w:rFonts w:ascii="Times New Roman" w:hAnsi="Times New Roman" w:cs="Times New Roman"/>
          <w:sz w:val="24"/>
          <w:szCs w:val="24"/>
        </w:rPr>
        <w:t xml:space="preserve"> 000.</w:t>
      </w:r>
      <w:r w:rsidR="00D867AA" w:rsidRPr="00534B91">
        <w:rPr>
          <w:rFonts w:ascii="Times New Roman" w:hAnsi="Times New Roman" w:cs="Times New Roman"/>
          <w:sz w:val="24"/>
          <w:szCs w:val="24"/>
        </w:rPr>
        <w:t xml:space="preserve"> The </w:t>
      </w:r>
      <w:r w:rsidR="00534B91">
        <w:rPr>
          <w:rFonts w:ascii="Times New Roman" w:hAnsi="Times New Roman" w:cs="Times New Roman"/>
          <w:sz w:val="24"/>
          <w:szCs w:val="24"/>
        </w:rPr>
        <w:t>first</w:t>
      </w:r>
      <w:r w:rsidR="00D867AA" w:rsidRPr="00534B91">
        <w:rPr>
          <w:rFonts w:ascii="Times New Roman" w:hAnsi="Times New Roman" w:cs="Times New Roman"/>
          <w:sz w:val="24"/>
          <w:szCs w:val="24"/>
        </w:rPr>
        <w:t xml:space="preserve"> Respondent and the Applicants signed the deed of settlement </w:t>
      </w:r>
      <w:r w:rsidR="00154C76" w:rsidRPr="00534B91">
        <w:rPr>
          <w:rFonts w:ascii="Times New Roman" w:hAnsi="Times New Roman" w:cs="Times New Roman"/>
          <w:sz w:val="24"/>
          <w:szCs w:val="24"/>
        </w:rPr>
        <w:t xml:space="preserve">in terms of which the Applicants undertook </w:t>
      </w:r>
      <w:r w:rsidR="00BB6D22" w:rsidRPr="00534B91">
        <w:rPr>
          <w:rFonts w:ascii="Times New Roman" w:hAnsi="Times New Roman" w:cs="Times New Roman"/>
          <w:sz w:val="24"/>
          <w:szCs w:val="24"/>
        </w:rPr>
        <w:t xml:space="preserve">to repay the </w:t>
      </w:r>
      <w:r w:rsidR="00154C76" w:rsidRPr="00534B91">
        <w:rPr>
          <w:rFonts w:ascii="Times New Roman" w:hAnsi="Times New Roman" w:cs="Times New Roman"/>
          <w:sz w:val="24"/>
          <w:szCs w:val="24"/>
        </w:rPr>
        <w:t xml:space="preserve">loan. </w:t>
      </w:r>
    </w:p>
    <w:p w:rsidR="00EB136D" w:rsidRPr="00534B91" w:rsidRDefault="005C5DC0" w:rsidP="00AB6371">
      <w:pPr>
        <w:spacing w:after="0" w:line="360" w:lineRule="auto"/>
        <w:ind w:firstLine="720"/>
        <w:jc w:val="both"/>
        <w:rPr>
          <w:rFonts w:ascii="Times New Roman" w:hAnsi="Times New Roman" w:cs="Times New Roman"/>
          <w:sz w:val="24"/>
          <w:szCs w:val="24"/>
        </w:rPr>
      </w:pPr>
      <w:r w:rsidRPr="00534B91">
        <w:rPr>
          <w:rFonts w:ascii="Times New Roman" w:hAnsi="Times New Roman" w:cs="Times New Roman"/>
          <w:sz w:val="24"/>
          <w:szCs w:val="24"/>
        </w:rPr>
        <w:t xml:space="preserve">After obtaining </w:t>
      </w:r>
      <w:r w:rsidR="004003BD" w:rsidRPr="00534B91">
        <w:rPr>
          <w:rFonts w:ascii="Times New Roman" w:hAnsi="Times New Roman" w:cs="Times New Roman"/>
          <w:sz w:val="24"/>
          <w:szCs w:val="24"/>
        </w:rPr>
        <w:t>the default judgment in its favour,</w:t>
      </w:r>
      <w:r w:rsidR="005B5E80" w:rsidRPr="00534B91">
        <w:rPr>
          <w:rFonts w:ascii="Times New Roman" w:hAnsi="Times New Roman" w:cs="Times New Roman"/>
          <w:sz w:val="24"/>
          <w:szCs w:val="24"/>
        </w:rPr>
        <w:t xml:space="preserve"> the </w:t>
      </w:r>
      <w:r w:rsidR="00534B91">
        <w:rPr>
          <w:rFonts w:ascii="Times New Roman" w:hAnsi="Times New Roman" w:cs="Times New Roman"/>
          <w:sz w:val="24"/>
          <w:szCs w:val="24"/>
        </w:rPr>
        <w:t>first</w:t>
      </w:r>
      <w:r w:rsidR="005B5E80" w:rsidRPr="00534B91">
        <w:rPr>
          <w:rFonts w:ascii="Times New Roman" w:hAnsi="Times New Roman" w:cs="Times New Roman"/>
          <w:sz w:val="24"/>
          <w:szCs w:val="24"/>
        </w:rPr>
        <w:t xml:space="preserve"> Respondent </w:t>
      </w:r>
      <w:r w:rsidR="001C5BC0" w:rsidRPr="00534B91">
        <w:rPr>
          <w:rFonts w:ascii="Times New Roman" w:hAnsi="Times New Roman" w:cs="Times New Roman"/>
          <w:sz w:val="24"/>
          <w:szCs w:val="24"/>
        </w:rPr>
        <w:t xml:space="preserve">issued </w:t>
      </w:r>
      <w:r w:rsidR="00BC6047" w:rsidRPr="00534B91">
        <w:rPr>
          <w:rFonts w:ascii="Times New Roman" w:hAnsi="Times New Roman" w:cs="Times New Roman"/>
          <w:sz w:val="24"/>
          <w:szCs w:val="24"/>
        </w:rPr>
        <w:t>a Notice</w:t>
      </w:r>
      <w:r w:rsidR="001C5BC0" w:rsidRPr="00534B91">
        <w:rPr>
          <w:rFonts w:ascii="Times New Roman" w:hAnsi="Times New Roman" w:cs="Times New Roman"/>
          <w:sz w:val="24"/>
          <w:szCs w:val="24"/>
        </w:rPr>
        <w:t xml:space="preserve"> of Seizure and Attachment </w:t>
      </w:r>
      <w:r w:rsidR="009F07A5" w:rsidRPr="00534B91">
        <w:rPr>
          <w:rFonts w:ascii="Times New Roman" w:hAnsi="Times New Roman" w:cs="Times New Roman"/>
          <w:sz w:val="24"/>
          <w:szCs w:val="24"/>
        </w:rPr>
        <w:t xml:space="preserve">in order to recover </w:t>
      </w:r>
      <w:r w:rsidR="00003010" w:rsidRPr="00534B91">
        <w:rPr>
          <w:rFonts w:ascii="Times New Roman" w:hAnsi="Times New Roman" w:cs="Times New Roman"/>
          <w:sz w:val="24"/>
          <w:szCs w:val="24"/>
        </w:rPr>
        <w:t>US$ 284 785</w:t>
      </w:r>
      <w:r w:rsidR="00BC6047" w:rsidRPr="00534B91">
        <w:rPr>
          <w:rFonts w:ascii="Times New Roman" w:hAnsi="Times New Roman" w:cs="Times New Roman"/>
          <w:sz w:val="24"/>
          <w:szCs w:val="24"/>
        </w:rPr>
        <w:t>, 08</w:t>
      </w:r>
      <w:r w:rsidR="00003010" w:rsidRPr="00534B91">
        <w:rPr>
          <w:rFonts w:ascii="Times New Roman" w:hAnsi="Times New Roman" w:cs="Times New Roman"/>
          <w:sz w:val="24"/>
          <w:szCs w:val="24"/>
        </w:rPr>
        <w:t>.</w:t>
      </w:r>
      <w:r w:rsidR="006C6246" w:rsidRPr="00534B91">
        <w:rPr>
          <w:rFonts w:ascii="Times New Roman" w:hAnsi="Times New Roman" w:cs="Times New Roman"/>
          <w:sz w:val="24"/>
          <w:szCs w:val="24"/>
        </w:rPr>
        <w:t xml:space="preserve"> </w:t>
      </w:r>
      <w:r w:rsidR="003F2D4C" w:rsidRPr="00534B91">
        <w:rPr>
          <w:rFonts w:ascii="Times New Roman" w:hAnsi="Times New Roman" w:cs="Times New Roman"/>
          <w:sz w:val="24"/>
          <w:szCs w:val="24"/>
        </w:rPr>
        <w:t xml:space="preserve"> The Applicants have attached the Notice of Seizure and Attachment </w:t>
      </w:r>
      <w:r w:rsidR="00BB6D22" w:rsidRPr="00534B91">
        <w:rPr>
          <w:rFonts w:ascii="Times New Roman" w:hAnsi="Times New Roman" w:cs="Times New Roman"/>
          <w:sz w:val="24"/>
          <w:szCs w:val="24"/>
        </w:rPr>
        <w:t xml:space="preserve">which </w:t>
      </w:r>
      <w:r w:rsidR="003F2D4C" w:rsidRPr="00534B91">
        <w:rPr>
          <w:rFonts w:ascii="Times New Roman" w:hAnsi="Times New Roman" w:cs="Times New Roman"/>
          <w:sz w:val="24"/>
          <w:szCs w:val="24"/>
        </w:rPr>
        <w:t>is marked Annexure A.</w:t>
      </w:r>
      <w:r w:rsidR="00C01363" w:rsidRPr="00534B91">
        <w:rPr>
          <w:rFonts w:ascii="Times New Roman" w:hAnsi="Times New Roman" w:cs="Times New Roman"/>
          <w:sz w:val="24"/>
          <w:szCs w:val="24"/>
        </w:rPr>
        <w:t xml:space="preserve"> According to the Applicants, the rate of interest charged by the </w:t>
      </w:r>
      <w:r w:rsidR="00AB6371">
        <w:rPr>
          <w:rFonts w:ascii="Times New Roman" w:hAnsi="Times New Roman" w:cs="Times New Roman"/>
          <w:sz w:val="24"/>
          <w:szCs w:val="24"/>
        </w:rPr>
        <w:t>first</w:t>
      </w:r>
      <w:r w:rsidR="00C01363" w:rsidRPr="00534B91">
        <w:rPr>
          <w:rFonts w:ascii="Times New Roman" w:hAnsi="Times New Roman" w:cs="Times New Roman"/>
          <w:sz w:val="24"/>
          <w:szCs w:val="24"/>
        </w:rPr>
        <w:t xml:space="preserve"> Respondent </w:t>
      </w:r>
      <w:r w:rsidR="002475AA" w:rsidRPr="00534B91">
        <w:rPr>
          <w:rFonts w:ascii="Times New Roman" w:hAnsi="Times New Roman" w:cs="Times New Roman"/>
          <w:sz w:val="24"/>
          <w:szCs w:val="24"/>
        </w:rPr>
        <w:t xml:space="preserve">of 18 per </w:t>
      </w:r>
      <w:r w:rsidR="00BC6047" w:rsidRPr="00534B91">
        <w:rPr>
          <w:rFonts w:ascii="Times New Roman" w:hAnsi="Times New Roman" w:cs="Times New Roman"/>
          <w:sz w:val="24"/>
          <w:szCs w:val="24"/>
        </w:rPr>
        <w:t>cent being</w:t>
      </w:r>
      <w:r w:rsidR="002475AA" w:rsidRPr="00534B91">
        <w:rPr>
          <w:rFonts w:ascii="Times New Roman" w:hAnsi="Times New Roman" w:cs="Times New Roman"/>
          <w:sz w:val="24"/>
          <w:szCs w:val="24"/>
        </w:rPr>
        <w:t xml:space="preserve"> ordinary interest per month together </w:t>
      </w:r>
      <w:r w:rsidR="00AE6A7A" w:rsidRPr="00534B91">
        <w:rPr>
          <w:rFonts w:ascii="Times New Roman" w:hAnsi="Times New Roman" w:cs="Times New Roman"/>
          <w:sz w:val="24"/>
          <w:szCs w:val="24"/>
        </w:rPr>
        <w:t xml:space="preserve">with </w:t>
      </w:r>
      <w:r w:rsidR="002475AA" w:rsidRPr="00534B91">
        <w:rPr>
          <w:rFonts w:ascii="Times New Roman" w:hAnsi="Times New Roman" w:cs="Times New Roman"/>
          <w:sz w:val="24"/>
          <w:szCs w:val="24"/>
        </w:rPr>
        <w:t>the monthly interest of 25 per cent being penalty interest is in the circumstances excessive.</w:t>
      </w:r>
      <w:r w:rsidR="00DB3771" w:rsidRPr="00534B91">
        <w:rPr>
          <w:rFonts w:ascii="Times New Roman" w:hAnsi="Times New Roman" w:cs="Times New Roman"/>
          <w:sz w:val="24"/>
          <w:szCs w:val="24"/>
        </w:rPr>
        <w:t xml:space="preserve"> The </w:t>
      </w:r>
      <w:r w:rsidR="00CB6B38" w:rsidRPr="00534B91">
        <w:rPr>
          <w:rFonts w:ascii="Times New Roman" w:hAnsi="Times New Roman" w:cs="Times New Roman"/>
          <w:sz w:val="24"/>
          <w:szCs w:val="24"/>
        </w:rPr>
        <w:t xml:space="preserve">total </w:t>
      </w:r>
      <w:r w:rsidR="00DB3771" w:rsidRPr="00534B91">
        <w:rPr>
          <w:rFonts w:ascii="Times New Roman" w:hAnsi="Times New Roman" w:cs="Times New Roman"/>
          <w:sz w:val="24"/>
          <w:szCs w:val="24"/>
        </w:rPr>
        <w:t>compounded monthly interest is 43 per cent.</w:t>
      </w:r>
      <w:r w:rsidR="00CB6B38" w:rsidRPr="00534B91">
        <w:rPr>
          <w:rFonts w:ascii="Times New Roman" w:hAnsi="Times New Roman" w:cs="Times New Roman"/>
          <w:sz w:val="24"/>
          <w:szCs w:val="24"/>
        </w:rPr>
        <w:t xml:space="preserve"> </w:t>
      </w:r>
      <w:r w:rsidR="007F20BE" w:rsidRPr="00534B91">
        <w:rPr>
          <w:rFonts w:ascii="Times New Roman" w:hAnsi="Times New Roman" w:cs="Times New Roman"/>
          <w:sz w:val="24"/>
          <w:szCs w:val="24"/>
        </w:rPr>
        <w:t xml:space="preserve"> According to the Applicants, they have made efforts to settle the loan</w:t>
      </w:r>
      <w:r w:rsidR="00B72088" w:rsidRPr="00534B91">
        <w:rPr>
          <w:rFonts w:ascii="Times New Roman" w:hAnsi="Times New Roman" w:cs="Times New Roman"/>
          <w:sz w:val="24"/>
          <w:szCs w:val="24"/>
        </w:rPr>
        <w:t xml:space="preserve"> in July 2021 and January 2022 in local </w:t>
      </w:r>
      <w:r w:rsidR="00BC6047" w:rsidRPr="00534B91">
        <w:rPr>
          <w:rFonts w:ascii="Times New Roman" w:hAnsi="Times New Roman" w:cs="Times New Roman"/>
          <w:sz w:val="24"/>
          <w:szCs w:val="24"/>
        </w:rPr>
        <w:t xml:space="preserve">currency. </w:t>
      </w:r>
      <w:r w:rsidR="009730A5" w:rsidRPr="00534B91">
        <w:rPr>
          <w:rFonts w:ascii="Times New Roman" w:hAnsi="Times New Roman" w:cs="Times New Roman"/>
          <w:sz w:val="24"/>
          <w:szCs w:val="24"/>
        </w:rPr>
        <w:t xml:space="preserve">However, the </w:t>
      </w:r>
      <w:r w:rsidR="00AB6371">
        <w:rPr>
          <w:rFonts w:ascii="Times New Roman" w:hAnsi="Times New Roman" w:cs="Times New Roman"/>
          <w:sz w:val="24"/>
          <w:szCs w:val="24"/>
        </w:rPr>
        <w:t>first</w:t>
      </w:r>
      <w:r w:rsidR="001B1EF6" w:rsidRPr="00534B91">
        <w:rPr>
          <w:rFonts w:ascii="Times New Roman" w:hAnsi="Times New Roman" w:cs="Times New Roman"/>
          <w:sz w:val="24"/>
          <w:szCs w:val="24"/>
        </w:rPr>
        <w:t xml:space="preserve"> Respondent submitted that </w:t>
      </w:r>
      <w:r w:rsidR="001C2ACF" w:rsidRPr="00534B91">
        <w:rPr>
          <w:rFonts w:ascii="Times New Roman" w:hAnsi="Times New Roman" w:cs="Times New Roman"/>
          <w:sz w:val="24"/>
          <w:szCs w:val="24"/>
        </w:rPr>
        <w:t>the amo</w:t>
      </w:r>
      <w:r w:rsidR="00A17B55" w:rsidRPr="00534B91">
        <w:rPr>
          <w:rFonts w:ascii="Times New Roman" w:hAnsi="Times New Roman" w:cs="Times New Roman"/>
          <w:sz w:val="24"/>
          <w:szCs w:val="24"/>
        </w:rPr>
        <w:t>unt settled is to</w:t>
      </w:r>
      <w:r w:rsidR="00920577" w:rsidRPr="00534B91">
        <w:rPr>
          <w:rFonts w:ascii="Times New Roman" w:hAnsi="Times New Roman" w:cs="Times New Roman"/>
          <w:sz w:val="24"/>
          <w:szCs w:val="24"/>
        </w:rPr>
        <w:t>o</w:t>
      </w:r>
      <w:r w:rsidR="00A17B55" w:rsidRPr="00534B91">
        <w:rPr>
          <w:rFonts w:ascii="Times New Roman" w:hAnsi="Times New Roman" w:cs="Times New Roman"/>
          <w:sz w:val="24"/>
          <w:szCs w:val="24"/>
        </w:rPr>
        <w:t xml:space="preserve"> insignificant.</w:t>
      </w:r>
      <w:r w:rsidR="00CA1500" w:rsidRPr="00534B91">
        <w:rPr>
          <w:rFonts w:ascii="Times New Roman" w:hAnsi="Times New Roman" w:cs="Times New Roman"/>
          <w:sz w:val="24"/>
          <w:szCs w:val="24"/>
        </w:rPr>
        <w:t xml:space="preserve"> </w:t>
      </w:r>
    </w:p>
    <w:p w:rsidR="00C82637" w:rsidRPr="00AB6371" w:rsidRDefault="008A11F2" w:rsidP="00AB6371">
      <w:pPr>
        <w:spacing w:after="0" w:line="360" w:lineRule="auto"/>
        <w:ind w:firstLine="720"/>
        <w:jc w:val="both"/>
        <w:rPr>
          <w:rFonts w:ascii="Times New Roman" w:hAnsi="Times New Roman" w:cs="Times New Roman"/>
          <w:i/>
          <w:sz w:val="24"/>
          <w:szCs w:val="24"/>
        </w:rPr>
      </w:pPr>
      <w:r w:rsidRPr="00534B91">
        <w:rPr>
          <w:rFonts w:ascii="Times New Roman" w:hAnsi="Times New Roman" w:cs="Times New Roman"/>
          <w:sz w:val="24"/>
          <w:szCs w:val="24"/>
        </w:rPr>
        <w:t xml:space="preserve">In opposition to </w:t>
      </w:r>
      <w:r w:rsidR="00BC6047" w:rsidRPr="00534B91">
        <w:rPr>
          <w:rFonts w:ascii="Times New Roman" w:hAnsi="Times New Roman" w:cs="Times New Roman"/>
          <w:sz w:val="24"/>
          <w:szCs w:val="24"/>
        </w:rPr>
        <w:t>the relief</w:t>
      </w:r>
      <w:r w:rsidR="008F7CB1" w:rsidRPr="00534B91">
        <w:rPr>
          <w:rFonts w:ascii="Times New Roman" w:hAnsi="Times New Roman" w:cs="Times New Roman"/>
          <w:sz w:val="24"/>
          <w:szCs w:val="24"/>
        </w:rPr>
        <w:t xml:space="preserve"> sought by the Applicants</w:t>
      </w:r>
      <w:r w:rsidR="00D468F2" w:rsidRPr="00534B91">
        <w:rPr>
          <w:rFonts w:ascii="Times New Roman" w:hAnsi="Times New Roman" w:cs="Times New Roman"/>
          <w:sz w:val="24"/>
          <w:szCs w:val="24"/>
        </w:rPr>
        <w:t xml:space="preserve">, the </w:t>
      </w:r>
      <w:r w:rsidR="00AB6371">
        <w:rPr>
          <w:rFonts w:ascii="Times New Roman" w:hAnsi="Times New Roman" w:cs="Times New Roman"/>
          <w:sz w:val="24"/>
          <w:szCs w:val="24"/>
        </w:rPr>
        <w:t>first</w:t>
      </w:r>
      <w:r w:rsidR="00D468F2" w:rsidRPr="00534B91">
        <w:rPr>
          <w:rFonts w:ascii="Times New Roman" w:hAnsi="Times New Roman" w:cs="Times New Roman"/>
          <w:sz w:val="24"/>
          <w:szCs w:val="24"/>
        </w:rPr>
        <w:t xml:space="preserve"> Respondent</w:t>
      </w:r>
      <w:r w:rsidR="00C82637" w:rsidRPr="00534B91">
        <w:rPr>
          <w:rFonts w:ascii="Times New Roman" w:hAnsi="Times New Roman" w:cs="Times New Roman"/>
          <w:sz w:val="24"/>
          <w:szCs w:val="24"/>
        </w:rPr>
        <w:t xml:space="preserve"> raised two points </w:t>
      </w:r>
      <w:r w:rsidR="00C82637" w:rsidRPr="00534B91">
        <w:rPr>
          <w:rFonts w:ascii="Times New Roman" w:hAnsi="Times New Roman" w:cs="Times New Roman"/>
          <w:i/>
          <w:sz w:val="24"/>
          <w:szCs w:val="24"/>
        </w:rPr>
        <w:t>in limine.</w:t>
      </w:r>
    </w:p>
    <w:p w:rsidR="00856F82" w:rsidRPr="00AE5C3A" w:rsidRDefault="00C82637" w:rsidP="00AE5C3A">
      <w:pPr>
        <w:spacing w:after="0" w:line="360" w:lineRule="auto"/>
        <w:ind w:firstLine="720"/>
        <w:jc w:val="both"/>
        <w:rPr>
          <w:rFonts w:ascii="Times New Roman" w:hAnsi="Times New Roman" w:cs="Times New Roman"/>
          <w:sz w:val="24"/>
          <w:szCs w:val="24"/>
        </w:rPr>
      </w:pPr>
      <w:r w:rsidRPr="00AE5C3A">
        <w:rPr>
          <w:rFonts w:ascii="Times New Roman" w:hAnsi="Times New Roman" w:cs="Times New Roman"/>
          <w:sz w:val="24"/>
          <w:szCs w:val="24"/>
        </w:rPr>
        <w:t>The first point</w:t>
      </w:r>
      <w:r w:rsidRPr="00AE5C3A">
        <w:rPr>
          <w:rFonts w:ascii="Times New Roman" w:hAnsi="Times New Roman" w:cs="Times New Roman"/>
          <w:i/>
          <w:sz w:val="24"/>
          <w:szCs w:val="24"/>
        </w:rPr>
        <w:t xml:space="preserve">  </w:t>
      </w:r>
      <w:r w:rsidRPr="00AE5C3A">
        <w:rPr>
          <w:rFonts w:ascii="Times New Roman" w:hAnsi="Times New Roman" w:cs="Times New Roman"/>
          <w:sz w:val="24"/>
          <w:szCs w:val="24"/>
        </w:rPr>
        <w:t xml:space="preserve"> </w:t>
      </w:r>
      <w:r w:rsidRPr="00AE5C3A">
        <w:rPr>
          <w:rFonts w:ascii="Times New Roman" w:hAnsi="Times New Roman" w:cs="Times New Roman"/>
          <w:i/>
          <w:sz w:val="24"/>
          <w:szCs w:val="24"/>
        </w:rPr>
        <w:t>in limine</w:t>
      </w:r>
      <w:r w:rsidRPr="00AE5C3A">
        <w:rPr>
          <w:rFonts w:ascii="Times New Roman" w:hAnsi="Times New Roman" w:cs="Times New Roman"/>
          <w:sz w:val="24"/>
          <w:szCs w:val="24"/>
        </w:rPr>
        <w:t xml:space="preserve"> </w:t>
      </w:r>
      <w:r w:rsidR="00A17B55" w:rsidRPr="00AE5C3A">
        <w:rPr>
          <w:rFonts w:ascii="Times New Roman" w:hAnsi="Times New Roman" w:cs="Times New Roman"/>
          <w:sz w:val="24"/>
          <w:szCs w:val="24"/>
        </w:rPr>
        <w:t xml:space="preserve">raised by the </w:t>
      </w:r>
      <w:r w:rsidR="00AB6371" w:rsidRPr="00AE5C3A">
        <w:rPr>
          <w:rFonts w:ascii="Times New Roman" w:hAnsi="Times New Roman" w:cs="Times New Roman"/>
          <w:sz w:val="24"/>
          <w:szCs w:val="24"/>
        </w:rPr>
        <w:t xml:space="preserve">first </w:t>
      </w:r>
      <w:r w:rsidR="00A17B55" w:rsidRPr="00AE5C3A">
        <w:rPr>
          <w:rFonts w:ascii="Times New Roman" w:hAnsi="Times New Roman" w:cs="Times New Roman"/>
          <w:sz w:val="24"/>
          <w:szCs w:val="24"/>
        </w:rPr>
        <w:t xml:space="preserve">Respondent is that </w:t>
      </w:r>
      <w:r w:rsidR="00406D93" w:rsidRPr="00AE5C3A">
        <w:rPr>
          <w:rFonts w:ascii="Times New Roman" w:hAnsi="Times New Roman" w:cs="Times New Roman"/>
          <w:sz w:val="24"/>
          <w:szCs w:val="24"/>
        </w:rPr>
        <w:t xml:space="preserve">the </w:t>
      </w:r>
      <w:r w:rsidR="00A17B55" w:rsidRPr="00AE5C3A">
        <w:rPr>
          <w:rFonts w:ascii="Times New Roman" w:hAnsi="Times New Roman" w:cs="Times New Roman"/>
          <w:sz w:val="24"/>
          <w:szCs w:val="24"/>
        </w:rPr>
        <w:t xml:space="preserve">present application </w:t>
      </w:r>
      <w:r w:rsidRPr="00AE5C3A">
        <w:rPr>
          <w:rFonts w:ascii="Times New Roman" w:hAnsi="Times New Roman" w:cs="Times New Roman"/>
          <w:sz w:val="24"/>
          <w:szCs w:val="24"/>
        </w:rPr>
        <w:t>lack</w:t>
      </w:r>
      <w:r w:rsidR="00406D93" w:rsidRPr="00AE5C3A">
        <w:rPr>
          <w:rFonts w:ascii="Times New Roman" w:hAnsi="Times New Roman" w:cs="Times New Roman"/>
          <w:sz w:val="24"/>
          <w:szCs w:val="24"/>
        </w:rPr>
        <w:t>s</w:t>
      </w:r>
      <w:r w:rsidRPr="00AE5C3A">
        <w:rPr>
          <w:rFonts w:ascii="Times New Roman" w:hAnsi="Times New Roman" w:cs="Times New Roman"/>
          <w:sz w:val="24"/>
          <w:szCs w:val="24"/>
        </w:rPr>
        <w:t xml:space="preserve"> urgency. The </w:t>
      </w:r>
      <w:r w:rsidR="00AB6371" w:rsidRPr="00AE5C3A">
        <w:rPr>
          <w:rFonts w:ascii="Times New Roman" w:hAnsi="Times New Roman" w:cs="Times New Roman"/>
          <w:sz w:val="24"/>
          <w:szCs w:val="24"/>
        </w:rPr>
        <w:t>first</w:t>
      </w:r>
      <w:r w:rsidRPr="00AE5C3A">
        <w:rPr>
          <w:rFonts w:ascii="Times New Roman" w:hAnsi="Times New Roman" w:cs="Times New Roman"/>
          <w:sz w:val="24"/>
          <w:szCs w:val="24"/>
        </w:rPr>
        <w:t xml:space="preserve"> Respondent averred </w:t>
      </w:r>
      <w:r w:rsidR="00BC6047" w:rsidRPr="00AE5C3A">
        <w:rPr>
          <w:rFonts w:ascii="Times New Roman" w:hAnsi="Times New Roman" w:cs="Times New Roman"/>
          <w:sz w:val="24"/>
          <w:szCs w:val="24"/>
        </w:rPr>
        <w:t>that the</w:t>
      </w:r>
      <w:r w:rsidR="00EB136D" w:rsidRPr="00AE5C3A">
        <w:rPr>
          <w:rFonts w:ascii="Times New Roman" w:hAnsi="Times New Roman" w:cs="Times New Roman"/>
          <w:sz w:val="24"/>
          <w:szCs w:val="24"/>
        </w:rPr>
        <w:t xml:space="preserve"> </w:t>
      </w:r>
      <w:r w:rsidR="004049BD" w:rsidRPr="00AE5C3A">
        <w:rPr>
          <w:rFonts w:ascii="Times New Roman" w:hAnsi="Times New Roman" w:cs="Times New Roman"/>
          <w:sz w:val="24"/>
          <w:szCs w:val="24"/>
        </w:rPr>
        <w:t>Applicants were served with a copy of summons</w:t>
      </w:r>
      <w:r w:rsidRPr="00AE5C3A">
        <w:rPr>
          <w:rFonts w:ascii="Times New Roman" w:hAnsi="Times New Roman" w:cs="Times New Roman"/>
          <w:sz w:val="24"/>
          <w:szCs w:val="24"/>
        </w:rPr>
        <w:t xml:space="preserve"> </w:t>
      </w:r>
      <w:r w:rsidR="007F20BE" w:rsidRPr="00AE5C3A">
        <w:rPr>
          <w:rFonts w:ascii="Times New Roman" w:hAnsi="Times New Roman" w:cs="Times New Roman"/>
          <w:sz w:val="24"/>
          <w:szCs w:val="24"/>
        </w:rPr>
        <w:t xml:space="preserve"> </w:t>
      </w:r>
      <w:r w:rsidR="00EB136D" w:rsidRPr="00AE5C3A">
        <w:rPr>
          <w:rFonts w:ascii="Times New Roman" w:hAnsi="Times New Roman" w:cs="Times New Roman"/>
          <w:sz w:val="24"/>
          <w:szCs w:val="24"/>
        </w:rPr>
        <w:t xml:space="preserve"> </w:t>
      </w:r>
      <w:r w:rsidR="004049BD" w:rsidRPr="00AE5C3A">
        <w:rPr>
          <w:rFonts w:ascii="Times New Roman" w:hAnsi="Times New Roman" w:cs="Times New Roman"/>
          <w:sz w:val="24"/>
          <w:szCs w:val="24"/>
        </w:rPr>
        <w:t xml:space="preserve">for provisional sentence on 12 November 2021. The Applicants did nothing to </w:t>
      </w:r>
      <w:r w:rsidR="004049BD" w:rsidRPr="00AE5C3A">
        <w:rPr>
          <w:rFonts w:ascii="Times New Roman" w:hAnsi="Times New Roman" w:cs="Times New Roman"/>
          <w:sz w:val="24"/>
          <w:szCs w:val="24"/>
        </w:rPr>
        <w:lastRenderedPageBreak/>
        <w:t xml:space="preserve">defend after being served with summons, according to the </w:t>
      </w:r>
      <w:r w:rsidR="00AB6371" w:rsidRPr="00AE5C3A">
        <w:rPr>
          <w:rFonts w:ascii="Times New Roman" w:hAnsi="Times New Roman" w:cs="Times New Roman"/>
          <w:sz w:val="24"/>
          <w:szCs w:val="24"/>
        </w:rPr>
        <w:t>first</w:t>
      </w:r>
      <w:r w:rsidR="004049BD" w:rsidRPr="00AE5C3A">
        <w:rPr>
          <w:rFonts w:ascii="Times New Roman" w:hAnsi="Times New Roman" w:cs="Times New Roman"/>
          <w:sz w:val="24"/>
          <w:szCs w:val="24"/>
        </w:rPr>
        <w:t xml:space="preserve"> Respondent. The </w:t>
      </w:r>
      <w:r w:rsidR="00AB6371" w:rsidRPr="00AE5C3A">
        <w:rPr>
          <w:rFonts w:ascii="Times New Roman" w:hAnsi="Times New Roman" w:cs="Times New Roman"/>
          <w:sz w:val="24"/>
          <w:szCs w:val="24"/>
        </w:rPr>
        <w:t>first</w:t>
      </w:r>
      <w:r w:rsidR="004049BD" w:rsidRPr="00AE5C3A">
        <w:rPr>
          <w:rFonts w:ascii="Times New Roman" w:hAnsi="Times New Roman" w:cs="Times New Roman"/>
          <w:sz w:val="24"/>
          <w:szCs w:val="24"/>
        </w:rPr>
        <w:t xml:space="preserve"> Respondent further averred that the Applicants wilfully defaulted.</w:t>
      </w:r>
      <w:r w:rsidR="00B05D18" w:rsidRPr="00AE5C3A">
        <w:rPr>
          <w:rFonts w:ascii="Times New Roman" w:hAnsi="Times New Roman" w:cs="Times New Roman"/>
          <w:sz w:val="24"/>
          <w:szCs w:val="24"/>
        </w:rPr>
        <w:t xml:space="preserve"> The </w:t>
      </w:r>
      <w:r w:rsidR="00AE5C3A">
        <w:rPr>
          <w:rFonts w:ascii="Times New Roman" w:hAnsi="Times New Roman" w:cs="Times New Roman"/>
          <w:sz w:val="24"/>
          <w:szCs w:val="24"/>
        </w:rPr>
        <w:t>first</w:t>
      </w:r>
      <w:r w:rsidR="00AE5C3A" w:rsidRPr="00AE5C3A">
        <w:rPr>
          <w:rFonts w:ascii="Times New Roman" w:hAnsi="Times New Roman" w:cs="Times New Roman"/>
          <w:sz w:val="24"/>
          <w:szCs w:val="24"/>
        </w:rPr>
        <w:t xml:space="preserve"> </w:t>
      </w:r>
      <w:r w:rsidR="00B05D18" w:rsidRPr="00AE5C3A">
        <w:rPr>
          <w:rFonts w:ascii="Times New Roman" w:hAnsi="Times New Roman" w:cs="Times New Roman"/>
          <w:sz w:val="24"/>
          <w:szCs w:val="24"/>
        </w:rPr>
        <w:t xml:space="preserve">Respondent </w:t>
      </w:r>
      <w:r w:rsidR="00BC6047" w:rsidRPr="00AE5C3A">
        <w:rPr>
          <w:rFonts w:ascii="Times New Roman" w:hAnsi="Times New Roman" w:cs="Times New Roman"/>
          <w:sz w:val="24"/>
          <w:szCs w:val="24"/>
        </w:rPr>
        <w:t>further averred</w:t>
      </w:r>
      <w:r w:rsidR="00B05D18" w:rsidRPr="00AE5C3A">
        <w:rPr>
          <w:rFonts w:ascii="Times New Roman" w:hAnsi="Times New Roman" w:cs="Times New Roman"/>
          <w:sz w:val="24"/>
          <w:szCs w:val="24"/>
        </w:rPr>
        <w:t xml:space="preserve"> that the </w:t>
      </w:r>
      <w:r w:rsidR="00CA1500" w:rsidRPr="00AE5C3A">
        <w:rPr>
          <w:rFonts w:ascii="Times New Roman" w:hAnsi="Times New Roman" w:cs="Times New Roman"/>
          <w:sz w:val="24"/>
          <w:szCs w:val="24"/>
        </w:rPr>
        <w:t xml:space="preserve">need to </w:t>
      </w:r>
      <w:r w:rsidR="00B05D18" w:rsidRPr="00AE5C3A">
        <w:rPr>
          <w:rFonts w:ascii="Times New Roman" w:hAnsi="Times New Roman" w:cs="Times New Roman"/>
          <w:sz w:val="24"/>
          <w:szCs w:val="24"/>
        </w:rPr>
        <w:t xml:space="preserve">act arose on </w:t>
      </w:r>
      <w:r w:rsidR="0032357C" w:rsidRPr="00AE5C3A">
        <w:rPr>
          <w:rFonts w:ascii="Times New Roman" w:hAnsi="Times New Roman" w:cs="Times New Roman"/>
          <w:sz w:val="24"/>
          <w:szCs w:val="24"/>
        </w:rPr>
        <w:t>the date when they were served with the summons.</w:t>
      </w:r>
    </w:p>
    <w:p w:rsidR="006B6302" w:rsidRPr="00AE5C3A" w:rsidRDefault="00856F82" w:rsidP="00AB6371">
      <w:pPr>
        <w:spacing w:after="0" w:line="360" w:lineRule="auto"/>
        <w:ind w:firstLine="720"/>
        <w:jc w:val="both"/>
        <w:rPr>
          <w:rFonts w:ascii="Times New Roman" w:hAnsi="Times New Roman" w:cs="Times New Roman"/>
          <w:sz w:val="24"/>
          <w:szCs w:val="24"/>
        </w:rPr>
      </w:pPr>
      <w:r w:rsidRPr="00AE5C3A">
        <w:rPr>
          <w:rFonts w:ascii="Times New Roman" w:hAnsi="Times New Roman" w:cs="Times New Roman"/>
          <w:sz w:val="24"/>
          <w:szCs w:val="24"/>
        </w:rPr>
        <w:t xml:space="preserve">On the other hand, the </w:t>
      </w:r>
      <w:r w:rsidR="001E4A48" w:rsidRPr="00AE5C3A">
        <w:rPr>
          <w:rFonts w:ascii="Times New Roman" w:hAnsi="Times New Roman" w:cs="Times New Roman"/>
          <w:sz w:val="24"/>
          <w:szCs w:val="24"/>
        </w:rPr>
        <w:t>Applicants averred that they did not defend since they ver</w:t>
      </w:r>
      <w:r w:rsidR="00406D93" w:rsidRPr="00AE5C3A">
        <w:rPr>
          <w:rFonts w:ascii="Times New Roman" w:hAnsi="Times New Roman" w:cs="Times New Roman"/>
          <w:sz w:val="24"/>
          <w:szCs w:val="24"/>
        </w:rPr>
        <w:t>i</w:t>
      </w:r>
      <w:r w:rsidR="001E4A48" w:rsidRPr="00AE5C3A">
        <w:rPr>
          <w:rFonts w:ascii="Times New Roman" w:hAnsi="Times New Roman" w:cs="Times New Roman"/>
          <w:sz w:val="24"/>
          <w:szCs w:val="24"/>
        </w:rPr>
        <w:t xml:space="preserve">ly believed that the </w:t>
      </w:r>
      <w:r w:rsidR="00AE5C3A">
        <w:rPr>
          <w:rFonts w:ascii="Times New Roman" w:hAnsi="Times New Roman" w:cs="Times New Roman"/>
          <w:sz w:val="24"/>
          <w:szCs w:val="24"/>
        </w:rPr>
        <w:t>first</w:t>
      </w:r>
      <w:r w:rsidR="001E4A48" w:rsidRPr="00AE5C3A">
        <w:rPr>
          <w:rFonts w:ascii="Times New Roman" w:hAnsi="Times New Roman" w:cs="Times New Roman"/>
          <w:sz w:val="24"/>
          <w:szCs w:val="24"/>
        </w:rPr>
        <w:t xml:space="preserve"> Respondent and the Applicants were finalising talks for the payment plan. They further averred that the </w:t>
      </w:r>
      <w:r w:rsidR="00825DBD" w:rsidRPr="00AE5C3A">
        <w:rPr>
          <w:rFonts w:ascii="Times New Roman" w:hAnsi="Times New Roman" w:cs="Times New Roman"/>
          <w:sz w:val="24"/>
          <w:szCs w:val="24"/>
        </w:rPr>
        <w:t>need to act arose on the date when they were served with Notice of Attachment</w:t>
      </w:r>
      <w:r w:rsidR="00C775B5" w:rsidRPr="00AE5C3A">
        <w:rPr>
          <w:rFonts w:ascii="Times New Roman" w:hAnsi="Times New Roman" w:cs="Times New Roman"/>
          <w:sz w:val="24"/>
          <w:szCs w:val="24"/>
        </w:rPr>
        <w:t>.</w:t>
      </w:r>
    </w:p>
    <w:p w:rsidR="006B6302" w:rsidRPr="00AE5C3A" w:rsidRDefault="006B6302" w:rsidP="00AB6371">
      <w:pPr>
        <w:spacing w:after="0" w:line="360" w:lineRule="auto"/>
        <w:ind w:firstLine="720"/>
        <w:jc w:val="both"/>
        <w:rPr>
          <w:rFonts w:ascii="Times New Roman" w:hAnsi="Times New Roman" w:cs="Times New Roman"/>
          <w:sz w:val="24"/>
          <w:szCs w:val="24"/>
        </w:rPr>
      </w:pPr>
      <w:r w:rsidRPr="00AE5C3A">
        <w:rPr>
          <w:rFonts w:ascii="Times New Roman" w:hAnsi="Times New Roman" w:cs="Times New Roman"/>
          <w:sz w:val="24"/>
          <w:szCs w:val="24"/>
        </w:rPr>
        <w:t xml:space="preserve">The issue of whether or not the matter is of urgency has been settled in our jurisdiction. In the case of </w:t>
      </w:r>
      <w:r w:rsidRPr="00AE5C3A">
        <w:rPr>
          <w:rFonts w:ascii="Times New Roman" w:hAnsi="Times New Roman" w:cs="Times New Roman"/>
          <w:i/>
          <w:sz w:val="24"/>
          <w:szCs w:val="24"/>
        </w:rPr>
        <w:t>Kuvarega</w:t>
      </w:r>
      <w:r w:rsidRPr="00AE5C3A">
        <w:rPr>
          <w:rFonts w:ascii="Times New Roman" w:hAnsi="Times New Roman" w:cs="Times New Roman"/>
          <w:sz w:val="24"/>
          <w:szCs w:val="24"/>
        </w:rPr>
        <w:t xml:space="preserve"> v </w:t>
      </w:r>
      <w:r w:rsidRPr="00AE5C3A">
        <w:rPr>
          <w:rFonts w:ascii="Times New Roman" w:hAnsi="Times New Roman" w:cs="Times New Roman"/>
          <w:i/>
          <w:sz w:val="24"/>
          <w:szCs w:val="24"/>
        </w:rPr>
        <w:t>Registrar General and Another</w:t>
      </w:r>
      <w:r w:rsidRPr="00AE5C3A">
        <w:rPr>
          <w:rStyle w:val="FootnoteReference"/>
          <w:rFonts w:ascii="Times New Roman" w:hAnsi="Times New Roman" w:cs="Times New Roman"/>
          <w:sz w:val="24"/>
          <w:szCs w:val="24"/>
        </w:rPr>
        <w:footnoteReference w:id="1"/>
      </w:r>
      <w:r w:rsidRPr="00AE5C3A">
        <w:rPr>
          <w:rFonts w:ascii="Times New Roman" w:hAnsi="Times New Roman" w:cs="Times New Roman"/>
          <w:sz w:val="24"/>
          <w:szCs w:val="24"/>
        </w:rPr>
        <w:t>, the court held that:</w:t>
      </w:r>
    </w:p>
    <w:p w:rsidR="006B6302" w:rsidRPr="00BC6047" w:rsidRDefault="006B6302" w:rsidP="00534B91">
      <w:pPr>
        <w:spacing w:after="0" w:line="360" w:lineRule="auto"/>
        <w:jc w:val="both"/>
        <w:rPr>
          <w:rFonts w:ascii="Times New Roman" w:hAnsi="Times New Roman" w:cs="Times New Roman"/>
          <w:sz w:val="24"/>
          <w:szCs w:val="24"/>
        </w:rPr>
      </w:pPr>
    </w:p>
    <w:p w:rsidR="00603BE7" w:rsidRDefault="006B6302" w:rsidP="00AB6371">
      <w:pPr>
        <w:spacing w:after="0" w:line="240" w:lineRule="auto"/>
        <w:ind w:left="720"/>
        <w:jc w:val="both"/>
        <w:rPr>
          <w:rFonts w:ascii="Times New Roman" w:hAnsi="Times New Roman" w:cs="Times New Roman"/>
        </w:rPr>
      </w:pPr>
      <w:r w:rsidRPr="00AB6371">
        <w:rPr>
          <w:rFonts w:ascii="Times New Roman" w:hAnsi="Times New Roman" w:cs="Times New Roman"/>
        </w:rPr>
        <w:t>“What constitutes urgency is not only the imminent arrival of the day of reckoning. A matter is urgent if at the time the need to act arise,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rsidR="00AB6371" w:rsidRPr="00AB6371" w:rsidRDefault="00AB6371" w:rsidP="00AB6371">
      <w:pPr>
        <w:spacing w:after="0" w:line="240" w:lineRule="auto"/>
        <w:ind w:left="720"/>
        <w:jc w:val="both"/>
        <w:rPr>
          <w:rFonts w:ascii="Times New Roman" w:hAnsi="Times New Roman" w:cs="Times New Roman"/>
        </w:rPr>
      </w:pPr>
    </w:p>
    <w:p w:rsidR="00920577" w:rsidRPr="00BC6047" w:rsidRDefault="00B60C49" w:rsidP="00436FDF">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On 3 January 2022, t</w:t>
      </w:r>
      <w:r w:rsidR="00C64E10" w:rsidRPr="00BC6047">
        <w:rPr>
          <w:rFonts w:ascii="Times New Roman" w:hAnsi="Times New Roman" w:cs="Times New Roman"/>
          <w:sz w:val="24"/>
          <w:szCs w:val="24"/>
        </w:rPr>
        <w:t>he Applicants were served with notice of seizure and attachment</w:t>
      </w:r>
      <w:r w:rsidR="00B94795" w:rsidRPr="00BC6047">
        <w:rPr>
          <w:rFonts w:ascii="Times New Roman" w:hAnsi="Times New Roman" w:cs="Times New Roman"/>
          <w:sz w:val="24"/>
          <w:szCs w:val="24"/>
        </w:rPr>
        <w:t xml:space="preserve"> which called </w:t>
      </w:r>
      <w:r w:rsidR="00255E7B" w:rsidRPr="00BC6047">
        <w:rPr>
          <w:rFonts w:ascii="Times New Roman" w:hAnsi="Times New Roman" w:cs="Times New Roman"/>
          <w:sz w:val="24"/>
          <w:szCs w:val="24"/>
        </w:rPr>
        <w:t xml:space="preserve">upon </w:t>
      </w:r>
      <w:r w:rsidR="00B94795" w:rsidRPr="00BC6047">
        <w:rPr>
          <w:rFonts w:ascii="Times New Roman" w:hAnsi="Times New Roman" w:cs="Times New Roman"/>
          <w:sz w:val="24"/>
          <w:szCs w:val="24"/>
        </w:rPr>
        <w:t xml:space="preserve">them </w:t>
      </w:r>
      <w:r w:rsidR="00626C10" w:rsidRPr="00BC6047">
        <w:rPr>
          <w:rFonts w:ascii="Times New Roman" w:hAnsi="Times New Roman" w:cs="Times New Roman"/>
          <w:sz w:val="24"/>
          <w:szCs w:val="24"/>
        </w:rPr>
        <w:t>to settle</w:t>
      </w:r>
      <w:r w:rsidR="00255E7B" w:rsidRPr="00BC6047">
        <w:rPr>
          <w:rFonts w:ascii="Times New Roman" w:hAnsi="Times New Roman" w:cs="Times New Roman"/>
          <w:sz w:val="24"/>
          <w:szCs w:val="24"/>
        </w:rPr>
        <w:t xml:space="preserve"> the judgment in the </w:t>
      </w:r>
      <w:r w:rsidR="00BC6047" w:rsidRPr="00BC6047">
        <w:rPr>
          <w:rFonts w:ascii="Times New Roman" w:hAnsi="Times New Roman" w:cs="Times New Roman"/>
          <w:sz w:val="24"/>
          <w:szCs w:val="24"/>
        </w:rPr>
        <w:t>sum of</w:t>
      </w:r>
      <w:r w:rsidR="007117A6" w:rsidRPr="00BC6047">
        <w:rPr>
          <w:rFonts w:ascii="Times New Roman" w:hAnsi="Times New Roman" w:cs="Times New Roman"/>
          <w:sz w:val="24"/>
          <w:szCs w:val="24"/>
        </w:rPr>
        <w:t xml:space="preserve"> US$284 785</w:t>
      </w:r>
      <w:r w:rsidR="00BC6047" w:rsidRPr="00BC6047">
        <w:rPr>
          <w:rFonts w:ascii="Times New Roman" w:hAnsi="Times New Roman" w:cs="Times New Roman"/>
          <w:sz w:val="24"/>
          <w:szCs w:val="24"/>
        </w:rPr>
        <w:t>, 08</w:t>
      </w:r>
      <w:r w:rsidRPr="00BC6047">
        <w:rPr>
          <w:rFonts w:ascii="Times New Roman" w:hAnsi="Times New Roman" w:cs="Times New Roman"/>
          <w:sz w:val="24"/>
          <w:szCs w:val="24"/>
        </w:rPr>
        <w:t xml:space="preserve"> being capital debt and costs</w:t>
      </w:r>
      <w:r w:rsidR="007117A6" w:rsidRPr="00BC6047">
        <w:rPr>
          <w:rFonts w:ascii="Times New Roman" w:hAnsi="Times New Roman" w:cs="Times New Roman"/>
          <w:sz w:val="24"/>
          <w:szCs w:val="24"/>
        </w:rPr>
        <w:t>.</w:t>
      </w:r>
      <w:r w:rsidR="00884AEE" w:rsidRPr="00BC6047">
        <w:rPr>
          <w:rFonts w:ascii="Times New Roman" w:hAnsi="Times New Roman" w:cs="Times New Roman"/>
          <w:sz w:val="24"/>
          <w:szCs w:val="24"/>
        </w:rPr>
        <w:t xml:space="preserve">  According to the default judgment,</w:t>
      </w:r>
      <w:r w:rsidR="00EF1F9D" w:rsidRPr="00BC6047">
        <w:rPr>
          <w:rFonts w:ascii="Times New Roman" w:hAnsi="Times New Roman" w:cs="Times New Roman"/>
          <w:sz w:val="24"/>
          <w:szCs w:val="24"/>
        </w:rPr>
        <w:t xml:space="preserve"> the </w:t>
      </w:r>
      <w:r w:rsidR="00AB6371">
        <w:rPr>
          <w:rFonts w:ascii="Times New Roman" w:hAnsi="Times New Roman" w:cs="Times New Roman"/>
          <w:sz w:val="24"/>
          <w:szCs w:val="24"/>
        </w:rPr>
        <w:t>first</w:t>
      </w:r>
      <w:r w:rsidR="00EF1F9D" w:rsidRPr="00BC6047">
        <w:rPr>
          <w:rFonts w:ascii="Times New Roman" w:hAnsi="Times New Roman" w:cs="Times New Roman"/>
          <w:sz w:val="24"/>
          <w:szCs w:val="24"/>
        </w:rPr>
        <w:t xml:space="preserve"> Respondent </w:t>
      </w:r>
      <w:r w:rsidR="009C3DB7" w:rsidRPr="00BC6047">
        <w:rPr>
          <w:rFonts w:ascii="Times New Roman" w:hAnsi="Times New Roman" w:cs="Times New Roman"/>
          <w:sz w:val="24"/>
          <w:szCs w:val="24"/>
        </w:rPr>
        <w:t xml:space="preserve">is </w:t>
      </w:r>
      <w:r w:rsidR="00EF1F9D" w:rsidRPr="00BC6047">
        <w:rPr>
          <w:rFonts w:ascii="Times New Roman" w:hAnsi="Times New Roman" w:cs="Times New Roman"/>
          <w:sz w:val="24"/>
          <w:szCs w:val="24"/>
        </w:rPr>
        <w:t xml:space="preserve">entitled </w:t>
      </w:r>
      <w:r w:rsidR="005B61D3" w:rsidRPr="00BC6047">
        <w:rPr>
          <w:rFonts w:ascii="Times New Roman" w:hAnsi="Times New Roman" w:cs="Times New Roman"/>
          <w:sz w:val="24"/>
          <w:szCs w:val="24"/>
        </w:rPr>
        <w:t xml:space="preserve">to </w:t>
      </w:r>
      <w:r w:rsidR="009C3DB7" w:rsidRPr="00BC6047">
        <w:rPr>
          <w:rFonts w:ascii="Times New Roman" w:hAnsi="Times New Roman" w:cs="Times New Roman"/>
          <w:sz w:val="24"/>
          <w:szCs w:val="24"/>
        </w:rPr>
        <w:t xml:space="preserve">recover </w:t>
      </w:r>
      <w:r w:rsidR="005B61D3" w:rsidRPr="00BC6047">
        <w:rPr>
          <w:rFonts w:ascii="Times New Roman" w:hAnsi="Times New Roman" w:cs="Times New Roman"/>
          <w:sz w:val="24"/>
          <w:szCs w:val="24"/>
        </w:rPr>
        <w:t>US$ 142 392</w:t>
      </w:r>
      <w:r w:rsidR="00BC6047" w:rsidRPr="00BC6047">
        <w:rPr>
          <w:rFonts w:ascii="Times New Roman" w:hAnsi="Times New Roman" w:cs="Times New Roman"/>
          <w:sz w:val="24"/>
          <w:szCs w:val="24"/>
        </w:rPr>
        <w:t>, 54</w:t>
      </w:r>
      <w:r w:rsidR="005B61D3" w:rsidRPr="00BC6047">
        <w:rPr>
          <w:rFonts w:ascii="Times New Roman" w:hAnsi="Times New Roman" w:cs="Times New Roman"/>
          <w:sz w:val="24"/>
          <w:szCs w:val="24"/>
        </w:rPr>
        <w:t>.</w:t>
      </w:r>
      <w:r w:rsidR="009C3DB7" w:rsidRPr="00BC6047">
        <w:rPr>
          <w:rFonts w:ascii="Times New Roman" w:hAnsi="Times New Roman" w:cs="Times New Roman"/>
          <w:sz w:val="24"/>
          <w:szCs w:val="24"/>
        </w:rPr>
        <w:t xml:space="preserve"> </w:t>
      </w:r>
      <w:r w:rsidR="008A0182" w:rsidRPr="00BC6047">
        <w:rPr>
          <w:rFonts w:ascii="Times New Roman" w:hAnsi="Times New Roman" w:cs="Times New Roman"/>
          <w:sz w:val="24"/>
          <w:szCs w:val="24"/>
        </w:rPr>
        <w:t xml:space="preserve"> </w:t>
      </w:r>
      <w:r w:rsidRPr="00BC6047">
        <w:rPr>
          <w:rFonts w:ascii="Times New Roman" w:hAnsi="Times New Roman" w:cs="Times New Roman"/>
          <w:sz w:val="24"/>
          <w:szCs w:val="24"/>
        </w:rPr>
        <w:t xml:space="preserve">The default </w:t>
      </w:r>
      <w:r w:rsidR="00EB136D" w:rsidRPr="00BC6047">
        <w:rPr>
          <w:rFonts w:ascii="Times New Roman" w:hAnsi="Times New Roman" w:cs="Times New Roman"/>
          <w:sz w:val="24"/>
          <w:szCs w:val="24"/>
        </w:rPr>
        <w:t xml:space="preserve">judgment </w:t>
      </w:r>
      <w:r w:rsidRPr="00BC6047">
        <w:rPr>
          <w:rFonts w:ascii="Times New Roman" w:hAnsi="Times New Roman" w:cs="Times New Roman"/>
          <w:sz w:val="24"/>
          <w:szCs w:val="24"/>
        </w:rPr>
        <w:t xml:space="preserve">was entered against the Applicants on 1 December 2021. </w:t>
      </w:r>
      <w:r w:rsidR="00E849A2" w:rsidRPr="00BC6047">
        <w:rPr>
          <w:rFonts w:ascii="Times New Roman" w:hAnsi="Times New Roman" w:cs="Times New Roman"/>
          <w:sz w:val="24"/>
          <w:szCs w:val="24"/>
        </w:rPr>
        <w:t xml:space="preserve"> </w:t>
      </w:r>
      <w:r w:rsidR="004E611A" w:rsidRPr="00BC6047">
        <w:rPr>
          <w:rFonts w:ascii="Times New Roman" w:hAnsi="Times New Roman" w:cs="Times New Roman"/>
          <w:sz w:val="24"/>
          <w:szCs w:val="24"/>
        </w:rPr>
        <w:t xml:space="preserve">Thus, the   debt </w:t>
      </w:r>
      <w:r w:rsidR="00BC6047" w:rsidRPr="00BC6047">
        <w:rPr>
          <w:rFonts w:ascii="Times New Roman" w:hAnsi="Times New Roman" w:cs="Times New Roman"/>
          <w:sz w:val="24"/>
          <w:szCs w:val="24"/>
        </w:rPr>
        <w:t>had doubled</w:t>
      </w:r>
      <w:r w:rsidR="004E611A" w:rsidRPr="00BC6047">
        <w:rPr>
          <w:rFonts w:ascii="Times New Roman" w:hAnsi="Times New Roman" w:cs="Times New Roman"/>
          <w:sz w:val="24"/>
          <w:szCs w:val="24"/>
        </w:rPr>
        <w:t xml:space="preserve"> within thirty-three days from the day of default judgment.</w:t>
      </w:r>
      <w:r w:rsidR="000E7CDC" w:rsidRPr="00BC6047">
        <w:rPr>
          <w:rFonts w:ascii="Times New Roman" w:hAnsi="Times New Roman" w:cs="Times New Roman"/>
          <w:sz w:val="24"/>
          <w:szCs w:val="24"/>
        </w:rPr>
        <w:t xml:space="preserve"> In light of this, I am of the considered view that the need to act </w:t>
      </w:r>
      <w:r w:rsidR="00531E6A" w:rsidRPr="00BC6047">
        <w:rPr>
          <w:rFonts w:ascii="Times New Roman" w:hAnsi="Times New Roman" w:cs="Times New Roman"/>
          <w:sz w:val="24"/>
          <w:szCs w:val="24"/>
        </w:rPr>
        <w:t xml:space="preserve">arose on 3 January 2022 when the </w:t>
      </w:r>
      <w:r w:rsidR="00E5109B" w:rsidRPr="00BC6047">
        <w:rPr>
          <w:rFonts w:ascii="Times New Roman" w:hAnsi="Times New Roman" w:cs="Times New Roman"/>
          <w:sz w:val="24"/>
          <w:szCs w:val="24"/>
        </w:rPr>
        <w:t xml:space="preserve">Applicants were served with a copy </w:t>
      </w:r>
      <w:r w:rsidR="000C1174" w:rsidRPr="00BC6047">
        <w:rPr>
          <w:rFonts w:ascii="Times New Roman" w:hAnsi="Times New Roman" w:cs="Times New Roman"/>
          <w:sz w:val="24"/>
          <w:szCs w:val="24"/>
        </w:rPr>
        <w:t>of notice of seizure and attach</w:t>
      </w:r>
      <w:r w:rsidR="00E5109B" w:rsidRPr="00BC6047">
        <w:rPr>
          <w:rFonts w:ascii="Times New Roman" w:hAnsi="Times New Roman" w:cs="Times New Roman"/>
          <w:sz w:val="24"/>
          <w:szCs w:val="24"/>
        </w:rPr>
        <w:t xml:space="preserve">ment calling </w:t>
      </w:r>
      <w:r w:rsidR="00A77CDD" w:rsidRPr="00BC6047">
        <w:rPr>
          <w:rFonts w:ascii="Times New Roman" w:hAnsi="Times New Roman" w:cs="Times New Roman"/>
          <w:sz w:val="24"/>
          <w:szCs w:val="24"/>
        </w:rPr>
        <w:t>upon them to honour their debt which had  ballooned to unprecedented levels.</w:t>
      </w:r>
    </w:p>
    <w:p w:rsidR="001B020D" w:rsidRPr="00A93DFF" w:rsidRDefault="00E3620A" w:rsidP="00534B91">
      <w:pPr>
        <w:spacing w:after="0" w:line="360" w:lineRule="auto"/>
        <w:jc w:val="both"/>
        <w:rPr>
          <w:rFonts w:ascii="Times New Roman" w:hAnsi="Times New Roman" w:cs="Times New Roman"/>
          <w:color w:val="000000" w:themeColor="text1"/>
          <w:sz w:val="24"/>
          <w:szCs w:val="24"/>
        </w:rPr>
      </w:pPr>
      <w:r w:rsidRPr="00BC6047">
        <w:rPr>
          <w:rFonts w:ascii="Times New Roman" w:hAnsi="Times New Roman" w:cs="Times New Roman"/>
          <w:sz w:val="24"/>
          <w:szCs w:val="24"/>
        </w:rPr>
        <w:t xml:space="preserve"> </w:t>
      </w:r>
      <w:r w:rsidR="00436FDF">
        <w:rPr>
          <w:rFonts w:ascii="Times New Roman" w:hAnsi="Times New Roman" w:cs="Times New Roman"/>
          <w:sz w:val="24"/>
          <w:szCs w:val="24"/>
        </w:rPr>
        <w:tab/>
      </w:r>
      <w:r w:rsidRPr="00BC6047">
        <w:rPr>
          <w:rFonts w:ascii="Times New Roman" w:hAnsi="Times New Roman" w:cs="Times New Roman"/>
          <w:sz w:val="24"/>
          <w:szCs w:val="24"/>
        </w:rPr>
        <w:t>The Applicants have</w:t>
      </w:r>
      <w:r w:rsidR="00D03764" w:rsidRPr="00BC6047">
        <w:rPr>
          <w:rFonts w:ascii="Times New Roman" w:hAnsi="Times New Roman" w:cs="Times New Roman"/>
          <w:sz w:val="24"/>
          <w:szCs w:val="24"/>
        </w:rPr>
        <w:t xml:space="preserve"> explained why </w:t>
      </w:r>
      <w:r w:rsidR="00EB136D" w:rsidRPr="00BC6047">
        <w:rPr>
          <w:rFonts w:ascii="Times New Roman" w:hAnsi="Times New Roman" w:cs="Times New Roman"/>
          <w:sz w:val="24"/>
          <w:szCs w:val="24"/>
        </w:rPr>
        <w:t xml:space="preserve">they </w:t>
      </w:r>
      <w:r w:rsidR="00D03764" w:rsidRPr="00BC6047">
        <w:rPr>
          <w:rFonts w:ascii="Times New Roman" w:hAnsi="Times New Roman" w:cs="Times New Roman"/>
          <w:sz w:val="24"/>
          <w:szCs w:val="24"/>
        </w:rPr>
        <w:t xml:space="preserve">did not defend themselves. The Applicants, </w:t>
      </w:r>
      <w:r w:rsidR="00B57C92" w:rsidRPr="00BC6047">
        <w:rPr>
          <w:rFonts w:ascii="Times New Roman" w:hAnsi="Times New Roman" w:cs="Times New Roman"/>
          <w:sz w:val="24"/>
          <w:szCs w:val="24"/>
        </w:rPr>
        <w:t xml:space="preserve">who </w:t>
      </w:r>
      <w:r w:rsidR="00BC6047" w:rsidRPr="00BC6047">
        <w:rPr>
          <w:rFonts w:ascii="Times New Roman" w:hAnsi="Times New Roman" w:cs="Times New Roman"/>
          <w:sz w:val="24"/>
          <w:szCs w:val="24"/>
        </w:rPr>
        <w:t>were self-actors</w:t>
      </w:r>
      <w:r w:rsidR="00B57C92" w:rsidRPr="00BC6047">
        <w:rPr>
          <w:rFonts w:ascii="Times New Roman" w:hAnsi="Times New Roman" w:cs="Times New Roman"/>
          <w:sz w:val="24"/>
          <w:szCs w:val="24"/>
        </w:rPr>
        <w:t xml:space="preserve">, at the time they were served with summons for provisional sentence, did not fully appreciate the consequences </w:t>
      </w:r>
      <w:r w:rsidR="00BC6047" w:rsidRPr="00BC6047">
        <w:rPr>
          <w:rFonts w:ascii="Times New Roman" w:hAnsi="Times New Roman" w:cs="Times New Roman"/>
          <w:sz w:val="24"/>
          <w:szCs w:val="24"/>
        </w:rPr>
        <w:t>associated with</w:t>
      </w:r>
      <w:r w:rsidR="001B020D" w:rsidRPr="00BC6047">
        <w:rPr>
          <w:rFonts w:ascii="Times New Roman" w:hAnsi="Times New Roman" w:cs="Times New Roman"/>
          <w:sz w:val="24"/>
          <w:szCs w:val="24"/>
        </w:rPr>
        <w:t xml:space="preserve"> failure to   defend themselves.</w:t>
      </w:r>
      <w:r w:rsidR="003B13E6" w:rsidRPr="00BC6047">
        <w:rPr>
          <w:rFonts w:ascii="Times New Roman" w:hAnsi="Times New Roman" w:cs="Times New Roman"/>
          <w:sz w:val="24"/>
          <w:szCs w:val="24"/>
        </w:rPr>
        <w:t xml:space="preserve"> Reference is made to the case of </w:t>
      </w:r>
      <w:r w:rsidR="003B13E6" w:rsidRPr="00A93DFF">
        <w:rPr>
          <w:rFonts w:ascii="Times New Roman" w:eastAsia="Times New Roman" w:hAnsi="Times New Roman" w:cs="Times New Roman"/>
          <w:i/>
          <w:iCs/>
          <w:color w:val="000000" w:themeColor="text1"/>
          <w:sz w:val="24"/>
          <w:szCs w:val="24"/>
          <w:lang w:eastAsia="en-ZW"/>
        </w:rPr>
        <w:t>Maujean</w:t>
      </w:r>
      <w:r w:rsidR="003B13E6" w:rsidRPr="00A93DFF">
        <w:rPr>
          <w:rFonts w:ascii="Times New Roman" w:eastAsia="Times New Roman" w:hAnsi="Times New Roman" w:cs="Times New Roman"/>
          <w:i/>
          <w:color w:val="000000" w:themeColor="text1"/>
          <w:sz w:val="24"/>
          <w:szCs w:val="24"/>
          <w:lang w:eastAsia="en-ZW"/>
        </w:rPr>
        <w:t> t/a</w:t>
      </w:r>
      <w:r w:rsidR="003B13E6" w:rsidRPr="00A93DFF">
        <w:rPr>
          <w:rFonts w:ascii="Times New Roman" w:eastAsia="Times New Roman" w:hAnsi="Times New Roman" w:cs="Times New Roman"/>
          <w:i/>
          <w:iCs/>
          <w:color w:val="000000" w:themeColor="text1"/>
          <w:sz w:val="24"/>
          <w:szCs w:val="24"/>
          <w:lang w:eastAsia="en-ZW"/>
        </w:rPr>
        <w:t> Audio Video Agencies</w:t>
      </w:r>
      <w:r w:rsidR="003B13E6" w:rsidRPr="00A93DFF">
        <w:rPr>
          <w:rFonts w:ascii="Times New Roman" w:eastAsia="Times New Roman" w:hAnsi="Times New Roman" w:cs="Times New Roman"/>
          <w:color w:val="000000" w:themeColor="text1"/>
          <w:sz w:val="24"/>
          <w:szCs w:val="24"/>
          <w:lang w:eastAsia="en-ZW"/>
        </w:rPr>
        <w:t> v </w:t>
      </w:r>
      <w:r w:rsidR="003B13E6" w:rsidRPr="00A93DFF">
        <w:rPr>
          <w:rFonts w:ascii="Times New Roman" w:eastAsia="Times New Roman" w:hAnsi="Times New Roman" w:cs="Times New Roman"/>
          <w:i/>
          <w:iCs/>
          <w:color w:val="000000" w:themeColor="text1"/>
          <w:sz w:val="24"/>
          <w:szCs w:val="24"/>
          <w:lang w:eastAsia="en-ZW"/>
        </w:rPr>
        <w:t>Standard Bank of South Africa Ltd</w:t>
      </w:r>
      <w:r w:rsidR="003B13E6" w:rsidRPr="00A93DFF">
        <w:rPr>
          <w:rStyle w:val="FootnoteReference"/>
          <w:rFonts w:ascii="Times New Roman" w:eastAsia="Times New Roman" w:hAnsi="Times New Roman" w:cs="Times New Roman"/>
          <w:iCs/>
          <w:color w:val="000000" w:themeColor="text1"/>
          <w:sz w:val="24"/>
          <w:szCs w:val="24"/>
          <w:lang w:eastAsia="en-ZW"/>
        </w:rPr>
        <w:footnoteReference w:id="2"/>
      </w:r>
      <w:r w:rsidR="003B13E6" w:rsidRPr="00A93DFF">
        <w:rPr>
          <w:rFonts w:ascii="Times New Roman" w:eastAsia="Times New Roman" w:hAnsi="Times New Roman" w:cs="Times New Roman"/>
          <w:color w:val="000000" w:themeColor="text1"/>
          <w:sz w:val="24"/>
          <w:szCs w:val="24"/>
          <w:lang w:eastAsia="en-ZW"/>
        </w:rPr>
        <w:t>,</w:t>
      </w:r>
      <w:r w:rsidR="00E72858" w:rsidRPr="00A93DFF">
        <w:rPr>
          <w:rFonts w:ascii="Times New Roman" w:eastAsia="Times New Roman" w:hAnsi="Times New Roman" w:cs="Times New Roman"/>
          <w:color w:val="000000" w:themeColor="text1"/>
          <w:sz w:val="24"/>
          <w:szCs w:val="24"/>
          <w:lang w:eastAsia="en-ZW"/>
        </w:rPr>
        <w:t xml:space="preserve"> where King J. defined wilful </w:t>
      </w:r>
      <w:r w:rsidR="00BC6047" w:rsidRPr="00A93DFF">
        <w:rPr>
          <w:rFonts w:ascii="Times New Roman" w:eastAsia="Times New Roman" w:hAnsi="Times New Roman" w:cs="Times New Roman"/>
          <w:color w:val="000000" w:themeColor="text1"/>
          <w:sz w:val="24"/>
          <w:szCs w:val="24"/>
          <w:lang w:eastAsia="en-ZW"/>
        </w:rPr>
        <w:t>default in</w:t>
      </w:r>
      <w:r w:rsidR="00005BE4" w:rsidRPr="00A93DFF">
        <w:rPr>
          <w:rFonts w:ascii="Times New Roman" w:eastAsia="Times New Roman" w:hAnsi="Times New Roman" w:cs="Times New Roman"/>
          <w:color w:val="000000" w:themeColor="text1"/>
          <w:sz w:val="24"/>
          <w:szCs w:val="24"/>
          <w:lang w:eastAsia="en-ZW"/>
        </w:rPr>
        <w:t xml:space="preserve"> the following terms:</w:t>
      </w:r>
    </w:p>
    <w:p w:rsidR="00486E92" w:rsidRPr="00436FDF" w:rsidRDefault="00486E92" w:rsidP="00534B91">
      <w:pPr>
        <w:spacing w:after="0" w:line="360" w:lineRule="auto"/>
        <w:jc w:val="both"/>
        <w:rPr>
          <w:rFonts w:ascii="Times New Roman" w:hAnsi="Times New Roman" w:cs="Times New Roman"/>
          <w:color w:val="000000" w:themeColor="text1"/>
          <w:sz w:val="24"/>
          <w:szCs w:val="24"/>
        </w:rPr>
      </w:pPr>
    </w:p>
    <w:p w:rsidR="00486E92" w:rsidRPr="00954F99" w:rsidRDefault="003B13E6" w:rsidP="00954F99">
      <w:pPr>
        <w:shd w:val="clear" w:color="auto" w:fill="FFFFFF"/>
        <w:spacing w:after="0" w:line="240" w:lineRule="auto"/>
        <w:ind w:left="720"/>
        <w:jc w:val="both"/>
        <w:rPr>
          <w:rFonts w:ascii="Times New Roman" w:eastAsia="Times New Roman" w:hAnsi="Times New Roman" w:cs="Times New Roman"/>
          <w:color w:val="000000" w:themeColor="text1"/>
          <w:lang w:eastAsia="en-ZW"/>
        </w:rPr>
      </w:pPr>
      <w:r w:rsidRPr="00954F99">
        <w:rPr>
          <w:rFonts w:ascii="Times New Roman" w:eastAsia="Times New Roman" w:hAnsi="Times New Roman" w:cs="Times New Roman"/>
          <w:color w:val="000000" w:themeColor="text1"/>
          <w:lang w:eastAsia="en-ZW"/>
        </w:rPr>
        <w:t>“</w:t>
      </w:r>
      <w:r w:rsidR="00486E92" w:rsidRPr="00954F99">
        <w:rPr>
          <w:rFonts w:ascii="Times New Roman" w:eastAsia="Times New Roman" w:hAnsi="Times New Roman" w:cs="Times New Roman"/>
          <w:color w:val="000000" w:themeColor="text1"/>
          <w:lang w:eastAsia="en-ZW"/>
        </w:rPr>
        <w:t>More specifically, in the context of a default judgment, ‘wilful’ connotes deliberateness in the sense of knowledge of the action and of its consequences, i.e its legal consequences and a conscious and freely taken decision to refrain from giving notice of intention to defend, whatever the motivat</w:t>
      </w:r>
      <w:r w:rsidRPr="00954F99">
        <w:rPr>
          <w:rFonts w:ascii="Times New Roman" w:eastAsia="Times New Roman" w:hAnsi="Times New Roman" w:cs="Times New Roman"/>
          <w:color w:val="000000" w:themeColor="text1"/>
          <w:lang w:eastAsia="en-ZW"/>
        </w:rPr>
        <w:t>ion, for this conduct might be.”</w:t>
      </w:r>
    </w:p>
    <w:p w:rsidR="001B020D" w:rsidRPr="00BC6047" w:rsidRDefault="001B020D" w:rsidP="00534B91">
      <w:pPr>
        <w:spacing w:after="0" w:line="360" w:lineRule="auto"/>
        <w:jc w:val="both"/>
        <w:rPr>
          <w:rFonts w:ascii="Times New Roman" w:hAnsi="Times New Roman" w:cs="Times New Roman"/>
          <w:sz w:val="24"/>
          <w:szCs w:val="24"/>
        </w:rPr>
      </w:pPr>
    </w:p>
    <w:p w:rsidR="00975553" w:rsidRPr="00436FDF" w:rsidRDefault="00EB136D" w:rsidP="00436FDF">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 xml:space="preserve">The Applicants did not appreciate the legal consequences for default. </w:t>
      </w:r>
      <w:r w:rsidR="00005BE4" w:rsidRPr="00BC6047">
        <w:rPr>
          <w:rFonts w:ascii="Times New Roman" w:hAnsi="Times New Roman" w:cs="Times New Roman"/>
          <w:sz w:val="24"/>
          <w:szCs w:val="24"/>
        </w:rPr>
        <w:t xml:space="preserve">Thus, I am of the view that the </w:t>
      </w:r>
      <w:r w:rsidR="00D855CD" w:rsidRPr="00BC6047">
        <w:rPr>
          <w:rFonts w:ascii="Times New Roman" w:hAnsi="Times New Roman" w:cs="Times New Roman"/>
          <w:sz w:val="24"/>
          <w:szCs w:val="24"/>
        </w:rPr>
        <w:t xml:space="preserve">Applicants did not wilfully default. </w:t>
      </w:r>
      <w:r w:rsidR="00D54C43" w:rsidRPr="00BC6047">
        <w:rPr>
          <w:rFonts w:ascii="Times New Roman" w:hAnsi="Times New Roman" w:cs="Times New Roman"/>
          <w:sz w:val="24"/>
          <w:szCs w:val="24"/>
        </w:rPr>
        <w:t xml:space="preserve">In the circumstances, I find no merit in the </w:t>
      </w:r>
      <w:r w:rsidR="00436FDF">
        <w:rPr>
          <w:rFonts w:ascii="Times New Roman" w:hAnsi="Times New Roman" w:cs="Times New Roman"/>
          <w:sz w:val="24"/>
          <w:szCs w:val="24"/>
        </w:rPr>
        <w:t>first</w:t>
      </w:r>
      <w:r w:rsidR="00D54C43" w:rsidRPr="00BC6047">
        <w:rPr>
          <w:rFonts w:ascii="Times New Roman" w:hAnsi="Times New Roman" w:cs="Times New Roman"/>
          <w:sz w:val="24"/>
          <w:szCs w:val="24"/>
        </w:rPr>
        <w:t xml:space="preserve"> </w:t>
      </w:r>
      <w:r w:rsidR="00BC6047" w:rsidRPr="00BC6047">
        <w:rPr>
          <w:rFonts w:ascii="Times New Roman" w:hAnsi="Times New Roman" w:cs="Times New Roman"/>
          <w:sz w:val="24"/>
          <w:szCs w:val="24"/>
        </w:rPr>
        <w:t>Respondent’s point</w:t>
      </w:r>
      <w:r w:rsidR="0022752D" w:rsidRPr="00BC6047">
        <w:rPr>
          <w:rFonts w:ascii="Times New Roman" w:hAnsi="Times New Roman" w:cs="Times New Roman"/>
          <w:sz w:val="24"/>
          <w:szCs w:val="24"/>
        </w:rPr>
        <w:t xml:space="preserve"> </w:t>
      </w:r>
      <w:r w:rsidR="0022752D" w:rsidRPr="00BC6047">
        <w:rPr>
          <w:rFonts w:ascii="Times New Roman" w:hAnsi="Times New Roman" w:cs="Times New Roman"/>
          <w:i/>
          <w:sz w:val="24"/>
          <w:szCs w:val="24"/>
        </w:rPr>
        <w:t>in limine</w:t>
      </w:r>
      <w:r w:rsidR="0022752D" w:rsidRPr="00BC6047">
        <w:rPr>
          <w:rFonts w:ascii="Times New Roman" w:hAnsi="Times New Roman" w:cs="Times New Roman"/>
          <w:sz w:val="24"/>
          <w:szCs w:val="24"/>
        </w:rPr>
        <w:t>.</w:t>
      </w:r>
      <w:r w:rsidR="00A77CDD" w:rsidRPr="00BC6047">
        <w:rPr>
          <w:rFonts w:ascii="Times New Roman" w:hAnsi="Times New Roman" w:cs="Times New Roman"/>
          <w:sz w:val="24"/>
          <w:szCs w:val="24"/>
        </w:rPr>
        <w:t xml:space="preserve"> </w:t>
      </w:r>
    </w:p>
    <w:p w:rsidR="00D00941" w:rsidRPr="00436FDF" w:rsidRDefault="00975553" w:rsidP="00436FDF">
      <w:pPr>
        <w:spacing w:after="0" w:line="360" w:lineRule="auto"/>
        <w:ind w:firstLine="720"/>
        <w:jc w:val="both"/>
        <w:rPr>
          <w:rFonts w:ascii="Times New Roman" w:hAnsi="Times New Roman" w:cs="Times New Roman"/>
          <w:sz w:val="24"/>
          <w:szCs w:val="24"/>
        </w:rPr>
      </w:pPr>
      <w:r w:rsidRPr="00436FDF">
        <w:rPr>
          <w:rFonts w:ascii="Times New Roman" w:hAnsi="Times New Roman" w:cs="Times New Roman"/>
          <w:sz w:val="24"/>
          <w:szCs w:val="24"/>
        </w:rPr>
        <w:t xml:space="preserve">The second point </w:t>
      </w:r>
      <w:r w:rsidRPr="00436FDF">
        <w:rPr>
          <w:rFonts w:ascii="Times New Roman" w:hAnsi="Times New Roman" w:cs="Times New Roman"/>
          <w:i/>
          <w:sz w:val="24"/>
          <w:szCs w:val="24"/>
        </w:rPr>
        <w:t>in limine</w:t>
      </w:r>
      <w:r w:rsidRPr="00436FDF">
        <w:rPr>
          <w:rFonts w:ascii="Times New Roman" w:hAnsi="Times New Roman" w:cs="Times New Roman"/>
          <w:sz w:val="24"/>
          <w:szCs w:val="24"/>
        </w:rPr>
        <w:t xml:space="preserve"> raised by the </w:t>
      </w:r>
      <w:r w:rsidR="00436FDF" w:rsidRPr="00436FDF">
        <w:rPr>
          <w:rFonts w:ascii="Times New Roman" w:hAnsi="Times New Roman" w:cs="Times New Roman"/>
          <w:sz w:val="24"/>
          <w:szCs w:val="24"/>
        </w:rPr>
        <w:t>first</w:t>
      </w:r>
      <w:r w:rsidRPr="00436FDF">
        <w:rPr>
          <w:rFonts w:ascii="Times New Roman" w:hAnsi="Times New Roman" w:cs="Times New Roman"/>
          <w:sz w:val="24"/>
          <w:szCs w:val="24"/>
        </w:rPr>
        <w:t xml:space="preserve"> Respondent is to the effect that </w:t>
      </w:r>
      <w:r w:rsidR="001E0BCD" w:rsidRPr="00436FDF">
        <w:rPr>
          <w:rFonts w:ascii="Times New Roman" w:hAnsi="Times New Roman" w:cs="Times New Roman"/>
          <w:sz w:val="24"/>
          <w:szCs w:val="24"/>
        </w:rPr>
        <w:t xml:space="preserve">the Applicants </w:t>
      </w:r>
      <w:r w:rsidR="00C86644" w:rsidRPr="00436FDF">
        <w:rPr>
          <w:rFonts w:ascii="Times New Roman" w:hAnsi="Times New Roman" w:cs="Times New Roman"/>
          <w:sz w:val="24"/>
          <w:szCs w:val="24"/>
        </w:rPr>
        <w:t xml:space="preserve">failed to make a material disclosure. According to the </w:t>
      </w:r>
      <w:r w:rsidR="00436FDF" w:rsidRPr="00436FDF">
        <w:rPr>
          <w:rFonts w:ascii="Times New Roman" w:hAnsi="Times New Roman" w:cs="Times New Roman"/>
          <w:sz w:val="24"/>
          <w:szCs w:val="24"/>
        </w:rPr>
        <w:t>first</w:t>
      </w:r>
      <w:r w:rsidR="00C86644" w:rsidRPr="00436FDF">
        <w:rPr>
          <w:rFonts w:ascii="Times New Roman" w:hAnsi="Times New Roman" w:cs="Times New Roman"/>
          <w:sz w:val="24"/>
          <w:szCs w:val="24"/>
        </w:rPr>
        <w:t xml:space="preserve"> Respondent the Applicants did not disclose the fact that the whole matter revolves around the deed of settlement signed by the Applicants in acknowledgement of debt.</w:t>
      </w:r>
    </w:p>
    <w:p w:rsidR="000C2124" w:rsidRPr="00436FDF" w:rsidRDefault="00D00941" w:rsidP="00436FDF">
      <w:pPr>
        <w:spacing w:after="0" w:line="360" w:lineRule="auto"/>
        <w:ind w:firstLine="720"/>
        <w:jc w:val="both"/>
        <w:rPr>
          <w:rFonts w:ascii="Times New Roman" w:hAnsi="Times New Roman" w:cs="Times New Roman"/>
          <w:sz w:val="24"/>
          <w:szCs w:val="24"/>
        </w:rPr>
      </w:pPr>
      <w:r w:rsidRPr="00436FDF">
        <w:rPr>
          <w:rFonts w:ascii="Times New Roman" w:hAnsi="Times New Roman" w:cs="Times New Roman"/>
          <w:sz w:val="24"/>
          <w:szCs w:val="24"/>
        </w:rPr>
        <w:t xml:space="preserve">On the </w:t>
      </w:r>
      <w:r w:rsidR="00322A60" w:rsidRPr="00436FDF">
        <w:rPr>
          <w:rFonts w:ascii="Times New Roman" w:hAnsi="Times New Roman" w:cs="Times New Roman"/>
          <w:sz w:val="24"/>
          <w:szCs w:val="24"/>
        </w:rPr>
        <w:t xml:space="preserve">other </w:t>
      </w:r>
      <w:r w:rsidRPr="00436FDF">
        <w:rPr>
          <w:rFonts w:ascii="Times New Roman" w:hAnsi="Times New Roman" w:cs="Times New Roman"/>
          <w:sz w:val="24"/>
          <w:szCs w:val="24"/>
        </w:rPr>
        <w:t>hand, the Applicants</w:t>
      </w:r>
      <w:r w:rsidR="00BC6047" w:rsidRPr="00436FDF">
        <w:rPr>
          <w:rFonts w:ascii="Times New Roman" w:hAnsi="Times New Roman" w:cs="Times New Roman"/>
          <w:sz w:val="24"/>
          <w:szCs w:val="24"/>
        </w:rPr>
        <w:t>, through</w:t>
      </w:r>
      <w:r w:rsidRPr="00436FDF">
        <w:rPr>
          <w:rFonts w:ascii="Times New Roman" w:hAnsi="Times New Roman" w:cs="Times New Roman"/>
          <w:sz w:val="24"/>
          <w:szCs w:val="24"/>
        </w:rPr>
        <w:t xml:space="preserve"> submissions of their counsel, Mr. </w:t>
      </w:r>
      <w:r w:rsidRPr="00A93DFF">
        <w:rPr>
          <w:rFonts w:ascii="Times New Roman" w:hAnsi="Times New Roman" w:cs="Times New Roman"/>
          <w:i/>
          <w:sz w:val="24"/>
          <w:szCs w:val="24"/>
        </w:rPr>
        <w:t>Hove</w:t>
      </w:r>
      <w:r w:rsidRPr="00436FDF">
        <w:rPr>
          <w:rFonts w:ascii="Times New Roman" w:hAnsi="Times New Roman" w:cs="Times New Roman"/>
          <w:sz w:val="24"/>
          <w:szCs w:val="24"/>
        </w:rPr>
        <w:t>, submitted that the Applicants referred the court to all records that are relevant. Thus, according to the Applicants</w:t>
      </w:r>
      <w:r w:rsidR="00322A60" w:rsidRPr="00436FDF">
        <w:rPr>
          <w:rFonts w:ascii="Times New Roman" w:hAnsi="Times New Roman" w:cs="Times New Roman"/>
          <w:sz w:val="24"/>
          <w:szCs w:val="24"/>
        </w:rPr>
        <w:t>’ counsel</w:t>
      </w:r>
      <w:r w:rsidRPr="00436FDF">
        <w:rPr>
          <w:rFonts w:ascii="Times New Roman" w:hAnsi="Times New Roman" w:cs="Times New Roman"/>
          <w:sz w:val="24"/>
          <w:szCs w:val="24"/>
        </w:rPr>
        <w:t xml:space="preserve">, there was no misrepresentation or non-disclosure of material facts. </w:t>
      </w:r>
      <w:r w:rsidR="00825DBD" w:rsidRPr="00436FDF">
        <w:rPr>
          <w:rFonts w:ascii="Times New Roman" w:hAnsi="Times New Roman" w:cs="Times New Roman"/>
          <w:sz w:val="24"/>
          <w:szCs w:val="24"/>
        </w:rPr>
        <w:t xml:space="preserve"> </w:t>
      </w:r>
      <w:r w:rsidR="00C775B5" w:rsidRPr="00436FDF">
        <w:rPr>
          <w:rFonts w:ascii="Times New Roman" w:hAnsi="Times New Roman" w:cs="Times New Roman"/>
          <w:sz w:val="24"/>
          <w:szCs w:val="24"/>
        </w:rPr>
        <w:t xml:space="preserve"> </w:t>
      </w:r>
      <w:r w:rsidR="004049BD" w:rsidRPr="00436FDF">
        <w:rPr>
          <w:rFonts w:ascii="Times New Roman" w:hAnsi="Times New Roman" w:cs="Times New Roman"/>
          <w:sz w:val="24"/>
          <w:szCs w:val="24"/>
        </w:rPr>
        <w:t xml:space="preserve"> </w:t>
      </w:r>
    </w:p>
    <w:p w:rsidR="00F02EC3" w:rsidRPr="00436FDF" w:rsidRDefault="000C2124" w:rsidP="00436FDF">
      <w:pPr>
        <w:spacing w:after="0" w:line="360" w:lineRule="auto"/>
        <w:ind w:firstLine="720"/>
        <w:jc w:val="both"/>
        <w:rPr>
          <w:rFonts w:ascii="Times New Roman" w:hAnsi="Times New Roman" w:cs="Times New Roman"/>
          <w:sz w:val="24"/>
          <w:szCs w:val="24"/>
        </w:rPr>
      </w:pPr>
      <w:r w:rsidRPr="00436FDF">
        <w:rPr>
          <w:rFonts w:ascii="Times New Roman" w:hAnsi="Times New Roman" w:cs="Times New Roman"/>
          <w:sz w:val="24"/>
          <w:szCs w:val="24"/>
        </w:rPr>
        <w:t xml:space="preserve">Having referred this court to the </w:t>
      </w:r>
      <w:r w:rsidR="00B34B45" w:rsidRPr="00436FDF">
        <w:rPr>
          <w:rFonts w:ascii="Times New Roman" w:hAnsi="Times New Roman" w:cs="Times New Roman"/>
          <w:sz w:val="24"/>
          <w:szCs w:val="24"/>
        </w:rPr>
        <w:t xml:space="preserve">relevant records, I am of the opinion that there </w:t>
      </w:r>
      <w:r w:rsidR="00BC6047" w:rsidRPr="00436FDF">
        <w:rPr>
          <w:rFonts w:ascii="Times New Roman" w:hAnsi="Times New Roman" w:cs="Times New Roman"/>
          <w:sz w:val="24"/>
          <w:szCs w:val="24"/>
        </w:rPr>
        <w:t>was no</w:t>
      </w:r>
      <w:r w:rsidR="00B34B45" w:rsidRPr="00436FDF">
        <w:rPr>
          <w:rFonts w:ascii="Times New Roman" w:hAnsi="Times New Roman" w:cs="Times New Roman"/>
          <w:sz w:val="24"/>
          <w:szCs w:val="24"/>
        </w:rPr>
        <w:t xml:space="preserve"> misrepresentation on the party of the Applicants.</w:t>
      </w:r>
      <w:r w:rsidR="00D54C43" w:rsidRPr="00436FDF">
        <w:rPr>
          <w:rFonts w:ascii="Times New Roman" w:hAnsi="Times New Roman" w:cs="Times New Roman"/>
          <w:sz w:val="24"/>
          <w:szCs w:val="24"/>
        </w:rPr>
        <w:t xml:space="preserve"> Accordingly, I dismiss the point </w:t>
      </w:r>
      <w:r w:rsidR="00D54C43" w:rsidRPr="00436FDF">
        <w:rPr>
          <w:rFonts w:ascii="Times New Roman" w:hAnsi="Times New Roman" w:cs="Times New Roman"/>
          <w:i/>
          <w:sz w:val="24"/>
          <w:szCs w:val="24"/>
        </w:rPr>
        <w:t>in limine</w:t>
      </w:r>
      <w:r w:rsidR="00D54C43" w:rsidRPr="00436FDF">
        <w:rPr>
          <w:rFonts w:ascii="Times New Roman" w:hAnsi="Times New Roman" w:cs="Times New Roman"/>
          <w:sz w:val="24"/>
          <w:szCs w:val="24"/>
        </w:rPr>
        <w:t xml:space="preserve"> related to the non-disclosure of material facts.</w:t>
      </w:r>
    </w:p>
    <w:p w:rsidR="009C1E74" w:rsidRPr="00436FDF" w:rsidRDefault="00F02EC3" w:rsidP="00436FDF">
      <w:pPr>
        <w:spacing w:after="0" w:line="360" w:lineRule="auto"/>
        <w:ind w:firstLine="720"/>
        <w:jc w:val="both"/>
        <w:rPr>
          <w:rFonts w:ascii="Times New Roman" w:hAnsi="Times New Roman" w:cs="Times New Roman"/>
          <w:sz w:val="24"/>
          <w:szCs w:val="24"/>
        </w:rPr>
      </w:pPr>
      <w:r w:rsidRPr="00436FDF">
        <w:rPr>
          <w:rFonts w:ascii="Times New Roman" w:hAnsi="Times New Roman" w:cs="Times New Roman"/>
          <w:sz w:val="24"/>
          <w:szCs w:val="24"/>
        </w:rPr>
        <w:t>I will now move to the merits of the present application</w:t>
      </w:r>
      <w:r w:rsidR="009C1E74" w:rsidRPr="00436FDF">
        <w:rPr>
          <w:rFonts w:ascii="Times New Roman" w:hAnsi="Times New Roman" w:cs="Times New Roman"/>
          <w:sz w:val="24"/>
          <w:szCs w:val="24"/>
        </w:rPr>
        <w:t>.</w:t>
      </w:r>
      <w:r w:rsidR="00921BF8" w:rsidRPr="00436FDF">
        <w:rPr>
          <w:rFonts w:ascii="Times New Roman" w:hAnsi="Times New Roman" w:cs="Times New Roman"/>
          <w:sz w:val="24"/>
          <w:szCs w:val="24"/>
        </w:rPr>
        <w:t xml:space="preserve"> </w:t>
      </w:r>
      <w:r w:rsidR="00BC6047" w:rsidRPr="00436FDF">
        <w:rPr>
          <w:rFonts w:ascii="Times New Roman" w:hAnsi="Times New Roman" w:cs="Times New Roman"/>
          <w:sz w:val="24"/>
          <w:szCs w:val="24"/>
        </w:rPr>
        <w:t>The Applicants</w:t>
      </w:r>
      <w:r w:rsidR="00921BF8" w:rsidRPr="00436FDF">
        <w:rPr>
          <w:rFonts w:ascii="Times New Roman" w:hAnsi="Times New Roman" w:cs="Times New Roman"/>
          <w:sz w:val="24"/>
          <w:szCs w:val="24"/>
        </w:rPr>
        <w:t xml:space="preserve"> are </w:t>
      </w:r>
      <w:r w:rsidR="00F92540" w:rsidRPr="00436FDF">
        <w:rPr>
          <w:rFonts w:ascii="Times New Roman" w:hAnsi="Times New Roman" w:cs="Times New Roman"/>
          <w:sz w:val="24"/>
          <w:szCs w:val="24"/>
        </w:rPr>
        <w:t>applying for stay</w:t>
      </w:r>
      <w:r w:rsidR="00921BF8" w:rsidRPr="00436FDF">
        <w:rPr>
          <w:rFonts w:ascii="Times New Roman" w:hAnsi="Times New Roman" w:cs="Times New Roman"/>
          <w:sz w:val="24"/>
          <w:szCs w:val="24"/>
        </w:rPr>
        <w:t xml:space="preserve"> of execution of </w:t>
      </w:r>
      <w:r w:rsidR="00BC6047" w:rsidRPr="00436FDF">
        <w:rPr>
          <w:rFonts w:ascii="Times New Roman" w:hAnsi="Times New Roman" w:cs="Times New Roman"/>
          <w:sz w:val="24"/>
          <w:szCs w:val="24"/>
        </w:rPr>
        <w:t>the default</w:t>
      </w:r>
      <w:r w:rsidR="00921BF8" w:rsidRPr="00436FDF">
        <w:rPr>
          <w:rFonts w:ascii="Times New Roman" w:hAnsi="Times New Roman" w:cs="Times New Roman"/>
          <w:sz w:val="24"/>
          <w:szCs w:val="24"/>
        </w:rPr>
        <w:t xml:space="preserve"> judgment entered against</w:t>
      </w:r>
      <w:r w:rsidR="00A85B25" w:rsidRPr="00436FDF">
        <w:rPr>
          <w:rFonts w:ascii="Times New Roman" w:hAnsi="Times New Roman" w:cs="Times New Roman"/>
          <w:sz w:val="24"/>
          <w:szCs w:val="24"/>
        </w:rPr>
        <w:t xml:space="preserve"> them under case </w:t>
      </w:r>
      <w:r w:rsidR="00BC6047" w:rsidRPr="00436FDF">
        <w:rPr>
          <w:rFonts w:ascii="Times New Roman" w:hAnsi="Times New Roman" w:cs="Times New Roman"/>
          <w:sz w:val="24"/>
          <w:szCs w:val="24"/>
        </w:rPr>
        <w:t>number HC</w:t>
      </w:r>
      <w:r w:rsidR="00A85B25" w:rsidRPr="00436FDF">
        <w:rPr>
          <w:rFonts w:ascii="Times New Roman" w:hAnsi="Times New Roman" w:cs="Times New Roman"/>
          <w:sz w:val="24"/>
          <w:szCs w:val="24"/>
        </w:rPr>
        <w:t xml:space="preserve"> 6333-21. It is </w:t>
      </w:r>
      <w:r w:rsidR="00BC6047" w:rsidRPr="00436FDF">
        <w:rPr>
          <w:rFonts w:ascii="Times New Roman" w:hAnsi="Times New Roman" w:cs="Times New Roman"/>
          <w:sz w:val="24"/>
          <w:szCs w:val="24"/>
        </w:rPr>
        <w:t>important to</w:t>
      </w:r>
      <w:r w:rsidR="004D305B" w:rsidRPr="00436FDF">
        <w:rPr>
          <w:rFonts w:ascii="Times New Roman" w:hAnsi="Times New Roman" w:cs="Times New Roman"/>
          <w:sz w:val="24"/>
          <w:szCs w:val="24"/>
        </w:rPr>
        <w:t xml:space="preserve"> have reference to the applicable principles to the present matter.</w:t>
      </w:r>
      <w:r w:rsidR="00921BF8" w:rsidRPr="00436FDF">
        <w:rPr>
          <w:rFonts w:ascii="Times New Roman" w:hAnsi="Times New Roman" w:cs="Times New Roman"/>
          <w:sz w:val="24"/>
          <w:szCs w:val="24"/>
        </w:rPr>
        <w:t xml:space="preserve"> </w:t>
      </w:r>
    </w:p>
    <w:p w:rsidR="009C1E74" w:rsidRPr="00BC6047" w:rsidRDefault="009C1E74" w:rsidP="00534B91">
      <w:pPr>
        <w:spacing w:after="0" w:line="360" w:lineRule="auto"/>
        <w:jc w:val="both"/>
        <w:rPr>
          <w:rFonts w:ascii="Times New Roman" w:hAnsi="Times New Roman" w:cs="Times New Roman"/>
        </w:rPr>
      </w:pPr>
    </w:p>
    <w:p w:rsidR="007E3E06" w:rsidRDefault="007E3E06" w:rsidP="00436FDF">
      <w:pPr>
        <w:spacing w:after="0" w:line="240" w:lineRule="auto"/>
        <w:ind w:left="720" w:firstLine="45"/>
        <w:jc w:val="both"/>
        <w:rPr>
          <w:rFonts w:ascii="Times New Roman" w:hAnsi="Times New Roman" w:cs="Times New Roman"/>
        </w:rPr>
      </w:pPr>
      <w:r w:rsidRPr="00436FDF">
        <w:rPr>
          <w:rFonts w:ascii="Times New Roman" w:hAnsi="Times New Roman" w:cs="Times New Roman"/>
          <w:vertAlign w:val="superscript"/>
        </w:rPr>
        <w:t>“</w:t>
      </w:r>
      <w:r w:rsidRPr="00436FDF">
        <w:rPr>
          <w:rFonts w:ascii="Times New Roman" w:hAnsi="Times New Roman" w:cs="Times New Roman"/>
        </w:rPr>
        <w:t>The principles that a court must have regard to in an application for stay of execution are akin to those considered when deciding whether or not to grant leave to execute pending appeal”.</w:t>
      </w:r>
    </w:p>
    <w:p w:rsidR="00954F99" w:rsidRPr="00436FDF" w:rsidRDefault="00954F99" w:rsidP="00436FDF">
      <w:pPr>
        <w:spacing w:after="0" w:line="240" w:lineRule="auto"/>
        <w:ind w:left="720" w:firstLine="45"/>
        <w:jc w:val="both"/>
        <w:rPr>
          <w:rFonts w:ascii="Times New Roman" w:hAnsi="Times New Roman" w:cs="Times New Roman"/>
        </w:rPr>
      </w:pPr>
    </w:p>
    <w:p w:rsidR="007E3E06" w:rsidRPr="00BC6047" w:rsidRDefault="007E3E06" w:rsidP="00436FDF">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 xml:space="preserve">See the case of </w:t>
      </w:r>
      <w:r w:rsidRPr="00436FDF">
        <w:rPr>
          <w:rFonts w:ascii="Times New Roman" w:hAnsi="Times New Roman" w:cs="Times New Roman"/>
          <w:i/>
          <w:sz w:val="24"/>
          <w:szCs w:val="24"/>
        </w:rPr>
        <w:t>Chingwena</w:t>
      </w:r>
      <w:r w:rsidRPr="00BC6047">
        <w:rPr>
          <w:rFonts w:ascii="Times New Roman" w:hAnsi="Times New Roman" w:cs="Times New Roman"/>
          <w:sz w:val="24"/>
          <w:szCs w:val="24"/>
        </w:rPr>
        <w:t xml:space="preserve"> v. </w:t>
      </w:r>
      <w:r w:rsidRPr="00436FDF">
        <w:rPr>
          <w:rFonts w:ascii="Times New Roman" w:hAnsi="Times New Roman" w:cs="Times New Roman"/>
          <w:i/>
          <w:sz w:val="24"/>
          <w:szCs w:val="24"/>
        </w:rPr>
        <w:t>SMM Holdings (Pvt) Ltd and Others</w:t>
      </w:r>
      <w:r w:rsidRPr="00BC6047">
        <w:rPr>
          <w:rStyle w:val="FootnoteReference"/>
          <w:rFonts w:ascii="Times New Roman" w:hAnsi="Times New Roman" w:cs="Times New Roman"/>
          <w:sz w:val="24"/>
          <w:szCs w:val="24"/>
        </w:rPr>
        <w:footnoteReference w:id="3"/>
      </w:r>
      <w:r w:rsidRPr="00BC6047">
        <w:rPr>
          <w:rFonts w:ascii="Times New Roman" w:hAnsi="Times New Roman" w:cs="Times New Roman"/>
          <w:sz w:val="24"/>
          <w:szCs w:val="24"/>
        </w:rPr>
        <w:t xml:space="preserve">, </w:t>
      </w:r>
      <w:r w:rsidRPr="00436FDF">
        <w:rPr>
          <w:rFonts w:ascii="Times New Roman" w:hAnsi="Times New Roman" w:cs="Times New Roman"/>
          <w:i/>
          <w:sz w:val="24"/>
          <w:szCs w:val="24"/>
        </w:rPr>
        <w:t>Nzara</w:t>
      </w:r>
      <w:r w:rsidRPr="00BC6047">
        <w:rPr>
          <w:rFonts w:ascii="Times New Roman" w:hAnsi="Times New Roman" w:cs="Times New Roman"/>
          <w:sz w:val="24"/>
          <w:szCs w:val="24"/>
        </w:rPr>
        <w:t xml:space="preserve"> v. </w:t>
      </w:r>
      <w:r w:rsidRPr="00436FDF">
        <w:rPr>
          <w:rFonts w:ascii="Times New Roman" w:hAnsi="Times New Roman" w:cs="Times New Roman"/>
          <w:i/>
          <w:sz w:val="24"/>
          <w:szCs w:val="24"/>
        </w:rPr>
        <w:t xml:space="preserve">Tsanyau </w:t>
      </w:r>
      <w:r w:rsidR="00BC6047" w:rsidRPr="00436FDF">
        <w:rPr>
          <w:rFonts w:ascii="Times New Roman" w:hAnsi="Times New Roman" w:cs="Times New Roman"/>
          <w:i/>
          <w:sz w:val="24"/>
          <w:szCs w:val="24"/>
        </w:rPr>
        <w:t>and Others</w:t>
      </w:r>
      <w:r w:rsidRPr="00BC6047">
        <w:rPr>
          <w:rStyle w:val="FootnoteReference"/>
          <w:rFonts w:ascii="Times New Roman" w:hAnsi="Times New Roman" w:cs="Times New Roman"/>
          <w:sz w:val="24"/>
          <w:szCs w:val="24"/>
        </w:rPr>
        <w:footnoteReference w:id="4"/>
      </w:r>
      <w:r w:rsidR="00436FDF">
        <w:rPr>
          <w:rFonts w:ascii="Times New Roman" w:hAnsi="Times New Roman" w:cs="Times New Roman"/>
          <w:sz w:val="24"/>
          <w:szCs w:val="24"/>
        </w:rPr>
        <w:t xml:space="preserve">  </w:t>
      </w:r>
      <w:r w:rsidRPr="00BC6047">
        <w:rPr>
          <w:rFonts w:ascii="Times New Roman" w:hAnsi="Times New Roman" w:cs="Times New Roman"/>
          <w:sz w:val="24"/>
          <w:szCs w:val="24"/>
        </w:rPr>
        <w:t xml:space="preserve">and </w:t>
      </w:r>
      <w:r w:rsidRPr="00436FDF">
        <w:rPr>
          <w:rFonts w:ascii="Times New Roman" w:hAnsi="Times New Roman" w:cs="Times New Roman"/>
          <w:i/>
          <w:sz w:val="24"/>
          <w:szCs w:val="24"/>
        </w:rPr>
        <w:t>Old Life Mutual Assurance Company (Pvt) Ltd</w:t>
      </w:r>
      <w:r w:rsidRPr="00BC6047">
        <w:rPr>
          <w:rFonts w:ascii="Times New Roman" w:hAnsi="Times New Roman" w:cs="Times New Roman"/>
          <w:sz w:val="24"/>
          <w:szCs w:val="24"/>
        </w:rPr>
        <w:t xml:space="preserve"> v </w:t>
      </w:r>
      <w:r w:rsidRPr="00436FDF">
        <w:rPr>
          <w:rFonts w:ascii="Times New Roman" w:hAnsi="Times New Roman" w:cs="Times New Roman"/>
          <w:i/>
          <w:sz w:val="24"/>
          <w:szCs w:val="24"/>
        </w:rPr>
        <w:t>Macgatho</w:t>
      </w:r>
      <w:r w:rsidRPr="00BC6047">
        <w:rPr>
          <w:rStyle w:val="FootnoteReference"/>
          <w:rFonts w:ascii="Times New Roman" w:hAnsi="Times New Roman" w:cs="Times New Roman"/>
          <w:sz w:val="24"/>
          <w:szCs w:val="24"/>
        </w:rPr>
        <w:footnoteReference w:id="5"/>
      </w:r>
      <w:r w:rsidRPr="00BC6047">
        <w:rPr>
          <w:rFonts w:ascii="Times New Roman" w:hAnsi="Times New Roman" w:cs="Times New Roman"/>
          <w:sz w:val="24"/>
          <w:szCs w:val="24"/>
        </w:rPr>
        <w:t>. The principles include the following:</w:t>
      </w:r>
    </w:p>
    <w:p w:rsidR="007E3E06" w:rsidRPr="00BC6047" w:rsidRDefault="007E3E06" w:rsidP="00534B91">
      <w:pPr>
        <w:spacing w:after="0" w:line="360" w:lineRule="auto"/>
        <w:jc w:val="both"/>
        <w:rPr>
          <w:rFonts w:ascii="Times New Roman" w:hAnsi="Times New Roman" w:cs="Times New Roman"/>
          <w:sz w:val="24"/>
          <w:szCs w:val="24"/>
        </w:rPr>
      </w:pPr>
    </w:p>
    <w:p w:rsidR="007E3E06" w:rsidRPr="00AE5C3A" w:rsidRDefault="00C94650" w:rsidP="00AE5C3A">
      <w:pPr>
        <w:spacing w:after="0" w:line="240" w:lineRule="auto"/>
        <w:ind w:left="720"/>
        <w:contextualSpacing/>
        <w:jc w:val="both"/>
        <w:rPr>
          <w:rFonts w:ascii="Times New Roman" w:hAnsi="Times New Roman" w:cs="Times New Roman"/>
        </w:rPr>
      </w:pPr>
      <w:r w:rsidRPr="00AE5C3A">
        <w:rPr>
          <w:rFonts w:ascii="Times New Roman" w:hAnsi="Times New Roman" w:cs="Times New Roman"/>
        </w:rPr>
        <w:t xml:space="preserve">“1. </w:t>
      </w:r>
      <w:r w:rsidR="007E3E06" w:rsidRPr="00AE5C3A">
        <w:rPr>
          <w:rFonts w:ascii="Times New Roman" w:hAnsi="Times New Roman" w:cs="Times New Roman"/>
        </w:rPr>
        <w:t>An appellant has an absolute right to appeal and test the correctness of the decision of the lower court before he or she is called upon to satisfy the judgment appealed against.</w:t>
      </w:r>
    </w:p>
    <w:p w:rsidR="00C94650" w:rsidRPr="00AE5C3A" w:rsidRDefault="00C94650" w:rsidP="00AE5C3A">
      <w:pPr>
        <w:spacing w:after="0" w:line="240" w:lineRule="auto"/>
        <w:ind w:left="720"/>
        <w:contextualSpacing/>
        <w:jc w:val="both"/>
        <w:rPr>
          <w:rFonts w:ascii="Times New Roman" w:hAnsi="Times New Roman" w:cs="Times New Roman"/>
        </w:rPr>
      </w:pPr>
      <w:r w:rsidRPr="00AE5C3A">
        <w:rPr>
          <w:rFonts w:ascii="Times New Roman" w:hAnsi="Times New Roman" w:cs="Times New Roman"/>
        </w:rPr>
        <w:t xml:space="preserve">2. </w:t>
      </w:r>
      <w:r w:rsidR="007E3E06" w:rsidRPr="00AE5C3A">
        <w:rPr>
          <w:rFonts w:ascii="Times New Roman" w:hAnsi="Times New Roman" w:cs="Times New Roman"/>
        </w:rPr>
        <w:t>Execution of the judgment of the lower court before the determination of the appeal will negate the absolute right that the appellant has and is generally not permissible.</w:t>
      </w:r>
    </w:p>
    <w:p w:rsidR="007E3E06" w:rsidRPr="00AE5C3A" w:rsidRDefault="007E3E06" w:rsidP="00AE5C3A">
      <w:pPr>
        <w:spacing w:after="0" w:line="240" w:lineRule="auto"/>
        <w:ind w:firstLine="720"/>
        <w:contextualSpacing/>
        <w:jc w:val="both"/>
        <w:rPr>
          <w:rFonts w:ascii="Times New Roman" w:hAnsi="Times New Roman" w:cs="Times New Roman"/>
        </w:rPr>
      </w:pPr>
      <w:r w:rsidRPr="00AE5C3A">
        <w:rPr>
          <w:rFonts w:ascii="Times New Roman" w:hAnsi="Times New Roman" w:cs="Times New Roman"/>
        </w:rPr>
        <w:t xml:space="preserve">3. Where, however, the appellant brings the appeal with no </w:t>
      </w:r>
      <w:r w:rsidRPr="00AE5C3A">
        <w:rPr>
          <w:rFonts w:ascii="Times New Roman" w:hAnsi="Times New Roman" w:cs="Times New Roman"/>
          <w:i/>
        </w:rPr>
        <w:t>bona fide</w:t>
      </w:r>
      <w:r w:rsidRPr="00AE5C3A">
        <w:rPr>
          <w:rFonts w:ascii="Times New Roman" w:hAnsi="Times New Roman" w:cs="Times New Roman"/>
        </w:rPr>
        <w:t xml:space="preserve"> intention of </w:t>
      </w:r>
    </w:p>
    <w:p w:rsidR="007E3E06" w:rsidRPr="00AE5C3A" w:rsidRDefault="007E3E06" w:rsidP="00AE5C3A">
      <w:pPr>
        <w:spacing w:after="0" w:line="240" w:lineRule="auto"/>
        <w:ind w:left="720"/>
        <w:jc w:val="both"/>
        <w:rPr>
          <w:rFonts w:ascii="Times New Roman" w:hAnsi="Times New Roman" w:cs="Times New Roman"/>
        </w:rPr>
      </w:pPr>
      <w:r w:rsidRPr="00AE5C3A">
        <w:rPr>
          <w:rFonts w:ascii="Times New Roman" w:hAnsi="Times New Roman" w:cs="Times New Roman"/>
        </w:rPr>
        <w:t>testing the correctness of the decision of the lower court, but is motivated by a desire to either buy time or harass the successful party, the court, in its discretion, may allow the successful party to execute the judgment notwithstanding the absolute right to appeal resting in the appellant.</w:t>
      </w:r>
    </w:p>
    <w:p w:rsidR="007E3E06" w:rsidRPr="00AE5C3A" w:rsidRDefault="00C94650" w:rsidP="00AE5C3A">
      <w:pPr>
        <w:spacing w:after="0" w:line="240" w:lineRule="auto"/>
        <w:ind w:left="720"/>
        <w:jc w:val="both"/>
        <w:rPr>
          <w:rFonts w:ascii="Times New Roman" w:hAnsi="Times New Roman" w:cs="Times New Roman"/>
        </w:rPr>
      </w:pPr>
      <w:r w:rsidRPr="00AE5C3A">
        <w:rPr>
          <w:rFonts w:ascii="Times New Roman" w:hAnsi="Times New Roman" w:cs="Times New Roman"/>
        </w:rPr>
        <w:lastRenderedPageBreak/>
        <w:t xml:space="preserve">4. </w:t>
      </w:r>
      <w:r w:rsidR="007E3E06" w:rsidRPr="00AE5C3A">
        <w:rPr>
          <w:rFonts w:ascii="Times New Roman" w:hAnsi="Times New Roman" w:cs="Times New Roman"/>
        </w:rPr>
        <w:t xml:space="preserve">In exercising its discretion, the court has regard to the considerations suggested by   CORBETT JA in </w:t>
      </w:r>
      <w:r w:rsidR="007E3E06" w:rsidRPr="00AE5C3A">
        <w:rPr>
          <w:rFonts w:ascii="Times New Roman" w:hAnsi="Times New Roman" w:cs="Times New Roman"/>
          <w:i/>
        </w:rPr>
        <w:t>South Cape Corporations (Pty) Ltd</w:t>
      </w:r>
      <w:r w:rsidR="007E3E06" w:rsidRPr="00AE5C3A">
        <w:rPr>
          <w:rFonts w:ascii="Times New Roman" w:hAnsi="Times New Roman" w:cs="Times New Roman"/>
        </w:rPr>
        <w:t xml:space="preserve"> v </w:t>
      </w:r>
      <w:r w:rsidR="007E3E06" w:rsidRPr="00AE5C3A">
        <w:rPr>
          <w:rFonts w:ascii="Times New Roman" w:hAnsi="Times New Roman" w:cs="Times New Roman"/>
          <w:i/>
        </w:rPr>
        <w:t>Engineering Management Services (Pty) Ltd</w:t>
      </w:r>
      <w:r w:rsidR="007E3E06" w:rsidRPr="00AE5C3A">
        <w:rPr>
          <w:rFonts w:ascii="Times New Roman" w:hAnsi="Times New Roman" w:cs="Times New Roman"/>
        </w:rPr>
        <w:t xml:space="preserve"> 1977 (3) SA 534 (A) at 545.</w:t>
      </w:r>
    </w:p>
    <w:p w:rsidR="007E3E06" w:rsidRPr="00AE5C3A" w:rsidRDefault="00C94650" w:rsidP="00AE5C3A">
      <w:pPr>
        <w:spacing w:after="0" w:line="240" w:lineRule="auto"/>
        <w:ind w:firstLine="720"/>
        <w:jc w:val="both"/>
        <w:rPr>
          <w:rFonts w:ascii="Times New Roman" w:hAnsi="Times New Roman" w:cs="Times New Roman"/>
        </w:rPr>
      </w:pPr>
      <w:r w:rsidRPr="00AE5C3A">
        <w:rPr>
          <w:rFonts w:ascii="Times New Roman" w:hAnsi="Times New Roman" w:cs="Times New Roman"/>
        </w:rPr>
        <w:t xml:space="preserve">5.  </w:t>
      </w:r>
      <w:r w:rsidR="007E3E06" w:rsidRPr="00AE5C3A">
        <w:rPr>
          <w:rFonts w:ascii="Times New Roman" w:hAnsi="Times New Roman" w:cs="Times New Roman"/>
        </w:rPr>
        <w:t xml:space="preserve">Where the judgment sounds in money and the successful party offers security </w:t>
      </w:r>
      <w:r w:rsidR="007E3E06" w:rsidRPr="00AE5C3A">
        <w:rPr>
          <w:rFonts w:ascii="Times New Roman" w:hAnsi="Times New Roman" w:cs="Times New Roman"/>
          <w:i/>
        </w:rPr>
        <w:t xml:space="preserve">de </w:t>
      </w:r>
    </w:p>
    <w:p w:rsidR="007E3E06" w:rsidRPr="00AE5C3A" w:rsidRDefault="007E3E06" w:rsidP="00AE5C3A">
      <w:pPr>
        <w:spacing w:after="0" w:line="240" w:lineRule="auto"/>
        <w:ind w:left="720"/>
        <w:jc w:val="both"/>
        <w:rPr>
          <w:rFonts w:ascii="Times New Roman" w:hAnsi="Times New Roman" w:cs="Times New Roman"/>
        </w:rPr>
      </w:pPr>
      <w:r w:rsidRPr="00AE5C3A">
        <w:rPr>
          <w:rFonts w:ascii="Times New Roman" w:hAnsi="Times New Roman" w:cs="Times New Roman"/>
          <w:i/>
        </w:rPr>
        <w:t>restituendo</w:t>
      </w:r>
      <w:r w:rsidRPr="00AE5C3A">
        <w:rPr>
          <w:rFonts w:ascii="Times New Roman" w:hAnsi="Times New Roman" w:cs="Times New Roman"/>
        </w:rPr>
        <w:t xml:space="preserve"> and the appellant has no prospects of success on appeal, the court may exercise its discretion against the appellant’s absolute right to appeal.</w:t>
      </w:r>
    </w:p>
    <w:p w:rsidR="007E3E06" w:rsidRPr="00AE5C3A" w:rsidRDefault="007E3E06" w:rsidP="00AE5C3A">
      <w:pPr>
        <w:spacing w:after="0" w:line="240" w:lineRule="auto"/>
        <w:ind w:firstLine="720"/>
        <w:jc w:val="both"/>
        <w:rPr>
          <w:rFonts w:ascii="Times New Roman" w:hAnsi="Times New Roman" w:cs="Times New Roman"/>
        </w:rPr>
      </w:pPr>
      <w:r w:rsidRPr="00AE5C3A">
        <w:rPr>
          <w:rFonts w:ascii="Times New Roman" w:hAnsi="Times New Roman" w:cs="Times New Roman"/>
        </w:rPr>
        <w:t xml:space="preserve">6. </w:t>
      </w:r>
      <w:r w:rsidR="00C94650" w:rsidRPr="00AE5C3A">
        <w:rPr>
          <w:rFonts w:ascii="Times New Roman" w:hAnsi="Times New Roman" w:cs="Times New Roman"/>
        </w:rPr>
        <w:t xml:space="preserve"> </w:t>
      </w:r>
      <w:r w:rsidRPr="00AE5C3A">
        <w:rPr>
          <w:rFonts w:ascii="Times New Roman" w:hAnsi="Times New Roman" w:cs="Times New Roman"/>
        </w:rPr>
        <w:t xml:space="preserve">An application for leave to execute pending appeal cannot be determined solely </w:t>
      </w:r>
    </w:p>
    <w:p w:rsidR="004D305B" w:rsidRPr="00BC6047" w:rsidRDefault="007E3E06" w:rsidP="00AE5C3A">
      <w:pPr>
        <w:spacing w:after="0" w:line="240" w:lineRule="auto"/>
        <w:ind w:left="720"/>
        <w:jc w:val="both"/>
        <w:rPr>
          <w:rFonts w:ascii="Times New Roman" w:hAnsi="Times New Roman" w:cs="Times New Roman"/>
          <w:sz w:val="24"/>
          <w:szCs w:val="24"/>
        </w:rPr>
      </w:pPr>
      <w:r w:rsidRPr="00AE5C3A">
        <w:rPr>
          <w:rFonts w:ascii="Times New Roman" w:hAnsi="Times New Roman" w:cs="Times New Roman"/>
        </w:rPr>
        <w:t xml:space="preserve">on the basis that the appellant has no prospects of success on appeal, especially where the whole object of the appeal is defeated if execution were to proceed (see </w:t>
      </w:r>
      <w:r w:rsidRPr="00AE5C3A">
        <w:rPr>
          <w:rFonts w:ascii="Times New Roman" w:hAnsi="Times New Roman" w:cs="Times New Roman"/>
          <w:i/>
        </w:rPr>
        <w:t>Woodnov Edwards and Another</w:t>
      </w:r>
      <w:r w:rsidRPr="00AE5C3A">
        <w:rPr>
          <w:rFonts w:ascii="Times New Roman" w:hAnsi="Times New Roman" w:cs="Times New Roman"/>
        </w:rPr>
        <w:t xml:space="preserve"> 1966 RLR 335.”</w:t>
      </w:r>
      <w:r w:rsidRPr="00BC6047">
        <w:rPr>
          <w:rFonts w:ascii="Times New Roman" w:hAnsi="Times New Roman" w:cs="Times New Roman"/>
          <w:sz w:val="24"/>
          <w:szCs w:val="24"/>
        </w:rPr>
        <w:tab/>
      </w:r>
    </w:p>
    <w:p w:rsidR="008163FC" w:rsidRPr="00BC6047" w:rsidRDefault="008163FC" w:rsidP="00534B91">
      <w:pPr>
        <w:spacing w:after="0" w:line="360" w:lineRule="auto"/>
        <w:jc w:val="both"/>
        <w:rPr>
          <w:rFonts w:ascii="Times New Roman" w:hAnsi="Times New Roman" w:cs="Times New Roman"/>
        </w:rPr>
      </w:pPr>
    </w:p>
    <w:p w:rsidR="009876C2" w:rsidRPr="00AE5C3A" w:rsidRDefault="00A67CE8" w:rsidP="00AE5C3A">
      <w:pPr>
        <w:spacing w:after="0" w:line="360" w:lineRule="auto"/>
        <w:ind w:firstLine="720"/>
        <w:jc w:val="both"/>
        <w:rPr>
          <w:rFonts w:ascii="Times New Roman" w:hAnsi="Times New Roman" w:cs="Times New Roman"/>
          <w:sz w:val="24"/>
          <w:szCs w:val="24"/>
        </w:rPr>
      </w:pPr>
      <w:r w:rsidRPr="00AE5C3A">
        <w:rPr>
          <w:rFonts w:ascii="Times New Roman" w:hAnsi="Times New Roman" w:cs="Times New Roman"/>
          <w:sz w:val="24"/>
          <w:szCs w:val="24"/>
        </w:rPr>
        <w:t xml:space="preserve"> It is the Applicants’ case </w:t>
      </w:r>
      <w:r w:rsidR="00274ECF" w:rsidRPr="00AE5C3A">
        <w:rPr>
          <w:rFonts w:ascii="Times New Roman" w:hAnsi="Times New Roman" w:cs="Times New Roman"/>
          <w:sz w:val="24"/>
          <w:szCs w:val="24"/>
        </w:rPr>
        <w:t xml:space="preserve">that an interest rate of 43 per cent per month including </w:t>
      </w:r>
      <w:r w:rsidR="00663C2B" w:rsidRPr="00AE5C3A">
        <w:rPr>
          <w:rFonts w:ascii="Times New Roman" w:hAnsi="Times New Roman" w:cs="Times New Roman"/>
          <w:sz w:val="24"/>
          <w:szCs w:val="24"/>
        </w:rPr>
        <w:t>penalty for default is usurious. Consequently</w:t>
      </w:r>
      <w:r w:rsidR="00BC6047" w:rsidRPr="00AE5C3A">
        <w:rPr>
          <w:rFonts w:ascii="Times New Roman" w:hAnsi="Times New Roman" w:cs="Times New Roman"/>
          <w:sz w:val="24"/>
          <w:szCs w:val="24"/>
        </w:rPr>
        <w:t>, Mr</w:t>
      </w:r>
      <w:r w:rsidR="00663C2B" w:rsidRPr="00AE5C3A">
        <w:rPr>
          <w:rFonts w:ascii="Times New Roman" w:hAnsi="Times New Roman" w:cs="Times New Roman"/>
          <w:sz w:val="24"/>
          <w:szCs w:val="24"/>
        </w:rPr>
        <w:t xml:space="preserve">. </w:t>
      </w:r>
      <w:r w:rsidR="00663C2B" w:rsidRPr="00954F99">
        <w:rPr>
          <w:rFonts w:ascii="Times New Roman" w:hAnsi="Times New Roman" w:cs="Times New Roman"/>
          <w:i/>
          <w:sz w:val="24"/>
          <w:szCs w:val="24"/>
        </w:rPr>
        <w:t>Hove</w:t>
      </w:r>
      <w:r w:rsidR="00663C2B" w:rsidRPr="00AE5C3A">
        <w:rPr>
          <w:rFonts w:ascii="Times New Roman" w:hAnsi="Times New Roman" w:cs="Times New Roman"/>
          <w:sz w:val="24"/>
          <w:szCs w:val="24"/>
        </w:rPr>
        <w:t xml:space="preserve"> submitted that the deed of settlement ceases to be valid</w:t>
      </w:r>
      <w:r w:rsidR="00B35B94" w:rsidRPr="00AE5C3A">
        <w:rPr>
          <w:rFonts w:ascii="Times New Roman" w:hAnsi="Times New Roman" w:cs="Times New Roman"/>
          <w:sz w:val="24"/>
          <w:szCs w:val="24"/>
        </w:rPr>
        <w:t xml:space="preserve"> as a result of </w:t>
      </w:r>
      <w:r w:rsidR="00BC6047" w:rsidRPr="00AE5C3A">
        <w:rPr>
          <w:rFonts w:ascii="Times New Roman" w:hAnsi="Times New Roman" w:cs="Times New Roman"/>
          <w:sz w:val="24"/>
          <w:szCs w:val="24"/>
        </w:rPr>
        <w:t>such usurious</w:t>
      </w:r>
      <w:r w:rsidR="00B35B94" w:rsidRPr="00AE5C3A">
        <w:rPr>
          <w:rFonts w:ascii="Times New Roman" w:hAnsi="Times New Roman" w:cs="Times New Roman"/>
          <w:sz w:val="24"/>
          <w:szCs w:val="24"/>
        </w:rPr>
        <w:t xml:space="preserve"> interest rate</w:t>
      </w:r>
      <w:r w:rsidR="00663C2B" w:rsidRPr="00AE5C3A">
        <w:rPr>
          <w:rFonts w:ascii="Times New Roman" w:hAnsi="Times New Roman" w:cs="Times New Roman"/>
          <w:sz w:val="24"/>
          <w:szCs w:val="24"/>
        </w:rPr>
        <w:t xml:space="preserve">.  </w:t>
      </w:r>
      <w:r w:rsidR="008B00AB" w:rsidRPr="00AE5C3A">
        <w:rPr>
          <w:rFonts w:ascii="Times New Roman" w:hAnsi="Times New Roman" w:cs="Times New Roman"/>
          <w:sz w:val="24"/>
          <w:szCs w:val="24"/>
        </w:rPr>
        <w:t xml:space="preserve"> The </w:t>
      </w:r>
      <w:r w:rsidR="00AE5C3A">
        <w:rPr>
          <w:rFonts w:ascii="Times New Roman" w:hAnsi="Times New Roman" w:cs="Times New Roman"/>
          <w:sz w:val="24"/>
          <w:szCs w:val="24"/>
        </w:rPr>
        <w:t>first</w:t>
      </w:r>
      <w:r w:rsidR="008B00AB" w:rsidRPr="00AE5C3A">
        <w:rPr>
          <w:rFonts w:ascii="Times New Roman" w:hAnsi="Times New Roman" w:cs="Times New Roman"/>
          <w:sz w:val="24"/>
          <w:szCs w:val="24"/>
        </w:rPr>
        <w:t xml:space="preserve"> Respondent</w:t>
      </w:r>
      <w:r w:rsidR="0091638A" w:rsidRPr="00AE5C3A">
        <w:rPr>
          <w:rFonts w:ascii="Times New Roman" w:hAnsi="Times New Roman" w:cs="Times New Roman"/>
          <w:sz w:val="24"/>
          <w:szCs w:val="24"/>
        </w:rPr>
        <w:t xml:space="preserve"> is of the view that the Applicants signed a deed of settlement wherein they undertook to repay </w:t>
      </w:r>
      <w:r w:rsidR="00EB136D" w:rsidRPr="00AE5C3A">
        <w:rPr>
          <w:rFonts w:ascii="Times New Roman" w:hAnsi="Times New Roman" w:cs="Times New Roman"/>
          <w:sz w:val="24"/>
          <w:szCs w:val="24"/>
        </w:rPr>
        <w:t xml:space="preserve">the loan upon </w:t>
      </w:r>
      <w:r w:rsidR="00594A93" w:rsidRPr="00AE5C3A">
        <w:rPr>
          <w:rFonts w:ascii="Times New Roman" w:hAnsi="Times New Roman" w:cs="Times New Roman"/>
          <w:sz w:val="24"/>
          <w:szCs w:val="24"/>
        </w:rPr>
        <w:t xml:space="preserve">such rate. It is also the </w:t>
      </w:r>
      <w:r w:rsidR="00AE5C3A">
        <w:rPr>
          <w:rFonts w:ascii="Times New Roman" w:hAnsi="Times New Roman" w:cs="Times New Roman"/>
          <w:sz w:val="24"/>
          <w:szCs w:val="24"/>
        </w:rPr>
        <w:t>first</w:t>
      </w:r>
      <w:r w:rsidR="00AE5C3A" w:rsidRPr="00AE5C3A">
        <w:rPr>
          <w:rFonts w:ascii="Times New Roman" w:hAnsi="Times New Roman" w:cs="Times New Roman"/>
          <w:sz w:val="24"/>
          <w:szCs w:val="24"/>
        </w:rPr>
        <w:t xml:space="preserve"> </w:t>
      </w:r>
      <w:r w:rsidR="00594A93" w:rsidRPr="00AE5C3A">
        <w:rPr>
          <w:rFonts w:ascii="Times New Roman" w:hAnsi="Times New Roman" w:cs="Times New Roman"/>
          <w:sz w:val="24"/>
          <w:szCs w:val="24"/>
        </w:rPr>
        <w:t>Respondent’s view that the interest rate is not excessive.</w:t>
      </w:r>
      <w:r w:rsidR="00051DFC" w:rsidRPr="00AE5C3A">
        <w:rPr>
          <w:rFonts w:ascii="Times New Roman" w:hAnsi="Times New Roman" w:cs="Times New Roman"/>
          <w:sz w:val="24"/>
          <w:szCs w:val="24"/>
        </w:rPr>
        <w:t xml:space="preserve"> Mr. </w:t>
      </w:r>
      <w:r w:rsidR="00051DFC" w:rsidRPr="00A93DFF">
        <w:rPr>
          <w:rFonts w:ascii="Times New Roman" w:hAnsi="Times New Roman" w:cs="Times New Roman"/>
          <w:i/>
          <w:sz w:val="24"/>
          <w:szCs w:val="24"/>
        </w:rPr>
        <w:t xml:space="preserve">Nyamakura </w:t>
      </w:r>
      <w:r w:rsidR="00816E9A" w:rsidRPr="00AE5C3A">
        <w:rPr>
          <w:rFonts w:ascii="Times New Roman" w:hAnsi="Times New Roman" w:cs="Times New Roman"/>
          <w:sz w:val="24"/>
          <w:szCs w:val="24"/>
        </w:rPr>
        <w:t xml:space="preserve">further submitted </w:t>
      </w:r>
      <w:r w:rsidR="00B35B94" w:rsidRPr="00AE5C3A">
        <w:rPr>
          <w:rFonts w:ascii="Times New Roman" w:hAnsi="Times New Roman" w:cs="Times New Roman"/>
          <w:sz w:val="24"/>
          <w:szCs w:val="24"/>
        </w:rPr>
        <w:t xml:space="preserve">that </w:t>
      </w:r>
      <w:r w:rsidR="00994650" w:rsidRPr="00AE5C3A">
        <w:rPr>
          <w:rFonts w:ascii="Times New Roman" w:hAnsi="Times New Roman" w:cs="Times New Roman"/>
          <w:sz w:val="24"/>
          <w:szCs w:val="24"/>
        </w:rPr>
        <w:t>the interest rate is subject to common law.</w:t>
      </w:r>
      <w:r w:rsidR="00CD1BAF" w:rsidRPr="00AE5C3A">
        <w:rPr>
          <w:rFonts w:ascii="Times New Roman" w:hAnsi="Times New Roman" w:cs="Times New Roman"/>
          <w:sz w:val="24"/>
          <w:szCs w:val="24"/>
        </w:rPr>
        <w:t xml:space="preserve"> Both counsel referred </w:t>
      </w:r>
      <w:r w:rsidR="00EB136D" w:rsidRPr="00AE5C3A">
        <w:rPr>
          <w:rFonts w:ascii="Times New Roman" w:hAnsi="Times New Roman" w:cs="Times New Roman"/>
          <w:sz w:val="24"/>
          <w:szCs w:val="24"/>
        </w:rPr>
        <w:t xml:space="preserve">me </w:t>
      </w:r>
      <w:r w:rsidR="00CD1BAF" w:rsidRPr="00AE5C3A">
        <w:rPr>
          <w:rFonts w:ascii="Times New Roman" w:hAnsi="Times New Roman" w:cs="Times New Roman"/>
          <w:sz w:val="24"/>
          <w:szCs w:val="24"/>
        </w:rPr>
        <w:t xml:space="preserve">to the case of </w:t>
      </w:r>
      <w:r w:rsidR="005929C2" w:rsidRPr="00954F99">
        <w:rPr>
          <w:rFonts w:ascii="Times New Roman" w:hAnsi="Times New Roman" w:cs="Times New Roman"/>
          <w:i/>
          <w:sz w:val="24"/>
          <w:szCs w:val="24"/>
        </w:rPr>
        <w:t xml:space="preserve">ZB Bank </w:t>
      </w:r>
      <w:r w:rsidR="00051DFC" w:rsidRPr="00954F99">
        <w:rPr>
          <w:rFonts w:ascii="Times New Roman" w:hAnsi="Times New Roman" w:cs="Times New Roman"/>
          <w:i/>
          <w:sz w:val="24"/>
          <w:szCs w:val="24"/>
        </w:rPr>
        <w:t>Limited</w:t>
      </w:r>
      <w:r w:rsidR="00051DFC" w:rsidRPr="00AE5C3A">
        <w:rPr>
          <w:rFonts w:ascii="Times New Roman" w:hAnsi="Times New Roman" w:cs="Times New Roman"/>
          <w:sz w:val="24"/>
          <w:szCs w:val="24"/>
        </w:rPr>
        <w:t xml:space="preserve"> </w:t>
      </w:r>
      <w:r w:rsidR="005929C2" w:rsidRPr="00AE5C3A">
        <w:rPr>
          <w:rFonts w:ascii="Times New Roman" w:hAnsi="Times New Roman" w:cs="Times New Roman"/>
          <w:sz w:val="24"/>
          <w:szCs w:val="24"/>
        </w:rPr>
        <w:t xml:space="preserve">v </w:t>
      </w:r>
      <w:r w:rsidR="005929C2" w:rsidRPr="00954F99">
        <w:rPr>
          <w:rFonts w:ascii="Times New Roman" w:hAnsi="Times New Roman" w:cs="Times New Roman"/>
          <w:i/>
          <w:sz w:val="24"/>
          <w:szCs w:val="24"/>
        </w:rPr>
        <w:t xml:space="preserve">Eric Rosen </w:t>
      </w:r>
      <w:r w:rsidR="00051DFC" w:rsidRPr="00954F99">
        <w:rPr>
          <w:rFonts w:ascii="Times New Roman" w:hAnsi="Times New Roman" w:cs="Times New Roman"/>
          <w:i/>
          <w:sz w:val="24"/>
          <w:szCs w:val="24"/>
        </w:rPr>
        <w:t>(Pvt) Ltd</w:t>
      </w:r>
      <w:r w:rsidR="00994650" w:rsidRPr="00954F99">
        <w:rPr>
          <w:rFonts w:ascii="Times New Roman" w:hAnsi="Times New Roman" w:cs="Times New Roman"/>
          <w:i/>
          <w:sz w:val="24"/>
          <w:szCs w:val="24"/>
        </w:rPr>
        <w:t xml:space="preserve"> and Others</w:t>
      </w:r>
      <w:r w:rsidR="00051DFC" w:rsidRPr="00AE5C3A">
        <w:rPr>
          <w:rStyle w:val="FootnoteReference"/>
          <w:rFonts w:ascii="Times New Roman" w:hAnsi="Times New Roman" w:cs="Times New Roman"/>
          <w:sz w:val="24"/>
          <w:szCs w:val="24"/>
        </w:rPr>
        <w:footnoteReference w:id="6"/>
      </w:r>
      <w:r w:rsidR="009876C2" w:rsidRPr="00AE5C3A">
        <w:rPr>
          <w:rFonts w:ascii="Times New Roman" w:hAnsi="Times New Roman" w:cs="Times New Roman"/>
          <w:sz w:val="24"/>
          <w:szCs w:val="24"/>
        </w:rPr>
        <w:t>.</w:t>
      </w:r>
    </w:p>
    <w:p w:rsidR="00994650" w:rsidRPr="00BC6047" w:rsidRDefault="00994650"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 xml:space="preserve">According to the case of </w:t>
      </w:r>
      <w:r w:rsidRPr="00954F99">
        <w:rPr>
          <w:rFonts w:ascii="Times New Roman" w:hAnsi="Times New Roman" w:cs="Times New Roman"/>
          <w:i/>
          <w:sz w:val="24"/>
          <w:szCs w:val="24"/>
        </w:rPr>
        <w:t>ZB Bank Limited</w:t>
      </w:r>
      <w:r w:rsidRPr="00BC6047">
        <w:rPr>
          <w:rFonts w:ascii="Times New Roman" w:hAnsi="Times New Roman" w:cs="Times New Roman"/>
          <w:sz w:val="24"/>
          <w:szCs w:val="24"/>
        </w:rPr>
        <w:t xml:space="preserve"> v </w:t>
      </w:r>
      <w:r w:rsidRPr="00954F99">
        <w:rPr>
          <w:rFonts w:ascii="Times New Roman" w:hAnsi="Times New Roman" w:cs="Times New Roman"/>
          <w:i/>
          <w:sz w:val="24"/>
          <w:szCs w:val="24"/>
        </w:rPr>
        <w:t>Eric Rosen (Pvt) Ltd and Others</w:t>
      </w:r>
      <w:r w:rsidRPr="00BC6047">
        <w:rPr>
          <w:rFonts w:ascii="Times New Roman" w:hAnsi="Times New Roman" w:cs="Times New Roman"/>
          <w:sz w:val="24"/>
          <w:szCs w:val="24"/>
        </w:rPr>
        <w:t xml:space="preserve"> (supra), </w:t>
      </w:r>
      <w:r w:rsidRPr="00954F99">
        <w:rPr>
          <w:rFonts w:ascii="Times New Roman" w:hAnsi="Times New Roman" w:cs="Times New Roman"/>
          <w:smallCaps/>
          <w:sz w:val="24"/>
          <w:szCs w:val="24"/>
        </w:rPr>
        <w:t>Mafusire J</w:t>
      </w:r>
      <w:r w:rsidRPr="00BC6047">
        <w:rPr>
          <w:rFonts w:ascii="Times New Roman" w:hAnsi="Times New Roman" w:cs="Times New Roman"/>
          <w:sz w:val="24"/>
          <w:szCs w:val="24"/>
        </w:rPr>
        <w:t>. commented as follows:</w:t>
      </w:r>
    </w:p>
    <w:p w:rsidR="00994650" w:rsidRPr="00BC6047" w:rsidRDefault="00994650" w:rsidP="00534B91">
      <w:pPr>
        <w:spacing w:after="0" w:line="360" w:lineRule="auto"/>
        <w:jc w:val="both"/>
        <w:rPr>
          <w:rFonts w:ascii="Times New Roman" w:hAnsi="Times New Roman" w:cs="Times New Roman"/>
          <w:sz w:val="24"/>
          <w:szCs w:val="24"/>
        </w:rPr>
      </w:pPr>
    </w:p>
    <w:p w:rsidR="00994650" w:rsidRPr="00AE5C3A" w:rsidRDefault="0058269B" w:rsidP="00AE5C3A">
      <w:pPr>
        <w:spacing w:after="0" w:line="240" w:lineRule="auto"/>
        <w:ind w:left="720"/>
        <w:jc w:val="both"/>
        <w:rPr>
          <w:rFonts w:ascii="Times New Roman" w:hAnsi="Times New Roman" w:cs="Times New Roman"/>
        </w:rPr>
      </w:pPr>
      <w:r w:rsidRPr="00AE5C3A">
        <w:rPr>
          <w:rFonts w:ascii="Times New Roman" w:hAnsi="Times New Roman" w:cs="Times New Roman"/>
        </w:rPr>
        <w:t>“</w:t>
      </w:r>
      <w:r w:rsidR="009876C2" w:rsidRPr="00AE5C3A">
        <w:rPr>
          <w:rFonts w:ascii="Times New Roman" w:hAnsi="Times New Roman" w:cs="Times New Roman"/>
        </w:rPr>
        <w:t>My view of this case is that a rate of interest of 50% per annum, albeit designed as a penalty for default, is, on the face of it, too high, given that the dominant functional currency in the economy is the United States dollar. On the face of it, such a rate induces a sense of shock. It stifles economic growth.</w:t>
      </w:r>
      <w:r w:rsidRPr="00AE5C3A">
        <w:rPr>
          <w:rFonts w:ascii="Times New Roman" w:hAnsi="Times New Roman" w:cs="Times New Roman"/>
        </w:rPr>
        <w:t>”</w:t>
      </w:r>
    </w:p>
    <w:p w:rsidR="00994650" w:rsidRPr="00BC6047" w:rsidRDefault="00994650" w:rsidP="00534B91">
      <w:pPr>
        <w:spacing w:after="0" w:line="360" w:lineRule="auto"/>
        <w:jc w:val="both"/>
        <w:rPr>
          <w:rFonts w:ascii="Times New Roman" w:hAnsi="Times New Roman" w:cs="Times New Roman"/>
          <w:sz w:val="24"/>
          <w:szCs w:val="24"/>
        </w:rPr>
      </w:pPr>
    </w:p>
    <w:p w:rsidR="00392DC7" w:rsidRPr="00BC6047" w:rsidRDefault="001A1CE2"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Thus,</w:t>
      </w:r>
      <w:r w:rsidR="004D305B" w:rsidRPr="00BC6047">
        <w:rPr>
          <w:rFonts w:ascii="Times New Roman" w:hAnsi="Times New Roman" w:cs="Times New Roman"/>
          <w:sz w:val="24"/>
          <w:szCs w:val="24"/>
        </w:rPr>
        <w:t xml:space="preserve"> </w:t>
      </w:r>
      <w:r w:rsidR="00147113" w:rsidRPr="00BC6047">
        <w:rPr>
          <w:rFonts w:ascii="Times New Roman" w:hAnsi="Times New Roman" w:cs="Times New Roman"/>
          <w:sz w:val="24"/>
          <w:szCs w:val="24"/>
        </w:rPr>
        <w:t>in light of the case</w:t>
      </w:r>
      <w:r w:rsidR="007771FD" w:rsidRPr="00BC6047">
        <w:rPr>
          <w:rFonts w:ascii="Times New Roman" w:hAnsi="Times New Roman" w:cs="Times New Roman"/>
          <w:sz w:val="24"/>
          <w:szCs w:val="24"/>
        </w:rPr>
        <w:t xml:space="preserve"> of </w:t>
      </w:r>
      <w:r w:rsidR="00BC6047" w:rsidRPr="00AE5C3A">
        <w:rPr>
          <w:rFonts w:ascii="Times New Roman" w:hAnsi="Times New Roman" w:cs="Times New Roman"/>
          <w:i/>
          <w:sz w:val="24"/>
          <w:szCs w:val="24"/>
        </w:rPr>
        <w:t>ZB Bank</w:t>
      </w:r>
      <w:r w:rsidR="007771FD" w:rsidRPr="00AE5C3A">
        <w:rPr>
          <w:rFonts w:ascii="Times New Roman" w:hAnsi="Times New Roman" w:cs="Times New Roman"/>
          <w:i/>
          <w:sz w:val="24"/>
          <w:szCs w:val="24"/>
        </w:rPr>
        <w:t xml:space="preserve"> Limited</w:t>
      </w:r>
      <w:r w:rsidR="007771FD" w:rsidRPr="00BC6047">
        <w:rPr>
          <w:rFonts w:ascii="Times New Roman" w:hAnsi="Times New Roman" w:cs="Times New Roman"/>
          <w:sz w:val="24"/>
          <w:szCs w:val="24"/>
        </w:rPr>
        <w:t xml:space="preserve"> v </w:t>
      </w:r>
      <w:r w:rsidR="007771FD" w:rsidRPr="00AE5C3A">
        <w:rPr>
          <w:rFonts w:ascii="Times New Roman" w:hAnsi="Times New Roman" w:cs="Times New Roman"/>
          <w:i/>
          <w:sz w:val="24"/>
          <w:szCs w:val="24"/>
        </w:rPr>
        <w:t>Eric Rosen (Pvt</w:t>
      </w:r>
      <w:r w:rsidR="00BC6047" w:rsidRPr="00AE5C3A">
        <w:rPr>
          <w:rFonts w:ascii="Times New Roman" w:hAnsi="Times New Roman" w:cs="Times New Roman"/>
          <w:i/>
          <w:sz w:val="24"/>
          <w:szCs w:val="24"/>
        </w:rPr>
        <w:t>) Ltd</w:t>
      </w:r>
      <w:r w:rsidR="007771FD" w:rsidRPr="00BC6047">
        <w:rPr>
          <w:rFonts w:ascii="Times New Roman" w:hAnsi="Times New Roman" w:cs="Times New Roman"/>
          <w:sz w:val="24"/>
          <w:szCs w:val="24"/>
        </w:rPr>
        <w:t xml:space="preserve"> (</w:t>
      </w:r>
      <w:r w:rsidR="007771FD" w:rsidRPr="00AE5C3A">
        <w:rPr>
          <w:rFonts w:ascii="Times New Roman" w:hAnsi="Times New Roman" w:cs="Times New Roman"/>
          <w:i/>
          <w:sz w:val="24"/>
          <w:szCs w:val="24"/>
        </w:rPr>
        <w:t>supra</w:t>
      </w:r>
      <w:r w:rsidR="007771FD" w:rsidRPr="00BC6047">
        <w:rPr>
          <w:rFonts w:ascii="Times New Roman" w:hAnsi="Times New Roman" w:cs="Times New Roman"/>
          <w:sz w:val="24"/>
          <w:szCs w:val="24"/>
        </w:rPr>
        <w:t>),</w:t>
      </w:r>
      <w:r w:rsidR="00066B2A" w:rsidRPr="00BC6047">
        <w:rPr>
          <w:rFonts w:ascii="Times New Roman" w:hAnsi="Times New Roman" w:cs="Times New Roman"/>
          <w:sz w:val="24"/>
          <w:szCs w:val="24"/>
        </w:rPr>
        <w:t xml:space="preserve"> I am of the view that the </w:t>
      </w:r>
      <w:r w:rsidR="000E74CA" w:rsidRPr="00BC6047">
        <w:rPr>
          <w:rFonts w:ascii="Times New Roman" w:hAnsi="Times New Roman" w:cs="Times New Roman"/>
          <w:sz w:val="24"/>
          <w:szCs w:val="24"/>
        </w:rPr>
        <w:t xml:space="preserve">Applicants do have a case which </w:t>
      </w:r>
      <w:r w:rsidR="000004D5" w:rsidRPr="00BC6047">
        <w:rPr>
          <w:rFonts w:ascii="Times New Roman" w:hAnsi="Times New Roman" w:cs="Times New Roman"/>
          <w:sz w:val="24"/>
          <w:szCs w:val="24"/>
        </w:rPr>
        <w:t xml:space="preserve">is </w:t>
      </w:r>
      <w:r w:rsidR="000E74CA" w:rsidRPr="00BC6047">
        <w:rPr>
          <w:rFonts w:ascii="Times New Roman" w:hAnsi="Times New Roman" w:cs="Times New Roman"/>
          <w:sz w:val="24"/>
          <w:szCs w:val="24"/>
        </w:rPr>
        <w:t>reasonably arguable.</w:t>
      </w:r>
      <w:r w:rsidR="00087E98" w:rsidRPr="00BC6047">
        <w:rPr>
          <w:rFonts w:ascii="Times New Roman" w:hAnsi="Times New Roman" w:cs="Times New Roman"/>
          <w:sz w:val="24"/>
          <w:szCs w:val="24"/>
        </w:rPr>
        <w:t xml:space="preserve"> </w:t>
      </w:r>
      <w:r w:rsidR="00DB47E0" w:rsidRPr="00BC6047">
        <w:rPr>
          <w:rFonts w:ascii="Times New Roman" w:hAnsi="Times New Roman" w:cs="Times New Roman"/>
          <w:sz w:val="24"/>
          <w:szCs w:val="24"/>
        </w:rPr>
        <w:t>They should be allowed to have their day in court and defend themselves against the interest rate which is in dispute.</w:t>
      </w:r>
    </w:p>
    <w:p w:rsidR="00392DC7" w:rsidRPr="00BC6047" w:rsidRDefault="00B35B94"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A</w:t>
      </w:r>
      <w:r w:rsidR="00B00EF3" w:rsidRPr="00BC6047">
        <w:rPr>
          <w:rFonts w:ascii="Times New Roman" w:hAnsi="Times New Roman" w:cs="Times New Roman"/>
          <w:sz w:val="24"/>
          <w:szCs w:val="24"/>
        </w:rPr>
        <w:t>s I have highlighted before, the requirements of the present application are similar to those of application for stay of execution of judgment pending appeal.</w:t>
      </w:r>
      <w:r w:rsidR="006A76AA" w:rsidRPr="00BC6047">
        <w:rPr>
          <w:rFonts w:ascii="Times New Roman" w:hAnsi="Times New Roman" w:cs="Times New Roman"/>
          <w:sz w:val="24"/>
          <w:szCs w:val="24"/>
        </w:rPr>
        <w:t xml:space="preserve"> Thus, it is important to </w:t>
      </w:r>
      <w:r w:rsidR="00BC6047" w:rsidRPr="00BC6047">
        <w:rPr>
          <w:rFonts w:ascii="Times New Roman" w:hAnsi="Times New Roman" w:cs="Times New Roman"/>
          <w:sz w:val="24"/>
          <w:szCs w:val="24"/>
        </w:rPr>
        <w:t>note other</w:t>
      </w:r>
      <w:r w:rsidR="006A76AA" w:rsidRPr="00BC6047">
        <w:rPr>
          <w:rFonts w:ascii="Times New Roman" w:hAnsi="Times New Roman" w:cs="Times New Roman"/>
          <w:sz w:val="24"/>
          <w:szCs w:val="24"/>
        </w:rPr>
        <w:t xml:space="preserve"> principles for consideration </w:t>
      </w:r>
      <w:r w:rsidR="00BC6047" w:rsidRPr="00BC6047">
        <w:rPr>
          <w:rFonts w:ascii="Times New Roman" w:hAnsi="Times New Roman" w:cs="Times New Roman"/>
          <w:sz w:val="24"/>
          <w:szCs w:val="24"/>
        </w:rPr>
        <w:t>when determining</w:t>
      </w:r>
      <w:r w:rsidR="006A76AA" w:rsidRPr="00BC6047">
        <w:rPr>
          <w:rFonts w:ascii="Times New Roman" w:hAnsi="Times New Roman" w:cs="Times New Roman"/>
          <w:sz w:val="24"/>
          <w:szCs w:val="24"/>
        </w:rPr>
        <w:t xml:space="preserve"> the present application. </w:t>
      </w:r>
      <w:r w:rsidR="00AE2ADF" w:rsidRPr="00BC6047">
        <w:rPr>
          <w:rFonts w:ascii="Times New Roman" w:hAnsi="Times New Roman" w:cs="Times New Roman"/>
          <w:sz w:val="24"/>
          <w:szCs w:val="24"/>
        </w:rPr>
        <w:t xml:space="preserve">Such principles </w:t>
      </w:r>
      <w:r w:rsidR="00BC6047" w:rsidRPr="00BC6047">
        <w:rPr>
          <w:rFonts w:ascii="Times New Roman" w:hAnsi="Times New Roman" w:cs="Times New Roman"/>
          <w:sz w:val="24"/>
          <w:szCs w:val="24"/>
        </w:rPr>
        <w:t>were postulated</w:t>
      </w:r>
      <w:r w:rsidR="00AE2ADF" w:rsidRPr="00BC6047">
        <w:rPr>
          <w:rFonts w:ascii="Times New Roman" w:hAnsi="Times New Roman" w:cs="Times New Roman"/>
          <w:sz w:val="24"/>
          <w:szCs w:val="24"/>
        </w:rPr>
        <w:t xml:space="preserve"> i</w:t>
      </w:r>
      <w:r w:rsidR="00392DC7" w:rsidRPr="00BC6047">
        <w:rPr>
          <w:rFonts w:ascii="Times New Roman" w:hAnsi="Times New Roman" w:cs="Times New Roman"/>
          <w:sz w:val="24"/>
          <w:szCs w:val="24"/>
        </w:rPr>
        <w:t xml:space="preserve">n the case of </w:t>
      </w:r>
      <w:r w:rsidR="00392DC7" w:rsidRPr="00AE5C3A">
        <w:rPr>
          <w:rFonts w:ascii="Times New Roman" w:hAnsi="Times New Roman" w:cs="Times New Roman"/>
          <w:i/>
          <w:sz w:val="24"/>
          <w:szCs w:val="24"/>
        </w:rPr>
        <w:t>South Cape Corporation (Pty) Ltd</w:t>
      </w:r>
      <w:r w:rsidR="00392DC7" w:rsidRPr="00BC6047">
        <w:rPr>
          <w:rFonts w:ascii="Times New Roman" w:hAnsi="Times New Roman" w:cs="Times New Roman"/>
          <w:sz w:val="24"/>
          <w:szCs w:val="24"/>
        </w:rPr>
        <w:t xml:space="preserve"> v </w:t>
      </w:r>
      <w:r w:rsidR="00392DC7" w:rsidRPr="00AE5C3A">
        <w:rPr>
          <w:rFonts w:ascii="Times New Roman" w:hAnsi="Times New Roman" w:cs="Times New Roman"/>
          <w:i/>
          <w:sz w:val="24"/>
          <w:szCs w:val="24"/>
        </w:rPr>
        <w:t>engineering Management Services (Pty) Ltd</w:t>
      </w:r>
      <w:r w:rsidR="00392DC7" w:rsidRPr="00BC6047">
        <w:rPr>
          <w:rStyle w:val="FootnoteReference"/>
          <w:rFonts w:ascii="Times New Roman" w:hAnsi="Times New Roman" w:cs="Times New Roman"/>
          <w:sz w:val="24"/>
          <w:szCs w:val="24"/>
        </w:rPr>
        <w:footnoteReference w:id="7"/>
      </w:r>
      <w:r w:rsidR="00392DC7" w:rsidRPr="00BC6047">
        <w:rPr>
          <w:rFonts w:ascii="Times New Roman" w:hAnsi="Times New Roman" w:cs="Times New Roman"/>
          <w:sz w:val="24"/>
          <w:szCs w:val="24"/>
        </w:rPr>
        <w:t xml:space="preserve">, cited with approval in the case of </w:t>
      </w:r>
      <w:r w:rsidR="00392DC7" w:rsidRPr="00AE5C3A">
        <w:rPr>
          <w:rFonts w:ascii="Times New Roman" w:hAnsi="Times New Roman" w:cs="Times New Roman"/>
          <w:i/>
          <w:sz w:val="24"/>
          <w:szCs w:val="24"/>
        </w:rPr>
        <w:t>Old Mutual Life Assurance (Pvt) Ltd</w:t>
      </w:r>
      <w:r w:rsidR="00392DC7" w:rsidRPr="00BC6047">
        <w:rPr>
          <w:rFonts w:ascii="Times New Roman" w:hAnsi="Times New Roman" w:cs="Times New Roman"/>
          <w:sz w:val="24"/>
          <w:szCs w:val="24"/>
        </w:rPr>
        <w:t xml:space="preserve"> v </w:t>
      </w:r>
      <w:r w:rsidR="00392DC7" w:rsidRPr="00AE5C3A">
        <w:rPr>
          <w:rFonts w:ascii="Times New Roman" w:hAnsi="Times New Roman" w:cs="Times New Roman"/>
          <w:i/>
          <w:sz w:val="24"/>
          <w:szCs w:val="24"/>
        </w:rPr>
        <w:t>Macgatho</w:t>
      </w:r>
      <w:r w:rsidR="00392DC7" w:rsidRPr="00BC6047">
        <w:rPr>
          <w:rFonts w:ascii="Times New Roman" w:hAnsi="Times New Roman" w:cs="Times New Roman"/>
          <w:sz w:val="24"/>
          <w:szCs w:val="24"/>
        </w:rPr>
        <w:t xml:space="preserve"> (</w:t>
      </w:r>
      <w:r w:rsidR="00392DC7" w:rsidRPr="00AE5C3A">
        <w:rPr>
          <w:rFonts w:ascii="Times New Roman" w:hAnsi="Times New Roman" w:cs="Times New Roman"/>
          <w:i/>
          <w:sz w:val="24"/>
          <w:szCs w:val="24"/>
        </w:rPr>
        <w:t>supra</w:t>
      </w:r>
      <w:r w:rsidR="00392DC7" w:rsidRPr="00BC6047">
        <w:rPr>
          <w:rFonts w:ascii="Times New Roman" w:hAnsi="Times New Roman" w:cs="Times New Roman"/>
          <w:sz w:val="24"/>
          <w:szCs w:val="24"/>
        </w:rPr>
        <w:t xml:space="preserve">), </w:t>
      </w:r>
      <w:r w:rsidR="00AE2ADF" w:rsidRPr="00BC6047">
        <w:rPr>
          <w:rFonts w:ascii="Times New Roman" w:hAnsi="Times New Roman" w:cs="Times New Roman"/>
          <w:sz w:val="24"/>
          <w:szCs w:val="24"/>
        </w:rPr>
        <w:t xml:space="preserve">where the </w:t>
      </w:r>
      <w:r w:rsidR="00392DC7" w:rsidRPr="00BC6047">
        <w:rPr>
          <w:rFonts w:ascii="Times New Roman" w:hAnsi="Times New Roman" w:cs="Times New Roman"/>
          <w:sz w:val="24"/>
          <w:szCs w:val="24"/>
        </w:rPr>
        <w:t>court held that:</w:t>
      </w:r>
    </w:p>
    <w:p w:rsidR="00392DC7" w:rsidRPr="00BC6047" w:rsidRDefault="00392DC7" w:rsidP="00534B91">
      <w:pPr>
        <w:pStyle w:val="ListParagraph"/>
        <w:spacing w:after="0" w:line="360" w:lineRule="auto"/>
        <w:ind w:left="1440"/>
        <w:jc w:val="both"/>
        <w:rPr>
          <w:rFonts w:ascii="Times New Roman" w:hAnsi="Times New Roman" w:cs="Times New Roman"/>
          <w:i/>
          <w:sz w:val="24"/>
          <w:szCs w:val="24"/>
        </w:rPr>
      </w:pPr>
    </w:p>
    <w:p w:rsidR="00392DC7" w:rsidRPr="00AE5C3A" w:rsidRDefault="00392DC7" w:rsidP="00AE5C3A">
      <w:pPr>
        <w:spacing w:after="0" w:line="240" w:lineRule="auto"/>
        <w:ind w:left="720"/>
        <w:jc w:val="both"/>
        <w:rPr>
          <w:rFonts w:ascii="Times New Roman" w:hAnsi="Times New Roman" w:cs="Times New Roman"/>
        </w:rPr>
      </w:pPr>
      <w:r w:rsidRPr="00AE5C3A">
        <w:rPr>
          <w:rFonts w:ascii="Times New Roman" w:hAnsi="Times New Roman" w:cs="Times New Roman"/>
        </w:rPr>
        <w:t xml:space="preserve">“In exercising this discretion (to grant leave to execute pending appeal), the court should, in my view, determine what is just and equitable in all the circumstances, and in doing so, would normally have regard, </w:t>
      </w:r>
      <w:r w:rsidRPr="00AE5C3A">
        <w:rPr>
          <w:rFonts w:ascii="Times New Roman" w:hAnsi="Times New Roman" w:cs="Times New Roman"/>
          <w:i/>
        </w:rPr>
        <w:t>inter alia</w:t>
      </w:r>
      <w:r w:rsidRPr="00AE5C3A">
        <w:rPr>
          <w:rFonts w:ascii="Times New Roman" w:hAnsi="Times New Roman" w:cs="Times New Roman"/>
        </w:rPr>
        <w:t>, to the following factors:</w:t>
      </w:r>
    </w:p>
    <w:p w:rsidR="00392DC7" w:rsidRPr="00AE5C3A" w:rsidRDefault="00C94650" w:rsidP="00AE5C3A">
      <w:pPr>
        <w:spacing w:after="0" w:line="240" w:lineRule="auto"/>
        <w:ind w:left="720"/>
        <w:jc w:val="both"/>
        <w:rPr>
          <w:rFonts w:ascii="Times New Roman" w:hAnsi="Times New Roman" w:cs="Times New Roman"/>
        </w:rPr>
      </w:pPr>
      <w:r w:rsidRPr="00AE5C3A">
        <w:rPr>
          <w:rFonts w:ascii="Times New Roman" w:hAnsi="Times New Roman" w:cs="Times New Roman"/>
        </w:rPr>
        <w:t xml:space="preserve">(1) </w:t>
      </w:r>
      <w:r w:rsidR="00BC6047" w:rsidRPr="00AE5C3A">
        <w:rPr>
          <w:rFonts w:ascii="Times New Roman" w:hAnsi="Times New Roman" w:cs="Times New Roman"/>
        </w:rPr>
        <w:t>The</w:t>
      </w:r>
      <w:r w:rsidR="00392DC7" w:rsidRPr="00AE5C3A">
        <w:rPr>
          <w:rFonts w:ascii="Times New Roman" w:hAnsi="Times New Roman" w:cs="Times New Roman"/>
        </w:rPr>
        <w:t xml:space="preserve"> potentiality of irreparable harm or prejudice being sustained by the appellant on appeal (respondent in the application) if leave to execute was were to be granted;</w:t>
      </w:r>
    </w:p>
    <w:p w:rsidR="00392DC7" w:rsidRPr="00AE5C3A" w:rsidRDefault="00C94650" w:rsidP="00AE5C3A">
      <w:pPr>
        <w:spacing w:after="0" w:line="240" w:lineRule="auto"/>
        <w:ind w:left="720"/>
        <w:jc w:val="both"/>
        <w:rPr>
          <w:rFonts w:ascii="Times New Roman" w:hAnsi="Times New Roman" w:cs="Times New Roman"/>
        </w:rPr>
      </w:pPr>
      <w:r w:rsidRPr="00AE5C3A">
        <w:rPr>
          <w:rFonts w:ascii="Times New Roman" w:hAnsi="Times New Roman" w:cs="Times New Roman"/>
        </w:rPr>
        <w:t xml:space="preserve">(2) </w:t>
      </w:r>
      <w:r w:rsidR="00BC6047" w:rsidRPr="00AE5C3A">
        <w:rPr>
          <w:rFonts w:ascii="Times New Roman" w:hAnsi="Times New Roman" w:cs="Times New Roman"/>
        </w:rPr>
        <w:t>The</w:t>
      </w:r>
      <w:r w:rsidR="00392DC7" w:rsidRPr="00AE5C3A">
        <w:rPr>
          <w:rFonts w:ascii="Times New Roman" w:hAnsi="Times New Roman" w:cs="Times New Roman"/>
        </w:rPr>
        <w:t xml:space="preserve"> potentiality of irreparable harm or prejudice being sustained by the respondent on appeal (applicant in the application) if leave to execute was refused;</w:t>
      </w:r>
    </w:p>
    <w:p w:rsidR="00392DC7" w:rsidRPr="00AE5C3A" w:rsidRDefault="00C94650" w:rsidP="00AE5C3A">
      <w:pPr>
        <w:spacing w:after="0" w:line="240" w:lineRule="auto"/>
        <w:ind w:left="720"/>
        <w:jc w:val="both"/>
        <w:rPr>
          <w:rFonts w:ascii="Times New Roman" w:hAnsi="Times New Roman" w:cs="Times New Roman"/>
        </w:rPr>
      </w:pPr>
      <w:r w:rsidRPr="00AE5C3A">
        <w:rPr>
          <w:rFonts w:ascii="Times New Roman" w:hAnsi="Times New Roman" w:cs="Times New Roman"/>
        </w:rPr>
        <w:t xml:space="preserve">(3) </w:t>
      </w:r>
      <w:r w:rsidR="00392DC7" w:rsidRPr="00AE5C3A">
        <w:rPr>
          <w:rFonts w:ascii="Times New Roman" w:hAnsi="Times New Roman" w:cs="Times New Roman"/>
        </w:rPr>
        <w:t>the prospects of success on appeal, including more particularly the question of whether the appeal is frivolous or vexatious or has been noted not with the bona fide intention of seeking to reverse the judgment but  for some indirect purpose, eg to gain time or harass the other party; and</w:t>
      </w:r>
    </w:p>
    <w:p w:rsidR="00392DC7" w:rsidRPr="00AE5C3A" w:rsidRDefault="00C94650" w:rsidP="00AE5C3A">
      <w:pPr>
        <w:spacing w:after="0" w:line="240" w:lineRule="auto"/>
        <w:ind w:left="720"/>
        <w:jc w:val="both"/>
        <w:rPr>
          <w:rFonts w:ascii="Times New Roman" w:hAnsi="Times New Roman" w:cs="Times New Roman"/>
        </w:rPr>
      </w:pPr>
      <w:r w:rsidRPr="00AE5C3A">
        <w:rPr>
          <w:rFonts w:ascii="Times New Roman" w:hAnsi="Times New Roman" w:cs="Times New Roman"/>
        </w:rPr>
        <w:t xml:space="preserve">(4) </w:t>
      </w:r>
      <w:r w:rsidR="00BC6047" w:rsidRPr="00AE5C3A">
        <w:rPr>
          <w:rFonts w:ascii="Times New Roman" w:hAnsi="Times New Roman" w:cs="Times New Roman"/>
        </w:rPr>
        <w:t>Where</w:t>
      </w:r>
      <w:r w:rsidR="00392DC7" w:rsidRPr="00AE5C3A">
        <w:rPr>
          <w:rFonts w:ascii="Times New Roman" w:hAnsi="Times New Roman" w:cs="Times New Roman"/>
        </w:rPr>
        <w:t xml:space="preserve"> there is the potentiality of irreparable harm or prejudice to both appellant and respondent, the balance of hardship or convenience, as the case may be.”</w:t>
      </w:r>
    </w:p>
    <w:p w:rsidR="00B00EF3" w:rsidRPr="00BC6047" w:rsidRDefault="00B00EF3" w:rsidP="00534B91">
      <w:pPr>
        <w:spacing w:after="0" w:line="360" w:lineRule="auto"/>
        <w:jc w:val="both"/>
        <w:rPr>
          <w:rFonts w:ascii="Times New Roman" w:hAnsi="Times New Roman" w:cs="Times New Roman"/>
          <w:sz w:val="24"/>
          <w:szCs w:val="24"/>
        </w:rPr>
      </w:pPr>
    </w:p>
    <w:p w:rsidR="000B3F66" w:rsidRPr="00BC6047" w:rsidRDefault="00380841"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It is apparent that real and substantial injustice may occur if the present application is not granted. It is in the interest of justice that the present application</w:t>
      </w:r>
      <w:r w:rsidR="000B3F66" w:rsidRPr="00BC6047">
        <w:rPr>
          <w:rFonts w:ascii="Times New Roman" w:hAnsi="Times New Roman" w:cs="Times New Roman"/>
          <w:sz w:val="24"/>
          <w:szCs w:val="24"/>
        </w:rPr>
        <w:t xml:space="preserve"> be granted</w:t>
      </w:r>
      <w:r w:rsidRPr="00BC6047">
        <w:rPr>
          <w:rFonts w:ascii="Times New Roman" w:hAnsi="Times New Roman" w:cs="Times New Roman"/>
          <w:sz w:val="24"/>
          <w:szCs w:val="24"/>
        </w:rPr>
        <w:t xml:space="preserve">. If </w:t>
      </w:r>
      <w:r w:rsidR="000B3F66" w:rsidRPr="00BC6047">
        <w:rPr>
          <w:rFonts w:ascii="Times New Roman" w:hAnsi="Times New Roman" w:cs="Times New Roman"/>
          <w:sz w:val="24"/>
          <w:szCs w:val="24"/>
        </w:rPr>
        <w:t xml:space="preserve">execution of judgment </w:t>
      </w:r>
      <w:r w:rsidRPr="00BC6047">
        <w:rPr>
          <w:rFonts w:ascii="Times New Roman" w:hAnsi="Times New Roman" w:cs="Times New Roman"/>
          <w:sz w:val="24"/>
          <w:szCs w:val="24"/>
        </w:rPr>
        <w:t xml:space="preserve">is not </w:t>
      </w:r>
      <w:r w:rsidR="000B3F66" w:rsidRPr="00BC6047">
        <w:rPr>
          <w:rFonts w:ascii="Times New Roman" w:hAnsi="Times New Roman" w:cs="Times New Roman"/>
          <w:sz w:val="24"/>
          <w:szCs w:val="24"/>
        </w:rPr>
        <w:t>stayed</w:t>
      </w:r>
      <w:r w:rsidRPr="00BC6047">
        <w:rPr>
          <w:rFonts w:ascii="Times New Roman" w:hAnsi="Times New Roman" w:cs="Times New Roman"/>
          <w:sz w:val="24"/>
          <w:szCs w:val="24"/>
        </w:rPr>
        <w:t xml:space="preserve">, this will result in incurable prejudice to the Applicants who want </w:t>
      </w:r>
      <w:r w:rsidR="000B3F66" w:rsidRPr="00BC6047">
        <w:rPr>
          <w:rFonts w:ascii="Times New Roman" w:hAnsi="Times New Roman" w:cs="Times New Roman"/>
          <w:sz w:val="24"/>
          <w:szCs w:val="24"/>
        </w:rPr>
        <w:t>to challenge</w:t>
      </w:r>
      <w:r w:rsidR="00BC6047" w:rsidRPr="00BC6047">
        <w:rPr>
          <w:rFonts w:ascii="Times New Roman" w:hAnsi="Times New Roman" w:cs="Times New Roman"/>
          <w:sz w:val="24"/>
          <w:szCs w:val="24"/>
        </w:rPr>
        <w:t>, before</w:t>
      </w:r>
      <w:r w:rsidR="000B3F66" w:rsidRPr="00BC6047">
        <w:rPr>
          <w:rFonts w:ascii="Times New Roman" w:hAnsi="Times New Roman" w:cs="Times New Roman"/>
          <w:sz w:val="24"/>
          <w:szCs w:val="24"/>
        </w:rPr>
        <w:t xml:space="preserve"> the court</w:t>
      </w:r>
      <w:r w:rsidR="00BC6047" w:rsidRPr="00BC6047">
        <w:rPr>
          <w:rFonts w:ascii="Times New Roman" w:hAnsi="Times New Roman" w:cs="Times New Roman"/>
          <w:sz w:val="24"/>
          <w:szCs w:val="24"/>
        </w:rPr>
        <w:t>, the</w:t>
      </w:r>
      <w:r w:rsidRPr="00BC6047">
        <w:rPr>
          <w:rFonts w:ascii="Times New Roman" w:hAnsi="Times New Roman" w:cs="Times New Roman"/>
          <w:sz w:val="24"/>
          <w:szCs w:val="24"/>
        </w:rPr>
        <w:t xml:space="preserve"> interest rate that is in dispute.</w:t>
      </w:r>
      <w:r w:rsidR="000B3F66" w:rsidRPr="00BC6047">
        <w:rPr>
          <w:rFonts w:ascii="Times New Roman" w:hAnsi="Times New Roman" w:cs="Times New Roman"/>
          <w:sz w:val="24"/>
          <w:szCs w:val="24"/>
        </w:rPr>
        <w:t xml:space="preserve"> </w:t>
      </w:r>
    </w:p>
    <w:p w:rsidR="000B3F66" w:rsidRPr="00BC6047" w:rsidRDefault="001B2C9A"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T</w:t>
      </w:r>
      <w:r w:rsidR="000B3F66" w:rsidRPr="00BC6047">
        <w:rPr>
          <w:rFonts w:ascii="Times New Roman" w:hAnsi="Times New Roman" w:cs="Times New Roman"/>
          <w:sz w:val="24"/>
          <w:szCs w:val="24"/>
        </w:rPr>
        <w:t>he scales fo</w:t>
      </w:r>
      <w:r w:rsidRPr="00BC6047">
        <w:rPr>
          <w:rFonts w:ascii="Times New Roman" w:hAnsi="Times New Roman" w:cs="Times New Roman"/>
          <w:sz w:val="24"/>
          <w:szCs w:val="24"/>
        </w:rPr>
        <w:t>r balance of convenience favour</w:t>
      </w:r>
      <w:r w:rsidR="000B3F66" w:rsidRPr="00BC6047">
        <w:rPr>
          <w:rFonts w:ascii="Times New Roman" w:hAnsi="Times New Roman" w:cs="Times New Roman"/>
          <w:sz w:val="24"/>
          <w:szCs w:val="24"/>
        </w:rPr>
        <w:t xml:space="preserve"> the Applicants, according to my view.</w:t>
      </w:r>
      <w:r w:rsidR="00C43D60" w:rsidRPr="00BC6047">
        <w:rPr>
          <w:rFonts w:ascii="Times New Roman" w:hAnsi="Times New Roman" w:cs="Times New Roman"/>
          <w:sz w:val="24"/>
          <w:szCs w:val="24"/>
        </w:rPr>
        <w:t xml:space="preserve"> The </w:t>
      </w:r>
      <w:r w:rsidR="009A7C19" w:rsidRPr="00BC6047">
        <w:rPr>
          <w:rFonts w:ascii="Times New Roman" w:hAnsi="Times New Roman" w:cs="Times New Roman"/>
          <w:sz w:val="24"/>
          <w:szCs w:val="24"/>
        </w:rPr>
        <w:t xml:space="preserve">Applicants must </w:t>
      </w:r>
      <w:r w:rsidRPr="00BC6047">
        <w:rPr>
          <w:rFonts w:ascii="Times New Roman" w:hAnsi="Times New Roman" w:cs="Times New Roman"/>
          <w:sz w:val="24"/>
          <w:szCs w:val="24"/>
        </w:rPr>
        <w:t xml:space="preserve">be </w:t>
      </w:r>
      <w:r w:rsidR="009A7C19" w:rsidRPr="00BC6047">
        <w:rPr>
          <w:rFonts w:ascii="Times New Roman" w:hAnsi="Times New Roman" w:cs="Times New Roman"/>
          <w:sz w:val="24"/>
          <w:szCs w:val="24"/>
        </w:rPr>
        <w:t>given an opportunity to defend themselves against the interest rate which is in dispute.</w:t>
      </w:r>
      <w:r w:rsidR="006851E2" w:rsidRPr="00BC6047">
        <w:rPr>
          <w:rFonts w:ascii="Times New Roman" w:hAnsi="Times New Roman" w:cs="Times New Roman"/>
          <w:sz w:val="24"/>
          <w:szCs w:val="24"/>
        </w:rPr>
        <w:t xml:space="preserve"> The 1</w:t>
      </w:r>
      <w:r w:rsidR="006851E2" w:rsidRPr="00BC6047">
        <w:rPr>
          <w:rFonts w:ascii="Times New Roman" w:hAnsi="Times New Roman" w:cs="Times New Roman"/>
          <w:sz w:val="24"/>
          <w:szCs w:val="24"/>
          <w:vertAlign w:val="superscript"/>
        </w:rPr>
        <w:t>st</w:t>
      </w:r>
      <w:r w:rsidR="006851E2" w:rsidRPr="00BC6047">
        <w:rPr>
          <w:rFonts w:ascii="Times New Roman" w:hAnsi="Times New Roman" w:cs="Times New Roman"/>
          <w:sz w:val="24"/>
          <w:szCs w:val="24"/>
        </w:rPr>
        <w:t xml:space="preserve"> </w:t>
      </w:r>
      <w:r w:rsidR="00BC6047" w:rsidRPr="00BC6047">
        <w:rPr>
          <w:rFonts w:ascii="Times New Roman" w:hAnsi="Times New Roman" w:cs="Times New Roman"/>
          <w:sz w:val="24"/>
          <w:szCs w:val="24"/>
        </w:rPr>
        <w:t>Respondent will</w:t>
      </w:r>
      <w:r w:rsidR="004734E5" w:rsidRPr="00BC6047">
        <w:rPr>
          <w:rFonts w:ascii="Times New Roman" w:hAnsi="Times New Roman" w:cs="Times New Roman"/>
          <w:sz w:val="24"/>
          <w:szCs w:val="24"/>
        </w:rPr>
        <w:t xml:space="preserve"> suffer </w:t>
      </w:r>
      <w:r w:rsidR="00BC6047" w:rsidRPr="00BC6047">
        <w:rPr>
          <w:rFonts w:ascii="Times New Roman" w:hAnsi="Times New Roman" w:cs="Times New Roman"/>
          <w:sz w:val="24"/>
          <w:szCs w:val="24"/>
        </w:rPr>
        <w:t>less prejudice</w:t>
      </w:r>
      <w:r w:rsidR="0029740D" w:rsidRPr="00BC6047">
        <w:rPr>
          <w:rFonts w:ascii="Times New Roman" w:hAnsi="Times New Roman" w:cs="Times New Roman"/>
          <w:sz w:val="24"/>
          <w:szCs w:val="24"/>
        </w:rPr>
        <w:t xml:space="preserve"> than that </w:t>
      </w:r>
      <w:r w:rsidR="004734E5" w:rsidRPr="00BC6047">
        <w:rPr>
          <w:rFonts w:ascii="Times New Roman" w:hAnsi="Times New Roman" w:cs="Times New Roman"/>
          <w:sz w:val="24"/>
          <w:szCs w:val="24"/>
        </w:rPr>
        <w:t xml:space="preserve">which </w:t>
      </w:r>
      <w:r w:rsidR="00BC6047" w:rsidRPr="00BC6047">
        <w:rPr>
          <w:rFonts w:ascii="Times New Roman" w:hAnsi="Times New Roman" w:cs="Times New Roman"/>
          <w:sz w:val="24"/>
          <w:szCs w:val="24"/>
        </w:rPr>
        <w:t>is likely</w:t>
      </w:r>
      <w:r w:rsidR="004734E5" w:rsidRPr="00BC6047">
        <w:rPr>
          <w:rFonts w:ascii="Times New Roman" w:hAnsi="Times New Roman" w:cs="Times New Roman"/>
          <w:sz w:val="24"/>
          <w:szCs w:val="24"/>
        </w:rPr>
        <w:t xml:space="preserve"> to </w:t>
      </w:r>
      <w:r w:rsidRPr="00BC6047">
        <w:rPr>
          <w:rFonts w:ascii="Times New Roman" w:hAnsi="Times New Roman" w:cs="Times New Roman"/>
          <w:sz w:val="24"/>
          <w:szCs w:val="24"/>
        </w:rPr>
        <w:t xml:space="preserve">be </w:t>
      </w:r>
      <w:r w:rsidR="004734E5" w:rsidRPr="00BC6047">
        <w:rPr>
          <w:rFonts w:ascii="Times New Roman" w:hAnsi="Times New Roman" w:cs="Times New Roman"/>
          <w:sz w:val="24"/>
          <w:szCs w:val="24"/>
        </w:rPr>
        <w:t>suffered by the Applicants if default judgment is executed.</w:t>
      </w:r>
    </w:p>
    <w:p w:rsidR="00400C1C" w:rsidRPr="00BC6047" w:rsidRDefault="00D01C3B"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 xml:space="preserve">In the case of </w:t>
      </w:r>
      <w:r w:rsidRPr="00AE5C3A">
        <w:rPr>
          <w:rFonts w:ascii="Times New Roman" w:hAnsi="Times New Roman" w:cs="Times New Roman"/>
          <w:i/>
          <w:sz w:val="24"/>
          <w:szCs w:val="24"/>
        </w:rPr>
        <w:t>Mungwambi</w:t>
      </w:r>
      <w:r w:rsidRPr="00BC6047">
        <w:rPr>
          <w:rFonts w:ascii="Times New Roman" w:hAnsi="Times New Roman" w:cs="Times New Roman"/>
          <w:sz w:val="24"/>
          <w:szCs w:val="24"/>
        </w:rPr>
        <w:t xml:space="preserve"> v </w:t>
      </w:r>
      <w:r w:rsidRPr="00AE5C3A">
        <w:rPr>
          <w:rFonts w:ascii="Times New Roman" w:hAnsi="Times New Roman" w:cs="Times New Roman"/>
          <w:i/>
          <w:sz w:val="24"/>
          <w:szCs w:val="24"/>
        </w:rPr>
        <w:t>Ajanta Properties (Pvt) Ltd</w:t>
      </w:r>
      <w:r w:rsidRPr="00BC6047">
        <w:rPr>
          <w:rStyle w:val="FootnoteReference"/>
          <w:rFonts w:ascii="Times New Roman" w:hAnsi="Times New Roman" w:cs="Times New Roman"/>
          <w:sz w:val="24"/>
          <w:szCs w:val="24"/>
        </w:rPr>
        <w:footnoteReference w:id="8"/>
      </w:r>
      <w:r w:rsidRPr="00BC6047">
        <w:rPr>
          <w:rFonts w:ascii="Times New Roman" w:hAnsi="Times New Roman" w:cs="Times New Roman"/>
          <w:sz w:val="24"/>
          <w:szCs w:val="24"/>
        </w:rPr>
        <w:t>, the Court emphasised that in determining such an application</w:t>
      </w:r>
      <w:r w:rsidR="00BC6047" w:rsidRPr="00BC6047">
        <w:rPr>
          <w:rFonts w:ascii="Times New Roman" w:hAnsi="Times New Roman" w:cs="Times New Roman"/>
          <w:sz w:val="24"/>
          <w:szCs w:val="24"/>
        </w:rPr>
        <w:t>, stay</w:t>
      </w:r>
      <w:r w:rsidRPr="00BC6047">
        <w:rPr>
          <w:rFonts w:ascii="Times New Roman" w:hAnsi="Times New Roman" w:cs="Times New Roman"/>
          <w:sz w:val="24"/>
          <w:szCs w:val="24"/>
        </w:rPr>
        <w:t xml:space="preserve"> </w:t>
      </w:r>
      <w:r w:rsidR="000B3F66" w:rsidRPr="00BC6047">
        <w:rPr>
          <w:rFonts w:ascii="Times New Roman" w:hAnsi="Times New Roman" w:cs="Times New Roman"/>
          <w:sz w:val="24"/>
          <w:szCs w:val="24"/>
        </w:rPr>
        <w:t xml:space="preserve">of execution of judgment can only be granted </w:t>
      </w:r>
      <w:r w:rsidRPr="00BC6047">
        <w:rPr>
          <w:rFonts w:ascii="Times New Roman" w:hAnsi="Times New Roman" w:cs="Times New Roman"/>
          <w:sz w:val="24"/>
          <w:szCs w:val="24"/>
        </w:rPr>
        <w:t>where real and substantial justice requires such a stay or conversely where injustice would otherwise be done.</w:t>
      </w:r>
    </w:p>
    <w:p w:rsidR="00E90009" w:rsidRPr="00BC6047" w:rsidRDefault="00400C1C" w:rsidP="00AE5C3A">
      <w:pPr>
        <w:spacing w:after="0" w:line="360" w:lineRule="auto"/>
        <w:ind w:firstLine="720"/>
        <w:jc w:val="both"/>
        <w:rPr>
          <w:rFonts w:ascii="Times New Roman" w:hAnsi="Times New Roman" w:cs="Times New Roman"/>
          <w:sz w:val="24"/>
          <w:szCs w:val="24"/>
        </w:rPr>
      </w:pPr>
      <w:r w:rsidRPr="00BC6047">
        <w:rPr>
          <w:rFonts w:ascii="Times New Roman" w:hAnsi="Times New Roman" w:cs="Times New Roman"/>
          <w:sz w:val="24"/>
          <w:szCs w:val="24"/>
        </w:rPr>
        <w:t xml:space="preserve">In the circumstances, it is in the interest of justice that the application for stay </w:t>
      </w:r>
      <w:r w:rsidR="00AE2ADF" w:rsidRPr="00BC6047">
        <w:rPr>
          <w:rFonts w:ascii="Times New Roman" w:hAnsi="Times New Roman" w:cs="Times New Roman"/>
          <w:sz w:val="24"/>
          <w:szCs w:val="24"/>
        </w:rPr>
        <w:t xml:space="preserve">of </w:t>
      </w:r>
      <w:r w:rsidRPr="00BC6047">
        <w:rPr>
          <w:rFonts w:ascii="Times New Roman" w:hAnsi="Times New Roman" w:cs="Times New Roman"/>
          <w:sz w:val="24"/>
          <w:szCs w:val="24"/>
        </w:rPr>
        <w:t>execution of judgment be granted.</w:t>
      </w:r>
      <w:r w:rsidR="009170D2" w:rsidRPr="00BC6047">
        <w:rPr>
          <w:rFonts w:ascii="Times New Roman" w:hAnsi="Times New Roman" w:cs="Times New Roman"/>
          <w:sz w:val="24"/>
          <w:szCs w:val="24"/>
        </w:rPr>
        <w:t xml:space="preserve"> This will prevent the Applicants from suffering irreparable harm.</w:t>
      </w:r>
      <w:r w:rsidR="00D01C3B" w:rsidRPr="00BC6047">
        <w:rPr>
          <w:rFonts w:ascii="Times New Roman" w:hAnsi="Times New Roman" w:cs="Times New Roman"/>
          <w:sz w:val="24"/>
          <w:szCs w:val="24"/>
        </w:rPr>
        <w:t xml:space="preserve"> </w:t>
      </w:r>
    </w:p>
    <w:p w:rsidR="00F02EC3" w:rsidRPr="00BC6047" w:rsidRDefault="005E61C6" w:rsidP="00AE5C3A">
      <w:pPr>
        <w:spacing w:after="0" w:line="360" w:lineRule="auto"/>
        <w:ind w:firstLine="720"/>
        <w:jc w:val="both"/>
        <w:rPr>
          <w:rFonts w:ascii="Times New Roman" w:hAnsi="Times New Roman" w:cs="Times New Roman"/>
        </w:rPr>
      </w:pPr>
      <w:r w:rsidRPr="00BC6047">
        <w:rPr>
          <w:rFonts w:ascii="Times New Roman" w:hAnsi="Times New Roman" w:cs="Times New Roman"/>
          <w:sz w:val="24"/>
          <w:szCs w:val="24"/>
        </w:rPr>
        <w:t>With respect to costs,</w:t>
      </w:r>
      <w:r w:rsidR="007D6D10" w:rsidRPr="00BC6047">
        <w:rPr>
          <w:rFonts w:ascii="Times New Roman" w:hAnsi="Times New Roman" w:cs="Times New Roman"/>
          <w:sz w:val="24"/>
          <w:szCs w:val="24"/>
        </w:rPr>
        <w:t xml:space="preserve"> the </w:t>
      </w:r>
      <w:r w:rsidR="00AE5C3A">
        <w:rPr>
          <w:rFonts w:ascii="Times New Roman" w:hAnsi="Times New Roman" w:cs="Times New Roman"/>
          <w:sz w:val="24"/>
          <w:szCs w:val="24"/>
        </w:rPr>
        <w:t>first</w:t>
      </w:r>
      <w:r w:rsidR="007D6D10" w:rsidRPr="00BC6047">
        <w:rPr>
          <w:rFonts w:ascii="Times New Roman" w:hAnsi="Times New Roman" w:cs="Times New Roman"/>
          <w:sz w:val="24"/>
          <w:szCs w:val="24"/>
        </w:rPr>
        <w:t xml:space="preserve"> Respondent has claimed costs </w:t>
      </w:r>
      <w:r w:rsidR="007D6D10" w:rsidRPr="00BC6047">
        <w:rPr>
          <w:rFonts w:ascii="Times New Roman" w:hAnsi="Times New Roman" w:cs="Times New Roman"/>
          <w:i/>
          <w:sz w:val="24"/>
          <w:szCs w:val="24"/>
        </w:rPr>
        <w:t>De bonis propriis</w:t>
      </w:r>
      <w:r w:rsidR="00103B66" w:rsidRPr="00BC6047">
        <w:rPr>
          <w:rFonts w:ascii="Times New Roman" w:hAnsi="Times New Roman" w:cs="Times New Roman"/>
          <w:i/>
          <w:sz w:val="24"/>
          <w:szCs w:val="24"/>
        </w:rPr>
        <w:t xml:space="preserve"> </w:t>
      </w:r>
      <w:r w:rsidR="00103B66" w:rsidRPr="00AE5C3A">
        <w:rPr>
          <w:rFonts w:ascii="Times New Roman" w:hAnsi="Times New Roman" w:cs="Times New Roman"/>
          <w:sz w:val="24"/>
          <w:szCs w:val="24"/>
        </w:rPr>
        <w:t xml:space="preserve">against the </w:t>
      </w:r>
      <w:r w:rsidR="002025FF" w:rsidRPr="00AE5C3A">
        <w:rPr>
          <w:rFonts w:ascii="Times New Roman" w:hAnsi="Times New Roman" w:cs="Times New Roman"/>
          <w:sz w:val="24"/>
          <w:szCs w:val="24"/>
        </w:rPr>
        <w:t xml:space="preserve">counsel for the </w:t>
      </w:r>
      <w:r w:rsidR="00625C85" w:rsidRPr="00AE5C3A">
        <w:rPr>
          <w:rFonts w:ascii="Times New Roman" w:hAnsi="Times New Roman" w:cs="Times New Roman"/>
          <w:sz w:val="24"/>
          <w:szCs w:val="24"/>
        </w:rPr>
        <w:t>Applicants</w:t>
      </w:r>
      <w:r w:rsidR="007D6D10" w:rsidRPr="00BC6047">
        <w:rPr>
          <w:rFonts w:ascii="Times New Roman" w:hAnsi="Times New Roman" w:cs="Times New Roman"/>
          <w:sz w:val="24"/>
          <w:szCs w:val="24"/>
        </w:rPr>
        <w:t>.</w:t>
      </w:r>
      <w:r w:rsidR="0086328E" w:rsidRPr="00BC6047">
        <w:rPr>
          <w:rFonts w:ascii="Times New Roman" w:hAnsi="Times New Roman" w:cs="Times New Roman"/>
          <w:sz w:val="24"/>
          <w:szCs w:val="24"/>
        </w:rPr>
        <w:t xml:space="preserve">  The basis for the </w:t>
      </w:r>
      <w:r w:rsidR="00AE5C3A">
        <w:rPr>
          <w:rFonts w:ascii="Times New Roman" w:hAnsi="Times New Roman" w:cs="Times New Roman"/>
          <w:sz w:val="24"/>
          <w:szCs w:val="24"/>
        </w:rPr>
        <w:t>first</w:t>
      </w:r>
      <w:r w:rsidR="0086328E" w:rsidRPr="00BC6047">
        <w:rPr>
          <w:rFonts w:ascii="Times New Roman" w:hAnsi="Times New Roman" w:cs="Times New Roman"/>
          <w:sz w:val="24"/>
          <w:szCs w:val="24"/>
        </w:rPr>
        <w:t xml:space="preserve"> Respondent’s </w:t>
      </w:r>
      <w:r w:rsidR="00625C85" w:rsidRPr="00BC6047">
        <w:rPr>
          <w:rFonts w:ascii="Times New Roman" w:hAnsi="Times New Roman" w:cs="Times New Roman"/>
          <w:sz w:val="24"/>
          <w:szCs w:val="24"/>
        </w:rPr>
        <w:t xml:space="preserve">claim </w:t>
      </w:r>
      <w:r w:rsidR="0086328E" w:rsidRPr="00BC6047">
        <w:rPr>
          <w:rFonts w:ascii="Times New Roman" w:hAnsi="Times New Roman" w:cs="Times New Roman"/>
          <w:sz w:val="24"/>
          <w:szCs w:val="24"/>
        </w:rPr>
        <w:t xml:space="preserve">is that </w:t>
      </w:r>
      <w:r w:rsidR="00AC73A4" w:rsidRPr="00BC6047">
        <w:rPr>
          <w:rFonts w:ascii="Times New Roman" w:hAnsi="Times New Roman" w:cs="Times New Roman"/>
          <w:sz w:val="24"/>
          <w:szCs w:val="24"/>
        </w:rPr>
        <w:t xml:space="preserve">the counsel </w:t>
      </w:r>
      <w:r w:rsidR="00B45E58" w:rsidRPr="00BC6047">
        <w:rPr>
          <w:rFonts w:ascii="Times New Roman" w:hAnsi="Times New Roman" w:cs="Times New Roman"/>
          <w:sz w:val="24"/>
          <w:szCs w:val="24"/>
        </w:rPr>
        <w:t>for the Applicants is abusing the court process.</w:t>
      </w:r>
      <w:r w:rsidR="00625C85" w:rsidRPr="00BC6047">
        <w:rPr>
          <w:rFonts w:ascii="Times New Roman" w:hAnsi="Times New Roman" w:cs="Times New Roman"/>
          <w:sz w:val="24"/>
          <w:szCs w:val="24"/>
        </w:rPr>
        <w:t xml:space="preserve"> Mr. Nyamakura also submitted that the </w:t>
      </w:r>
      <w:r w:rsidR="005A1AEF" w:rsidRPr="00BC6047">
        <w:rPr>
          <w:rFonts w:ascii="Times New Roman" w:hAnsi="Times New Roman" w:cs="Times New Roman"/>
          <w:sz w:val="24"/>
          <w:szCs w:val="24"/>
        </w:rPr>
        <w:t xml:space="preserve">Applicants must </w:t>
      </w:r>
      <w:r w:rsidR="00CB005C" w:rsidRPr="00BC6047">
        <w:rPr>
          <w:rFonts w:ascii="Times New Roman" w:hAnsi="Times New Roman" w:cs="Times New Roman"/>
          <w:sz w:val="24"/>
          <w:szCs w:val="24"/>
        </w:rPr>
        <w:t xml:space="preserve">bear the costs of the application on an attorney and client scale. </w:t>
      </w:r>
      <w:r w:rsidR="0098021B" w:rsidRPr="00BC6047">
        <w:rPr>
          <w:rFonts w:ascii="Times New Roman" w:hAnsi="Times New Roman" w:cs="Times New Roman"/>
          <w:sz w:val="24"/>
          <w:szCs w:val="24"/>
        </w:rPr>
        <w:t xml:space="preserve">The Applicants’ counsel submitted that the present application is not an abuse of court process. The </w:t>
      </w:r>
      <w:r w:rsidR="00CB1B63" w:rsidRPr="00BC6047">
        <w:rPr>
          <w:rFonts w:ascii="Times New Roman" w:hAnsi="Times New Roman" w:cs="Times New Roman"/>
          <w:sz w:val="24"/>
          <w:szCs w:val="24"/>
        </w:rPr>
        <w:t xml:space="preserve">Applicants are entitled to defend themselves, Mr. </w:t>
      </w:r>
      <w:r w:rsidR="00CB1B63" w:rsidRPr="00A93DFF">
        <w:rPr>
          <w:rFonts w:ascii="Times New Roman" w:hAnsi="Times New Roman" w:cs="Times New Roman"/>
          <w:i/>
          <w:sz w:val="24"/>
          <w:szCs w:val="24"/>
        </w:rPr>
        <w:t>Hove</w:t>
      </w:r>
      <w:r w:rsidR="00CB1B63" w:rsidRPr="00BC6047">
        <w:rPr>
          <w:rFonts w:ascii="Times New Roman" w:hAnsi="Times New Roman" w:cs="Times New Roman"/>
          <w:sz w:val="24"/>
          <w:szCs w:val="24"/>
        </w:rPr>
        <w:t xml:space="preserve"> further submitted.</w:t>
      </w:r>
      <w:r w:rsidR="0086328E" w:rsidRPr="00BC6047">
        <w:rPr>
          <w:rFonts w:ascii="Times New Roman" w:hAnsi="Times New Roman" w:cs="Times New Roman"/>
          <w:sz w:val="24"/>
          <w:szCs w:val="24"/>
        </w:rPr>
        <w:t xml:space="preserve"> </w:t>
      </w:r>
      <w:r w:rsidR="001A1CE2" w:rsidRPr="00BC6047">
        <w:rPr>
          <w:rFonts w:ascii="Times New Roman" w:hAnsi="Times New Roman" w:cs="Times New Roman"/>
          <w:sz w:val="24"/>
          <w:szCs w:val="24"/>
        </w:rPr>
        <w:t xml:space="preserve"> </w:t>
      </w:r>
      <w:r w:rsidR="009876C2" w:rsidRPr="00BC6047">
        <w:rPr>
          <w:rFonts w:ascii="Times New Roman" w:hAnsi="Times New Roman" w:cs="Times New Roman"/>
          <w:sz w:val="24"/>
          <w:szCs w:val="24"/>
        </w:rPr>
        <w:t xml:space="preserve"> </w:t>
      </w:r>
      <w:r w:rsidR="00274ECF" w:rsidRPr="00BC6047">
        <w:rPr>
          <w:rFonts w:ascii="Times New Roman" w:hAnsi="Times New Roman" w:cs="Times New Roman"/>
        </w:rPr>
        <w:t xml:space="preserve"> </w:t>
      </w:r>
    </w:p>
    <w:p w:rsidR="000004D5" w:rsidRPr="00BC6047" w:rsidRDefault="000004D5" w:rsidP="00534B91">
      <w:pPr>
        <w:spacing w:after="0" w:line="360" w:lineRule="auto"/>
        <w:jc w:val="both"/>
        <w:rPr>
          <w:rFonts w:ascii="Times New Roman" w:hAnsi="Times New Roman" w:cs="Times New Roman"/>
        </w:rPr>
      </w:pPr>
    </w:p>
    <w:p w:rsidR="000004D5" w:rsidRPr="00AE5C3A" w:rsidRDefault="000004D5" w:rsidP="00534B91">
      <w:pPr>
        <w:spacing w:after="0" w:line="360" w:lineRule="auto"/>
        <w:jc w:val="both"/>
        <w:rPr>
          <w:rFonts w:ascii="Times New Roman" w:hAnsi="Times New Roman" w:cs="Times New Roman"/>
          <w:i/>
          <w:sz w:val="24"/>
          <w:szCs w:val="24"/>
        </w:rPr>
      </w:pPr>
      <w:r w:rsidRPr="00AE5C3A">
        <w:rPr>
          <w:rFonts w:ascii="Times New Roman" w:hAnsi="Times New Roman" w:cs="Times New Roman"/>
          <w:sz w:val="24"/>
          <w:szCs w:val="24"/>
        </w:rPr>
        <w:t xml:space="preserve">Textual authorities and case law have dealt with the issue of costs in a variety of ways. </w:t>
      </w:r>
      <w:r w:rsidRPr="00AE5C3A">
        <w:rPr>
          <w:rFonts w:ascii="Times New Roman" w:hAnsi="Times New Roman" w:cs="Times New Roman"/>
          <w:b/>
          <w:sz w:val="24"/>
          <w:szCs w:val="24"/>
        </w:rPr>
        <w:t>Hebstein and Van Winsen</w:t>
      </w:r>
      <w:r w:rsidRPr="00AE5C3A">
        <w:rPr>
          <w:rStyle w:val="FootnoteReference"/>
          <w:rFonts w:ascii="Times New Roman" w:hAnsi="Times New Roman" w:cs="Times New Roman"/>
          <w:b/>
          <w:sz w:val="24"/>
          <w:szCs w:val="24"/>
        </w:rPr>
        <w:footnoteReference w:id="9"/>
      </w:r>
      <w:r w:rsidRPr="00AE5C3A">
        <w:rPr>
          <w:rFonts w:ascii="Times New Roman" w:hAnsi="Times New Roman" w:cs="Times New Roman"/>
          <w:b/>
          <w:sz w:val="24"/>
          <w:szCs w:val="24"/>
        </w:rPr>
        <w:t>, have this to say, in relation to costs:</w:t>
      </w:r>
      <w:r w:rsidRPr="00AE5C3A">
        <w:rPr>
          <w:rFonts w:ascii="Times New Roman" w:hAnsi="Times New Roman" w:cs="Times New Roman"/>
          <w:i/>
          <w:sz w:val="24"/>
          <w:szCs w:val="24"/>
        </w:rPr>
        <w:t xml:space="preserve"> </w:t>
      </w:r>
    </w:p>
    <w:p w:rsidR="000004D5" w:rsidRPr="00BC6047" w:rsidRDefault="000004D5" w:rsidP="00534B91">
      <w:pPr>
        <w:spacing w:after="0" w:line="360" w:lineRule="auto"/>
        <w:jc w:val="both"/>
        <w:rPr>
          <w:rFonts w:ascii="Times New Roman" w:hAnsi="Times New Roman" w:cs="Times New Roman"/>
          <w:i/>
        </w:rPr>
      </w:pPr>
    </w:p>
    <w:p w:rsidR="000004D5" w:rsidRPr="00BC6047" w:rsidRDefault="000004D5" w:rsidP="00AE5C3A">
      <w:pPr>
        <w:spacing w:after="0" w:line="240" w:lineRule="auto"/>
        <w:ind w:left="720"/>
        <w:jc w:val="both"/>
        <w:rPr>
          <w:rFonts w:ascii="Times New Roman" w:hAnsi="Times New Roman" w:cs="Times New Roman"/>
        </w:rPr>
      </w:pPr>
      <w:r w:rsidRPr="00BC6047">
        <w:rPr>
          <w:rFonts w:ascii="Times New Roman" w:hAnsi="Times New Roman" w:cs="Times New Roman"/>
        </w:rPr>
        <w:t>“The award of costs in a matter is wholly with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issues in this case, the conduct of the parties and any other circumstances which may have a bearing upon the question of costs and then make such order as to costs as would be fair and just between the parties…”</w:t>
      </w:r>
    </w:p>
    <w:p w:rsidR="00DD67FA" w:rsidRPr="00BC6047" w:rsidRDefault="00DD67FA" w:rsidP="00534B91">
      <w:pPr>
        <w:spacing w:after="0" w:line="360" w:lineRule="auto"/>
        <w:jc w:val="both"/>
        <w:rPr>
          <w:rFonts w:ascii="Times New Roman" w:hAnsi="Times New Roman" w:cs="Times New Roman"/>
        </w:rPr>
      </w:pPr>
    </w:p>
    <w:p w:rsidR="00DD67FA" w:rsidRPr="00AE5C3A" w:rsidRDefault="00DD67FA" w:rsidP="00AE5C3A">
      <w:pPr>
        <w:spacing w:after="0" w:line="360" w:lineRule="auto"/>
        <w:ind w:firstLine="720"/>
        <w:jc w:val="both"/>
        <w:rPr>
          <w:rFonts w:ascii="Times New Roman" w:hAnsi="Times New Roman" w:cs="Times New Roman"/>
          <w:sz w:val="24"/>
          <w:szCs w:val="24"/>
        </w:rPr>
      </w:pPr>
      <w:r w:rsidRPr="00AE5C3A">
        <w:rPr>
          <w:rFonts w:ascii="Times New Roman" w:hAnsi="Times New Roman" w:cs="Times New Roman"/>
          <w:sz w:val="24"/>
          <w:szCs w:val="24"/>
        </w:rPr>
        <w:t xml:space="preserve">I am not convinced </w:t>
      </w:r>
      <w:r w:rsidR="007E32C6" w:rsidRPr="00AE5C3A">
        <w:rPr>
          <w:rFonts w:ascii="Times New Roman" w:hAnsi="Times New Roman" w:cs="Times New Roman"/>
          <w:sz w:val="24"/>
          <w:szCs w:val="24"/>
        </w:rPr>
        <w:t xml:space="preserve">with the </w:t>
      </w:r>
      <w:r w:rsidR="00AE5C3A" w:rsidRPr="00AE5C3A">
        <w:rPr>
          <w:rFonts w:ascii="Times New Roman" w:hAnsi="Times New Roman" w:cs="Times New Roman"/>
          <w:sz w:val="24"/>
          <w:szCs w:val="24"/>
        </w:rPr>
        <w:t>first</w:t>
      </w:r>
      <w:r w:rsidR="007E32C6" w:rsidRPr="00AE5C3A">
        <w:rPr>
          <w:rFonts w:ascii="Times New Roman" w:hAnsi="Times New Roman" w:cs="Times New Roman"/>
          <w:sz w:val="24"/>
          <w:szCs w:val="24"/>
        </w:rPr>
        <w:t xml:space="preserve"> Respondent’s position.</w:t>
      </w:r>
      <w:r w:rsidR="00F37E8B" w:rsidRPr="00AE5C3A">
        <w:rPr>
          <w:rFonts w:ascii="Times New Roman" w:hAnsi="Times New Roman" w:cs="Times New Roman"/>
          <w:sz w:val="24"/>
          <w:szCs w:val="24"/>
        </w:rPr>
        <w:t xml:space="preserve"> </w:t>
      </w:r>
      <w:r w:rsidR="00A22E86" w:rsidRPr="00AE5C3A">
        <w:rPr>
          <w:rFonts w:ascii="Times New Roman" w:hAnsi="Times New Roman" w:cs="Times New Roman"/>
          <w:sz w:val="24"/>
          <w:szCs w:val="24"/>
        </w:rPr>
        <w:t>It was emphasised that the costs should not deter persons from accessing justice.</w:t>
      </w:r>
      <w:r w:rsidR="0060456C" w:rsidRPr="00AE5C3A">
        <w:rPr>
          <w:rFonts w:ascii="Times New Roman" w:hAnsi="Times New Roman" w:cs="Times New Roman"/>
          <w:sz w:val="24"/>
          <w:szCs w:val="24"/>
        </w:rPr>
        <w:t xml:space="preserve"> See the case of </w:t>
      </w:r>
      <w:r w:rsidR="0060456C" w:rsidRPr="00AE5C3A">
        <w:rPr>
          <w:rFonts w:ascii="Times New Roman" w:hAnsi="Times New Roman" w:cs="Times New Roman"/>
          <w:b/>
          <w:i/>
          <w:sz w:val="24"/>
          <w:szCs w:val="24"/>
        </w:rPr>
        <w:t>Crief Investments (Pvt) Ltd and Another v Grand Home Centre (Pvt) Ltd and Others</w:t>
      </w:r>
      <w:r w:rsidR="00F37E8B" w:rsidRPr="00AE5C3A">
        <w:rPr>
          <w:rStyle w:val="FootnoteReference"/>
          <w:rFonts w:ascii="Times New Roman" w:hAnsi="Times New Roman" w:cs="Times New Roman"/>
          <w:b/>
          <w:i/>
          <w:sz w:val="24"/>
          <w:szCs w:val="24"/>
        </w:rPr>
        <w:footnoteReference w:id="10"/>
      </w:r>
      <w:r w:rsidR="0060456C" w:rsidRPr="00AE5C3A">
        <w:rPr>
          <w:rFonts w:ascii="Times New Roman" w:hAnsi="Times New Roman" w:cs="Times New Roman"/>
          <w:b/>
          <w:i/>
          <w:sz w:val="24"/>
          <w:szCs w:val="24"/>
        </w:rPr>
        <w:t>.</w:t>
      </w:r>
      <w:r w:rsidR="00AE2ADF" w:rsidRPr="00AE5C3A">
        <w:rPr>
          <w:rFonts w:ascii="Times New Roman" w:hAnsi="Times New Roman" w:cs="Times New Roman"/>
          <w:b/>
          <w:i/>
          <w:sz w:val="24"/>
          <w:szCs w:val="24"/>
        </w:rPr>
        <w:t xml:space="preserve"> </w:t>
      </w:r>
      <w:r w:rsidR="00AE2ADF" w:rsidRPr="00AE5C3A">
        <w:rPr>
          <w:rFonts w:ascii="Times New Roman" w:hAnsi="Times New Roman" w:cs="Times New Roman"/>
          <w:sz w:val="24"/>
          <w:szCs w:val="24"/>
        </w:rPr>
        <w:t>It is in the interest of justice that costs be in the cause.</w:t>
      </w:r>
      <w:r w:rsidR="00D760AA" w:rsidRPr="00AE5C3A">
        <w:rPr>
          <w:rFonts w:ascii="Times New Roman" w:hAnsi="Times New Roman" w:cs="Times New Roman"/>
          <w:sz w:val="24"/>
          <w:szCs w:val="24"/>
        </w:rPr>
        <w:t xml:space="preserve"> Such costs are, in my view, just </w:t>
      </w:r>
      <w:r w:rsidR="00005B30" w:rsidRPr="00AE5C3A">
        <w:rPr>
          <w:rFonts w:ascii="Times New Roman" w:hAnsi="Times New Roman" w:cs="Times New Roman"/>
          <w:sz w:val="24"/>
          <w:szCs w:val="24"/>
        </w:rPr>
        <w:t xml:space="preserve">and fair </w:t>
      </w:r>
      <w:r w:rsidR="00D760AA" w:rsidRPr="00AE5C3A">
        <w:rPr>
          <w:rFonts w:ascii="Times New Roman" w:hAnsi="Times New Roman" w:cs="Times New Roman"/>
          <w:sz w:val="24"/>
          <w:szCs w:val="24"/>
        </w:rPr>
        <w:t>between the parties.</w:t>
      </w:r>
      <w:r w:rsidR="00AE2ADF" w:rsidRPr="00AE5C3A">
        <w:rPr>
          <w:rFonts w:ascii="Times New Roman" w:hAnsi="Times New Roman" w:cs="Times New Roman"/>
          <w:sz w:val="24"/>
          <w:szCs w:val="24"/>
        </w:rPr>
        <w:t xml:space="preserve"> </w:t>
      </w:r>
    </w:p>
    <w:p w:rsidR="009D29E1" w:rsidRPr="00AE5C3A" w:rsidRDefault="009D29E1" w:rsidP="00534B91">
      <w:pPr>
        <w:spacing w:after="0" w:line="360" w:lineRule="auto"/>
        <w:jc w:val="both"/>
        <w:rPr>
          <w:rFonts w:ascii="Times New Roman" w:hAnsi="Times New Roman" w:cs="Times New Roman"/>
          <w:b/>
          <w:i/>
          <w:sz w:val="24"/>
          <w:szCs w:val="24"/>
        </w:rPr>
      </w:pPr>
    </w:p>
    <w:p w:rsidR="00B774AC" w:rsidRPr="00AE5C3A" w:rsidRDefault="0066763B" w:rsidP="00534B91">
      <w:pPr>
        <w:spacing w:after="0" w:line="360" w:lineRule="auto"/>
        <w:jc w:val="both"/>
        <w:rPr>
          <w:rFonts w:ascii="Times New Roman" w:hAnsi="Times New Roman" w:cs="Times New Roman"/>
          <w:sz w:val="24"/>
          <w:szCs w:val="24"/>
        </w:rPr>
      </w:pPr>
      <w:r w:rsidRPr="00AE5C3A">
        <w:rPr>
          <w:rFonts w:ascii="Times New Roman" w:hAnsi="Times New Roman" w:cs="Times New Roman"/>
          <w:sz w:val="24"/>
          <w:szCs w:val="24"/>
        </w:rPr>
        <w:t xml:space="preserve">In the result, it is ordered </w:t>
      </w:r>
      <w:r w:rsidR="00B774AC" w:rsidRPr="00AE5C3A">
        <w:rPr>
          <w:rFonts w:ascii="Times New Roman" w:hAnsi="Times New Roman" w:cs="Times New Roman"/>
          <w:sz w:val="24"/>
          <w:szCs w:val="24"/>
        </w:rPr>
        <w:t>as follows:</w:t>
      </w:r>
    </w:p>
    <w:p w:rsidR="00B774AC" w:rsidRPr="00AE5C3A" w:rsidRDefault="00B774AC" w:rsidP="00534B91">
      <w:pPr>
        <w:spacing w:after="0" w:line="360" w:lineRule="auto"/>
        <w:jc w:val="both"/>
        <w:rPr>
          <w:rFonts w:ascii="Times New Roman" w:hAnsi="Times New Roman" w:cs="Times New Roman"/>
          <w:b/>
          <w:i/>
          <w:sz w:val="24"/>
          <w:szCs w:val="24"/>
        </w:rPr>
      </w:pPr>
    </w:p>
    <w:p w:rsidR="003D3AC2" w:rsidRPr="00AE5C3A" w:rsidRDefault="00B774AC" w:rsidP="00534B91">
      <w:pPr>
        <w:pStyle w:val="ListParagraph"/>
        <w:numPr>
          <w:ilvl w:val="0"/>
          <w:numId w:val="4"/>
        </w:numPr>
        <w:spacing w:after="0" w:line="360" w:lineRule="auto"/>
        <w:jc w:val="both"/>
        <w:rPr>
          <w:rFonts w:ascii="Times New Roman" w:hAnsi="Times New Roman" w:cs="Times New Roman"/>
          <w:sz w:val="24"/>
          <w:szCs w:val="24"/>
        </w:rPr>
      </w:pPr>
      <w:r w:rsidRPr="00AE5C3A">
        <w:rPr>
          <w:rFonts w:ascii="Times New Roman" w:hAnsi="Times New Roman" w:cs="Times New Roman"/>
          <w:sz w:val="24"/>
          <w:szCs w:val="24"/>
        </w:rPr>
        <w:t>T</w:t>
      </w:r>
      <w:r w:rsidR="0066763B" w:rsidRPr="00AE5C3A">
        <w:rPr>
          <w:rFonts w:ascii="Times New Roman" w:hAnsi="Times New Roman" w:cs="Times New Roman"/>
          <w:sz w:val="24"/>
          <w:szCs w:val="24"/>
        </w:rPr>
        <w:t xml:space="preserve">he interim relief </w:t>
      </w:r>
      <w:r w:rsidR="00BA307B" w:rsidRPr="00AE5C3A">
        <w:rPr>
          <w:rFonts w:ascii="Times New Roman" w:hAnsi="Times New Roman" w:cs="Times New Roman"/>
          <w:sz w:val="24"/>
          <w:szCs w:val="24"/>
        </w:rPr>
        <w:t xml:space="preserve">be and is hereby </w:t>
      </w:r>
      <w:r w:rsidR="0066763B" w:rsidRPr="00AE5C3A">
        <w:rPr>
          <w:rFonts w:ascii="Times New Roman" w:hAnsi="Times New Roman" w:cs="Times New Roman"/>
          <w:sz w:val="24"/>
          <w:szCs w:val="24"/>
        </w:rPr>
        <w:t>granted in terms of the Provisional Order.</w:t>
      </w:r>
    </w:p>
    <w:p w:rsidR="00B774AC" w:rsidRPr="00AE5C3A" w:rsidRDefault="00B774AC" w:rsidP="00534B91">
      <w:pPr>
        <w:pStyle w:val="ListParagraph"/>
        <w:numPr>
          <w:ilvl w:val="0"/>
          <w:numId w:val="4"/>
        </w:numPr>
        <w:spacing w:after="0" w:line="360" w:lineRule="auto"/>
        <w:jc w:val="both"/>
        <w:rPr>
          <w:rFonts w:ascii="Times New Roman" w:hAnsi="Times New Roman" w:cs="Times New Roman"/>
          <w:sz w:val="24"/>
          <w:szCs w:val="24"/>
        </w:rPr>
      </w:pPr>
      <w:r w:rsidRPr="00AE5C3A">
        <w:rPr>
          <w:rFonts w:ascii="Times New Roman" w:hAnsi="Times New Roman" w:cs="Times New Roman"/>
          <w:sz w:val="24"/>
          <w:szCs w:val="24"/>
        </w:rPr>
        <w:t xml:space="preserve">Costs of this </w:t>
      </w:r>
      <w:r w:rsidR="00B85799" w:rsidRPr="00AE5C3A">
        <w:rPr>
          <w:rFonts w:ascii="Times New Roman" w:hAnsi="Times New Roman" w:cs="Times New Roman"/>
          <w:sz w:val="24"/>
          <w:szCs w:val="24"/>
        </w:rPr>
        <w:t>application shall</w:t>
      </w:r>
      <w:r w:rsidRPr="00AE5C3A">
        <w:rPr>
          <w:rFonts w:ascii="Times New Roman" w:hAnsi="Times New Roman" w:cs="Times New Roman"/>
          <w:sz w:val="24"/>
          <w:szCs w:val="24"/>
        </w:rPr>
        <w:t xml:space="preserve"> be in the cause.</w:t>
      </w:r>
    </w:p>
    <w:p w:rsidR="003D3AC2" w:rsidRDefault="003D3AC2" w:rsidP="00534B91">
      <w:pPr>
        <w:spacing w:after="0" w:line="360" w:lineRule="auto"/>
        <w:jc w:val="both"/>
        <w:rPr>
          <w:rFonts w:ascii="Times New Roman" w:hAnsi="Times New Roman" w:cs="Times New Roman"/>
          <w:b/>
          <w:i/>
          <w:sz w:val="24"/>
          <w:szCs w:val="24"/>
        </w:rPr>
      </w:pPr>
    </w:p>
    <w:p w:rsidR="00AE5C3A" w:rsidRDefault="00AE5C3A" w:rsidP="00534B91">
      <w:pPr>
        <w:spacing w:after="0" w:line="360" w:lineRule="auto"/>
        <w:jc w:val="both"/>
        <w:rPr>
          <w:rFonts w:ascii="Times New Roman" w:hAnsi="Times New Roman" w:cs="Times New Roman"/>
          <w:b/>
          <w:i/>
          <w:sz w:val="24"/>
          <w:szCs w:val="24"/>
        </w:rPr>
      </w:pPr>
    </w:p>
    <w:p w:rsidR="00AE5C3A" w:rsidRDefault="00AE5C3A" w:rsidP="00534B91">
      <w:pPr>
        <w:spacing w:after="0" w:line="360" w:lineRule="auto"/>
        <w:jc w:val="both"/>
        <w:rPr>
          <w:rFonts w:ascii="Times New Roman" w:hAnsi="Times New Roman" w:cs="Times New Roman"/>
          <w:b/>
          <w:i/>
          <w:sz w:val="24"/>
          <w:szCs w:val="24"/>
        </w:rPr>
      </w:pPr>
    </w:p>
    <w:p w:rsidR="00AE5C3A" w:rsidRDefault="00AE5C3A" w:rsidP="00534B91">
      <w:pPr>
        <w:spacing w:after="0" w:line="360" w:lineRule="auto"/>
        <w:jc w:val="both"/>
        <w:rPr>
          <w:rFonts w:ascii="Times New Roman" w:hAnsi="Times New Roman" w:cs="Times New Roman"/>
          <w:b/>
          <w:i/>
          <w:sz w:val="24"/>
          <w:szCs w:val="24"/>
        </w:rPr>
      </w:pPr>
    </w:p>
    <w:p w:rsidR="00AE5C3A" w:rsidRPr="00AE5C3A" w:rsidRDefault="00AE5C3A" w:rsidP="00534B91">
      <w:pPr>
        <w:spacing w:after="0" w:line="360" w:lineRule="auto"/>
        <w:jc w:val="both"/>
        <w:rPr>
          <w:rFonts w:ascii="Times New Roman" w:hAnsi="Times New Roman" w:cs="Times New Roman"/>
          <w:b/>
          <w:i/>
          <w:sz w:val="24"/>
          <w:szCs w:val="24"/>
        </w:rPr>
      </w:pPr>
    </w:p>
    <w:p w:rsidR="00A867E3" w:rsidRPr="00AE5C3A" w:rsidRDefault="00C2238D" w:rsidP="00AE5C3A">
      <w:pPr>
        <w:spacing w:after="0" w:line="240" w:lineRule="auto"/>
        <w:jc w:val="both"/>
        <w:rPr>
          <w:rFonts w:ascii="Times New Roman" w:hAnsi="Times New Roman" w:cs="Times New Roman"/>
          <w:b/>
          <w:i/>
          <w:sz w:val="24"/>
          <w:szCs w:val="24"/>
        </w:rPr>
      </w:pPr>
      <w:r w:rsidRPr="00AE5C3A">
        <w:rPr>
          <w:rFonts w:ascii="Times New Roman" w:hAnsi="Times New Roman" w:cs="Times New Roman"/>
          <w:i/>
          <w:sz w:val="24"/>
          <w:szCs w:val="24"/>
        </w:rPr>
        <w:t xml:space="preserve">TK </w:t>
      </w:r>
      <w:r w:rsidR="00B85799" w:rsidRPr="00AE5C3A">
        <w:rPr>
          <w:rFonts w:ascii="Times New Roman" w:hAnsi="Times New Roman" w:cs="Times New Roman"/>
          <w:i/>
          <w:sz w:val="24"/>
          <w:szCs w:val="24"/>
        </w:rPr>
        <w:t>Hove and</w:t>
      </w:r>
      <w:r w:rsidR="00A867E3" w:rsidRPr="00AE5C3A">
        <w:rPr>
          <w:rFonts w:ascii="Times New Roman" w:hAnsi="Times New Roman" w:cs="Times New Roman"/>
          <w:i/>
          <w:sz w:val="24"/>
          <w:szCs w:val="24"/>
        </w:rPr>
        <w:t xml:space="preserve"> Partners,</w:t>
      </w:r>
      <w:r w:rsidR="00A867E3" w:rsidRPr="00AE5C3A">
        <w:rPr>
          <w:rFonts w:ascii="Times New Roman" w:hAnsi="Times New Roman" w:cs="Times New Roman"/>
          <w:b/>
          <w:i/>
          <w:sz w:val="24"/>
          <w:szCs w:val="24"/>
        </w:rPr>
        <w:t xml:space="preserve"> </w:t>
      </w:r>
      <w:r w:rsidR="00A867E3" w:rsidRPr="00AE5C3A">
        <w:rPr>
          <w:rFonts w:ascii="Times New Roman" w:hAnsi="Times New Roman" w:cs="Times New Roman"/>
          <w:sz w:val="24"/>
          <w:szCs w:val="24"/>
        </w:rPr>
        <w:t>Applicants’ Legal Practitioners.</w:t>
      </w:r>
    </w:p>
    <w:p w:rsidR="009D29E1" w:rsidRPr="00AE5C3A" w:rsidRDefault="00E42686" w:rsidP="00AE5C3A">
      <w:pPr>
        <w:spacing w:after="0" w:line="240" w:lineRule="auto"/>
        <w:jc w:val="both"/>
        <w:rPr>
          <w:rFonts w:ascii="Times New Roman" w:hAnsi="Times New Roman" w:cs="Times New Roman"/>
          <w:sz w:val="24"/>
          <w:szCs w:val="24"/>
        </w:rPr>
      </w:pPr>
      <w:r w:rsidRPr="00AE5C3A">
        <w:rPr>
          <w:rFonts w:ascii="Times New Roman" w:hAnsi="Times New Roman" w:cs="Times New Roman"/>
          <w:i/>
          <w:sz w:val="24"/>
          <w:szCs w:val="24"/>
        </w:rPr>
        <w:t>Matizanadzo and Warhurst,</w:t>
      </w:r>
      <w:r w:rsidRPr="00AE5C3A">
        <w:rPr>
          <w:rFonts w:ascii="Times New Roman" w:hAnsi="Times New Roman" w:cs="Times New Roman"/>
          <w:b/>
          <w:i/>
          <w:sz w:val="24"/>
          <w:szCs w:val="24"/>
        </w:rPr>
        <w:t xml:space="preserve"> </w:t>
      </w:r>
      <w:r w:rsidR="00AE5C3A">
        <w:rPr>
          <w:rFonts w:ascii="Times New Roman" w:hAnsi="Times New Roman" w:cs="Times New Roman"/>
          <w:sz w:val="24"/>
          <w:szCs w:val="24"/>
        </w:rPr>
        <w:t>first</w:t>
      </w:r>
      <w:r w:rsidR="00AE5C3A" w:rsidRPr="00AE5C3A">
        <w:rPr>
          <w:rFonts w:ascii="Times New Roman" w:hAnsi="Times New Roman" w:cs="Times New Roman"/>
          <w:b/>
          <w:i/>
          <w:sz w:val="24"/>
          <w:szCs w:val="24"/>
        </w:rPr>
        <w:t xml:space="preserve"> </w:t>
      </w:r>
      <w:r w:rsidRPr="00AE5C3A">
        <w:rPr>
          <w:rFonts w:ascii="Times New Roman" w:hAnsi="Times New Roman" w:cs="Times New Roman"/>
          <w:sz w:val="24"/>
          <w:szCs w:val="24"/>
        </w:rPr>
        <w:t>Respondent’s Legal Practitioners.</w:t>
      </w:r>
      <w:r w:rsidR="0066763B" w:rsidRPr="00AE5C3A">
        <w:rPr>
          <w:rFonts w:ascii="Times New Roman" w:hAnsi="Times New Roman" w:cs="Times New Roman"/>
          <w:b/>
          <w:i/>
          <w:sz w:val="24"/>
          <w:szCs w:val="24"/>
        </w:rPr>
        <w:t xml:space="preserve">  </w:t>
      </w:r>
    </w:p>
    <w:sectPr w:rsidR="009D29E1" w:rsidRPr="00AE5C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D1E" w:rsidRDefault="002B5D1E" w:rsidP="006B6302">
      <w:pPr>
        <w:spacing w:after="0" w:line="240" w:lineRule="auto"/>
      </w:pPr>
      <w:r>
        <w:separator/>
      </w:r>
    </w:p>
  </w:endnote>
  <w:endnote w:type="continuationSeparator" w:id="0">
    <w:p w:rsidR="002B5D1E" w:rsidRDefault="002B5D1E" w:rsidP="006B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D1E" w:rsidRDefault="002B5D1E" w:rsidP="006B6302">
      <w:pPr>
        <w:spacing w:after="0" w:line="240" w:lineRule="auto"/>
      </w:pPr>
      <w:r>
        <w:separator/>
      </w:r>
    </w:p>
  </w:footnote>
  <w:footnote w:type="continuationSeparator" w:id="0">
    <w:p w:rsidR="002B5D1E" w:rsidRDefault="002B5D1E" w:rsidP="006B6302">
      <w:pPr>
        <w:spacing w:after="0" w:line="240" w:lineRule="auto"/>
      </w:pPr>
      <w:r>
        <w:continuationSeparator/>
      </w:r>
    </w:p>
  </w:footnote>
  <w:footnote w:id="1">
    <w:p w:rsidR="006B6302" w:rsidRDefault="006B6302" w:rsidP="006B6302">
      <w:pPr>
        <w:pStyle w:val="FootnoteText"/>
      </w:pPr>
      <w:r>
        <w:rPr>
          <w:rStyle w:val="FootnoteReference"/>
        </w:rPr>
        <w:footnoteRef/>
      </w:r>
      <w:r>
        <w:t xml:space="preserve"> 1998 (1) ZLR 188 (H).</w:t>
      </w:r>
    </w:p>
  </w:footnote>
  <w:footnote w:id="2">
    <w:p w:rsidR="003B13E6" w:rsidRPr="003B13E6" w:rsidRDefault="003B13E6">
      <w:pPr>
        <w:pStyle w:val="FootnoteText"/>
        <w:rPr>
          <w:lang w:val="en-GB"/>
        </w:rPr>
      </w:pPr>
      <w:r>
        <w:rPr>
          <w:rStyle w:val="FootnoteReference"/>
        </w:rPr>
        <w:footnoteRef/>
      </w:r>
      <w:r>
        <w:t xml:space="preserve"> </w:t>
      </w:r>
      <w:r w:rsidRPr="002E19A9">
        <w:rPr>
          <w:rFonts w:ascii="Arial" w:eastAsia="Times New Roman" w:hAnsi="Arial" w:cs="Arial"/>
          <w:color w:val="4A4A4A"/>
          <w:sz w:val="21"/>
          <w:szCs w:val="21"/>
          <w:lang w:eastAsia="en-ZW"/>
        </w:rPr>
        <w:t>1994 (3) SA 801 (C) at 803 H-I</w:t>
      </w:r>
    </w:p>
  </w:footnote>
  <w:footnote w:id="3">
    <w:p w:rsidR="007E3E06" w:rsidRDefault="007E3E06" w:rsidP="007E3E06">
      <w:pPr>
        <w:pStyle w:val="FootnoteText"/>
      </w:pPr>
      <w:r>
        <w:rPr>
          <w:rStyle w:val="FootnoteReference"/>
        </w:rPr>
        <w:footnoteRef/>
      </w:r>
      <w:r>
        <w:t xml:space="preserve"> HB 97-18.</w:t>
      </w:r>
    </w:p>
  </w:footnote>
  <w:footnote w:id="4">
    <w:p w:rsidR="007E3E06" w:rsidRDefault="007E3E06" w:rsidP="007E3E06">
      <w:pPr>
        <w:pStyle w:val="FootnoteText"/>
      </w:pPr>
      <w:r>
        <w:rPr>
          <w:rStyle w:val="FootnoteReference"/>
        </w:rPr>
        <w:footnoteRef/>
      </w:r>
      <w:r>
        <w:t xml:space="preserve"> 2014 (1) ZLR 674 (H). </w:t>
      </w:r>
    </w:p>
  </w:footnote>
  <w:footnote w:id="5">
    <w:p w:rsidR="00A62ED5" w:rsidRDefault="007E3E06" w:rsidP="007E3E06">
      <w:pPr>
        <w:pStyle w:val="FootnoteText"/>
      </w:pPr>
      <w:r>
        <w:rPr>
          <w:rStyle w:val="FootnoteReference"/>
        </w:rPr>
        <w:footnoteRef/>
      </w:r>
      <w:r>
        <w:t xml:space="preserve"> HH39-07.</w:t>
      </w:r>
    </w:p>
  </w:footnote>
  <w:footnote w:id="6">
    <w:p w:rsidR="00051DFC" w:rsidRPr="00051DFC" w:rsidRDefault="00051DFC">
      <w:pPr>
        <w:pStyle w:val="FootnoteText"/>
        <w:rPr>
          <w:lang w:val="en-GB"/>
        </w:rPr>
      </w:pPr>
      <w:r>
        <w:rPr>
          <w:rStyle w:val="FootnoteReference"/>
        </w:rPr>
        <w:footnoteRef/>
      </w:r>
      <w:r>
        <w:t xml:space="preserve"> HHC 183-15</w:t>
      </w:r>
    </w:p>
  </w:footnote>
  <w:footnote w:id="7">
    <w:p w:rsidR="00392DC7" w:rsidRDefault="00392DC7" w:rsidP="00392DC7">
      <w:pPr>
        <w:pStyle w:val="FootnoteText"/>
      </w:pPr>
      <w:r>
        <w:rPr>
          <w:rStyle w:val="FootnoteReference"/>
        </w:rPr>
        <w:footnoteRef/>
      </w:r>
      <w:r>
        <w:t xml:space="preserve">  1977 (3) SA 534(A)   at 545</w:t>
      </w:r>
    </w:p>
  </w:footnote>
  <w:footnote w:id="8">
    <w:p w:rsidR="00D01C3B" w:rsidRDefault="00D01C3B" w:rsidP="00D01C3B">
      <w:pPr>
        <w:pStyle w:val="FootnoteText"/>
      </w:pPr>
      <w:r>
        <w:rPr>
          <w:rStyle w:val="FootnoteReference"/>
        </w:rPr>
        <w:footnoteRef/>
      </w:r>
      <w:r>
        <w:t xml:space="preserve"> HH771-08.</w:t>
      </w:r>
    </w:p>
  </w:footnote>
  <w:footnote w:id="9">
    <w:p w:rsidR="000004D5" w:rsidRDefault="000004D5" w:rsidP="000004D5">
      <w:pPr>
        <w:pStyle w:val="FootnoteText"/>
      </w:pPr>
      <w:r>
        <w:rPr>
          <w:rStyle w:val="FootnoteReference"/>
        </w:rPr>
        <w:footnoteRef/>
      </w:r>
      <w:r>
        <w:t xml:space="preserve"> </w:t>
      </w:r>
      <w:r w:rsidRPr="00D25058">
        <w:rPr>
          <w:b/>
          <w:i/>
        </w:rPr>
        <w:t>Civil Practice of the High Court and the Supreme Court of Appeal of South Africa,</w:t>
      </w:r>
      <w:r>
        <w:rPr>
          <w:b/>
          <w:i/>
        </w:rPr>
        <w:t xml:space="preserve"> 5</w:t>
      </w:r>
      <w:r w:rsidRPr="00406AB7">
        <w:rPr>
          <w:b/>
          <w:i/>
          <w:vertAlign w:val="superscript"/>
        </w:rPr>
        <w:t>th</w:t>
      </w:r>
      <w:r>
        <w:rPr>
          <w:b/>
          <w:i/>
        </w:rPr>
        <w:t xml:space="preserve"> </w:t>
      </w:r>
      <w:r w:rsidRPr="00D25058">
        <w:rPr>
          <w:b/>
          <w:i/>
        </w:rPr>
        <w:t xml:space="preserve"> </w:t>
      </w:r>
      <w:r>
        <w:rPr>
          <w:b/>
          <w:i/>
        </w:rPr>
        <w:t xml:space="preserve">Ed, </w:t>
      </w:r>
      <w:r w:rsidRPr="00D25058">
        <w:rPr>
          <w:b/>
          <w:i/>
        </w:rPr>
        <w:t xml:space="preserve"> Vol 2 p954</w:t>
      </w:r>
    </w:p>
  </w:footnote>
  <w:footnote w:id="10">
    <w:p w:rsidR="00F37E8B" w:rsidRPr="00F37E8B" w:rsidRDefault="00F37E8B">
      <w:pPr>
        <w:pStyle w:val="FootnoteText"/>
        <w:rPr>
          <w:lang w:val="en-GB"/>
        </w:rPr>
      </w:pPr>
      <w:r>
        <w:rPr>
          <w:rStyle w:val="FootnoteReference"/>
        </w:rPr>
        <w:footnoteRef/>
      </w:r>
      <w:r>
        <w:t xml:space="preserve"> HH12-18.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469212"/>
      <w:docPartObj>
        <w:docPartGallery w:val="Page Numbers (Top of Page)"/>
        <w:docPartUnique/>
      </w:docPartObj>
    </w:sdtPr>
    <w:sdtEndPr>
      <w:rPr>
        <w:noProof/>
      </w:rPr>
    </w:sdtEndPr>
    <w:sdtContent>
      <w:p w:rsidR="00534B91" w:rsidRDefault="00534B91">
        <w:pPr>
          <w:pStyle w:val="Header"/>
          <w:jc w:val="right"/>
          <w:rPr>
            <w:noProof/>
          </w:rPr>
        </w:pPr>
        <w:r>
          <w:fldChar w:fldCharType="begin"/>
        </w:r>
        <w:r>
          <w:instrText xml:space="preserve"> PAGE   \* MERGEFORMAT </w:instrText>
        </w:r>
        <w:r>
          <w:fldChar w:fldCharType="separate"/>
        </w:r>
        <w:r w:rsidR="004D5380">
          <w:rPr>
            <w:noProof/>
          </w:rPr>
          <w:t>1</w:t>
        </w:r>
        <w:r>
          <w:rPr>
            <w:noProof/>
          </w:rPr>
          <w:fldChar w:fldCharType="end"/>
        </w:r>
      </w:p>
      <w:p w:rsidR="00534B91" w:rsidRDefault="00534B91">
        <w:pPr>
          <w:pStyle w:val="Header"/>
          <w:jc w:val="right"/>
          <w:rPr>
            <w:noProof/>
          </w:rPr>
        </w:pPr>
        <w:r>
          <w:rPr>
            <w:noProof/>
          </w:rPr>
          <w:t>HH</w:t>
        </w:r>
        <w:r w:rsidR="000271CB">
          <w:rPr>
            <w:noProof/>
          </w:rPr>
          <w:t xml:space="preserve"> 76-22</w:t>
        </w:r>
      </w:p>
      <w:p w:rsidR="00534B91" w:rsidRDefault="00534B91">
        <w:pPr>
          <w:pStyle w:val="Header"/>
          <w:jc w:val="right"/>
        </w:pPr>
        <w:r>
          <w:rPr>
            <w:noProof/>
          </w:rPr>
          <w:t>HC 177/22</w:t>
        </w:r>
      </w:p>
    </w:sdtContent>
  </w:sdt>
  <w:p w:rsidR="00534B91" w:rsidRDefault="00534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6A69"/>
    <w:multiLevelType w:val="hybridMultilevel"/>
    <w:tmpl w:val="E1504452"/>
    <w:lvl w:ilvl="0" w:tplc="273EDB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8275EC"/>
    <w:multiLevelType w:val="hybridMultilevel"/>
    <w:tmpl w:val="70502E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8CE7743"/>
    <w:multiLevelType w:val="hybridMultilevel"/>
    <w:tmpl w:val="01603D8C"/>
    <w:lvl w:ilvl="0" w:tplc="77187304">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64C22911"/>
    <w:multiLevelType w:val="hybridMultilevel"/>
    <w:tmpl w:val="185845AA"/>
    <w:lvl w:ilvl="0" w:tplc="E258E1FC">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90"/>
    <w:rsid w:val="000004D5"/>
    <w:rsid w:val="00003010"/>
    <w:rsid w:val="0000346F"/>
    <w:rsid w:val="00005B30"/>
    <w:rsid w:val="00005BE4"/>
    <w:rsid w:val="000271CB"/>
    <w:rsid w:val="000311CE"/>
    <w:rsid w:val="000476DC"/>
    <w:rsid w:val="00051DFC"/>
    <w:rsid w:val="00066B2A"/>
    <w:rsid w:val="00087E98"/>
    <w:rsid w:val="000A46D9"/>
    <w:rsid w:val="000A71E0"/>
    <w:rsid w:val="000A7F46"/>
    <w:rsid w:val="000B3F66"/>
    <w:rsid w:val="000C1174"/>
    <w:rsid w:val="000C2124"/>
    <w:rsid w:val="000E74CA"/>
    <w:rsid w:val="000E7CDC"/>
    <w:rsid w:val="001032E0"/>
    <w:rsid w:val="00103B66"/>
    <w:rsid w:val="0011485C"/>
    <w:rsid w:val="00115218"/>
    <w:rsid w:val="00123F8D"/>
    <w:rsid w:val="00147113"/>
    <w:rsid w:val="00154C76"/>
    <w:rsid w:val="00190810"/>
    <w:rsid w:val="001A1CE2"/>
    <w:rsid w:val="001B020D"/>
    <w:rsid w:val="001B09D4"/>
    <w:rsid w:val="001B1EF6"/>
    <w:rsid w:val="001B2C9A"/>
    <w:rsid w:val="001C2ACF"/>
    <w:rsid w:val="001C396C"/>
    <w:rsid w:val="001C5BC0"/>
    <w:rsid w:val="001E0BCD"/>
    <w:rsid w:val="001E178A"/>
    <w:rsid w:val="001E4A48"/>
    <w:rsid w:val="001F693D"/>
    <w:rsid w:val="002025FF"/>
    <w:rsid w:val="0022752D"/>
    <w:rsid w:val="0023798F"/>
    <w:rsid w:val="002475AA"/>
    <w:rsid w:val="00255E7B"/>
    <w:rsid w:val="00274ECF"/>
    <w:rsid w:val="002867C0"/>
    <w:rsid w:val="00296A22"/>
    <w:rsid w:val="0029740D"/>
    <w:rsid w:val="002B5D1E"/>
    <w:rsid w:val="00305F03"/>
    <w:rsid w:val="00316015"/>
    <w:rsid w:val="00322A60"/>
    <w:rsid w:val="0032357C"/>
    <w:rsid w:val="0036359A"/>
    <w:rsid w:val="003763A1"/>
    <w:rsid w:val="00380841"/>
    <w:rsid w:val="00383285"/>
    <w:rsid w:val="00391043"/>
    <w:rsid w:val="00392DC7"/>
    <w:rsid w:val="003A1A3D"/>
    <w:rsid w:val="003B031F"/>
    <w:rsid w:val="003B13E6"/>
    <w:rsid w:val="003C762F"/>
    <w:rsid w:val="003D3AC2"/>
    <w:rsid w:val="003E4C17"/>
    <w:rsid w:val="003F12B7"/>
    <w:rsid w:val="003F2D4C"/>
    <w:rsid w:val="004003BD"/>
    <w:rsid w:val="00400C1C"/>
    <w:rsid w:val="004049BD"/>
    <w:rsid w:val="00405FA6"/>
    <w:rsid w:val="00406D93"/>
    <w:rsid w:val="00410574"/>
    <w:rsid w:val="00434414"/>
    <w:rsid w:val="00436FDF"/>
    <w:rsid w:val="00454790"/>
    <w:rsid w:val="00467DF7"/>
    <w:rsid w:val="004734E5"/>
    <w:rsid w:val="00473FE1"/>
    <w:rsid w:val="00474B75"/>
    <w:rsid w:val="00486E92"/>
    <w:rsid w:val="004D305B"/>
    <w:rsid w:val="004D5380"/>
    <w:rsid w:val="004E611A"/>
    <w:rsid w:val="004F6A9E"/>
    <w:rsid w:val="00531E6A"/>
    <w:rsid w:val="0053374E"/>
    <w:rsid w:val="00534B91"/>
    <w:rsid w:val="00546C50"/>
    <w:rsid w:val="005530DA"/>
    <w:rsid w:val="0058269B"/>
    <w:rsid w:val="005929C2"/>
    <w:rsid w:val="00594A93"/>
    <w:rsid w:val="005A1AEF"/>
    <w:rsid w:val="005B5E80"/>
    <w:rsid w:val="005B61D3"/>
    <w:rsid w:val="005B6760"/>
    <w:rsid w:val="005C5DC0"/>
    <w:rsid w:val="005E4FF6"/>
    <w:rsid w:val="005E61C6"/>
    <w:rsid w:val="00603BE7"/>
    <w:rsid w:val="0060456C"/>
    <w:rsid w:val="006164CB"/>
    <w:rsid w:val="00625C85"/>
    <w:rsid w:val="00626C10"/>
    <w:rsid w:val="00663C2B"/>
    <w:rsid w:val="0066763B"/>
    <w:rsid w:val="006851E2"/>
    <w:rsid w:val="00690073"/>
    <w:rsid w:val="00696194"/>
    <w:rsid w:val="006A42A0"/>
    <w:rsid w:val="006A76AA"/>
    <w:rsid w:val="006B6302"/>
    <w:rsid w:val="006C6246"/>
    <w:rsid w:val="006E0C1A"/>
    <w:rsid w:val="006F6068"/>
    <w:rsid w:val="007117A6"/>
    <w:rsid w:val="00713579"/>
    <w:rsid w:val="00733419"/>
    <w:rsid w:val="00750E05"/>
    <w:rsid w:val="007771FD"/>
    <w:rsid w:val="007B4F6E"/>
    <w:rsid w:val="007C628F"/>
    <w:rsid w:val="007D6D10"/>
    <w:rsid w:val="007E32C6"/>
    <w:rsid w:val="007E3E06"/>
    <w:rsid w:val="007E4158"/>
    <w:rsid w:val="007F20BE"/>
    <w:rsid w:val="007F5616"/>
    <w:rsid w:val="008163FC"/>
    <w:rsid w:val="00816E9A"/>
    <w:rsid w:val="00825DBD"/>
    <w:rsid w:val="00832C54"/>
    <w:rsid w:val="00856F82"/>
    <w:rsid w:val="0086328E"/>
    <w:rsid w:val="00884AEE"/>
    <w:rsid w:val="008A0182"/>
    <w:rsid w:val="008A11F2"/>
    <w:rsid w:val="008B00AB"/>
    <w:rsid w:val="008C3BD4"/>
    <w:rsid w:val="008F7CB1"/>
    <w:rsid w:val="0090467C"/>
    <w:rsid w:val="0091638A"/>
    <w:rsid w:val="009170D2"/>
    <w:rsid w:val="00920577"/>
    <w:rsid w:val="00921BF8"/>
    <w:rsid w:val="00922F91"/>
    <w:rsid w:val="00954185"/>
    <w:rsid w:val="00954F99"/>
    <w:rsid w:val="009730A5"/>
    <w:rsid w:val="00975553"/>
    <w:rsid w:val="0098021B"/>
    <w:rsid w:val="009876C2"/>
    <w:rsid w:val="00994650"/>
    <w:rsid w:val="009A7C19"/>
    <w:rsid w:val="009B55E4"/>
    <w:rsid w:val="009C1E74"/>
    <w:rsid w:val="009C3DB7"/>
    <w:rsid w:val="009D29E1"/>
    <w:rsid w:val="009E6F03"/>
    <w:rsid w:val="009F07A5"/>
    <w:rsid w:val="00A17B55"/>
    <w:rsid w:val="00A22E86"/>
    <w:rsid w:val="00A25B2A"/>
    <w:rsid w:val="00A50BF5"/>
    <w:rsid w:val="00A62ED5"/>
    <w:rsid w:val="00A67CE8"/>
    <w:rsid w:val="00A77CDD"/>
    <w:rsid w:val="00A84C16"/>
    <w:rsid w:val="00A85B25"/>
    <w:rsid w:val="00A867E3"/>
    <w:rsid w:val="00A87D0D"/>
    <w:rsid w:val="00A93DFF"/>
    <w:rsid w:val="00AB6371"/>
    <w:rsid w:val="00AC73A4"/>
    <w:rsid w:val="00AE2ADF"/>
    <w:rsid w:val="00AE5C3A"/>
    <w:rsid w:val="00AE6A7A"/>
    <w:rsid w:val="00B00EF3"/>
    <w:rsid w:val="00B05D18"/>
    <w:rsid w:val="00B17041"/>
    <w:rsid w:val="00B34B45"/>
    <w:rsid w:val="00B35B94"/>
    <w:rsid w:val="00B45E58"/>
    <w:rsid w:val="00B57C92"/>
    <w:rsid w:val="00B60C49"/>
    <w:rsid w:val="00B72088"/>
    <w:rsid w:val="00B774AC"/>
    <w:rsid w:val="00B843E8"/>
    <w:rsid w:val="00B85799"/>
    <w:rsid w:val="00B878D5"/>
    <w:rsid w:val="00B94450"/>
    <w:rsid w:val="00B94795"/>
    <w:rsid w:val="00BA307B"/>
    <w:rsid w:val="00BB6D22"/>
    <w:rsid w:val="00BC6047"/>
    <w:rsid w:val="00C01363"/>
    <w:rsid w:val="00C20BB9"/>
    <w:rsid w:val="00C2238D"/>
    <w:rsid w:val="00C226DD"/>
    <w:rsid w:val="00C429FF"/>
    <w:rsid w:val="00C43D60"/>
    <w:rsid w:val="00C53C34"/>
    <w:rsid w:val="00C54BA4"/>
    <w:rsid w:val="00C64E10"/>
    <w:rsid w:val="00C775B5"/>
    <w:rsid w:val="00C82637"/>
    <w:rsid w:val="00C86644"/>
    <w:rsid w:val="00C94650"/>
    <w:rsid w:val="00CA0D7E"/>
    <w:rsid w:val="00CA1500"/>
    <w:rsid w:val="00CB005C"/>
    <w:rsid w:val="00CB1B63"/>
    <w:rsid w:val="00CB6B38"/>
    <w:rsid w:val="00CC7782"/>
    <w:rsid w:val="00CD1BAF"/>
    <w:rsid w:val="00CF4734"/>
    <w:rsid w:val="00D00941"/>
    <w:rsid w:val="00D01C3B"/>
    <w:rsid w:val="00D03764"/>
    <w:rsid w:val="00D468F2"/>
    <w:rsid w:val="00D54C43"/>
    <w:rsid w:val="00D760AA"/>
    <w:rsid w:val="00D818C0"/>
    <w:rsid w:val="00D855CD"/>
    <w:rsid w:val="00D867AA"/>
    <w:rsid w:val="00D87ABD"/>
    <w:rsid w:val="00DB3771"/>
    <w:rsid w:val="00DB47E0"/>
    <w:rsid w:val="00DD67FA"/>
    <w:rsid w:val="00DE41CE"/>
    <w:rsid w:val="00E3620A"/>
    <w:rsid w:val="00E42686"/>
    <w:rsid w:val="00E5109B"/>
    <w:rsid w:val="00E72858"/>
    <w:rsid w:val="00E849A2"/>
    <w:rsid w:val="00E90009"/>
    <w:rsid w:val="00E9765B"/>
    <w:rsid w:val="00EA21EF"/>
    <w:rsid w:val="00EB136D"/>
    <w:rsid w:val="00EB75CE"/>
    <w:rsid w:val="00ED30DC"/>
    <w:rsid w:val="00EE3EB8"/>
    <w:rsid w:val="00EF1895"/>
    <w:rsid w:val="00EF1F9D"/>
    <w:rsid w:val="00F01D2C"/>
    <w:rsid w:val="00F02EC3"/>
    <w:rsid w:val="00F20642"/>
    <w:rsid w:val="00F37E8B"/>
    <w:rsid w:val="00F440CD"/>
    <w:rsid w:val="00F62813"/>
    <w:rsid w:val="00F92540"/>
    <w:rsid w:val="00FC53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41CD4-C505-4A9C-A266-948E93EB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05"/>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22"/>
    <w:pPr>
      <w:ind w:left="720"/>
      <w:contextualSpacing/>
    </w:pPr>
  </w:style>
  <w:style w:type="paragraph" w:styleId="FootnoteText">
    <w:name w:val="footnote text"/>
    <w:basedOn w:val="Normal"/>
    <w:link w:val="FootnoteTextChar"/>
    <w:uiPriority w:val="99"/>
    <w:semiHidden/>
    <w:unhideWhenUsed/>
    <w:rsid w:val="006B6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302"/>
    <w:rPr>
      <w:sz w:val="20"/>
      <w:szCs w:val="20"/>
      <w:lang w:val="en-ZA"/>
    </w:rPr>
  </w:style>
  <w:style w:type="character" w:styleId="FootnoteReference">
    <w:name w:val="footnote reference"/>
    <w:basedOn w:val="DefaultParagraphFont"/>
    <w:uiPriority w:val="99"/>
    <w:semiHidden/>
    <w:unhideWhenUsed/>
    <w:rsid w:val="006B6302"/>
    <w:rPr>
      <w:vertAlign w:val="superscript"/>
    </w:rPr>
  </w:style>
  <w:style w:type="paragraph" w:styleId="Header">
    <w:name w:val="header"/>
    <w:basedOn w:val="Normal"/>
    <w:link w:val="HeaderChar"/>
    <w:uiPriority w:val="99"/>
    <w:unhideWhenUsed/>
    <w:rsid w:val="0053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B91"/>
    <w:rPr>
      <w:lang w:val="en-ZA"/>
    </w:rPr>
  </w:style>
  <w:style w:type="paragraph" w:styleId="Footer">
    <w:name w:val="footer"/>
    <w:basedOn w:val="Normal"/>
    <w:link w:val="FooterChar"/>
    <w:uiPriority w:val="99"/>
    <w:unhideWhenUsed/>
    <w:rsid w:val="0053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B91"/>
    <w:rPr>
      <w:lang w:val="en-ZA"/>
    </w:rPr>
  </w:style>
  <w:style w:type="paragraph" w:styleId="BalloonText">
    <w:name w:val="Balloon Text"/>
    <w:basedOn w:val="Normal"/>
    <w:link w:val="BalloonTextChar"/>
    <w:uiPriority w:val="99"/>
    <w:semiHidden/>
    <w:unhideWhenUsed/>
    <w:rsid w:val="00F20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42"/>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931F-367C-43C0-8CD7-A9F75841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cp:lastPrinted>2022-02-02T12:39:00Z</cp:lastPrinted>
  <dcterms:created xsi:type="dcterms:W3CDTF">2022-03-11T09:45:00Z</dcterms:created>
  <dcterms:modified xsi:type="dcterms:W3CDTF">2022-03-11T09:45:00Z</dcterms:modified>
</cp:coreProperties>
</file>