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08D" w:rsidRPr="00D145CF" w:rsidRDefault="00327D6F" w:rsidP="00B7208D">
      <w:pPr>
        <w:pStyle w:val="NoSpacing"/>
        <w:rPr>
          <w:b/>
          <w:u w:val="single"/>
        </w:rPr>
      </w:pPr>
      <w:bookmarkStart w:id="0" w:name="_GoBack"/>
      <w:bookmarkEnd w:id="0"/>
      <w:r w:rsidRPr="00D145CF">
        <w:rPr>
          <w:b/>
          <w:u w:val="single"/>
        </w:rPr>
        <w:t>REPORTABLE (8)</w:t>
      </w:r>
    </w:p>
    <w:p w:rsidR="00315CCF" w:rsidRPr="00D145CF" w:rsidRDefault="00315CCF" w:rsidP="00B7208D">
      <w:pPr>
        <w:pStyle w:val="NoSpacing"/>
      </w:pPr>
    </w:p>
    <w:p w:rsidR="00B7208D" w:rsidRPr="00D145CF" w:rsidRDefault="00B7208D" w:rsidP="00CA4B21">
      <w:pPr>
        <w:pStyle w:val="NoSpacing"/>
      </w:pPr>
    </w:p>
    <w:p w:rsidR="00327D6F" w:rsidRPr="00D145CF" w:rsidRDefault="00327D6F" w:rsidP="00CA4B21">
      <w:pPr>
        <w:pStyle w:val="NoSpacing"/>
      </w:pPr>
    </w:p>
    <w:p w:rsidR="00327D6F" w:rsidRPr="00D145CF" w:rsidRDefault="00327D6F" w:rsidP="00CA4B21">
      <w:pPr>
        <w:pStyle w:val="NoSpacing"/>
      </w:pPr>
    </w:p>
    <w:p w:rsidR="00B7208D" w:rsidRPr="00D145CF" w:rsidRDefault="00B7208D" w:rsidP="00CA4B21">
      <w:pPr>
        <w:pStyle w:val="NoSpacing"/>
      </w:pPr>
    </w:p>
    <w:p w:rsidR="00B7208D" w:rsidRPr="00D145CF" w:rsidRDefault="00B7208D" w:rsidP="00CA4B21">
      <w:pPr>
        <w:pStyle w:val="NoSpacing"/>
      </w:pPr>
    </w:p>
    <w:p w:rsidR="00B7208D" w:rsidRPr="00D145CF" w:rsidRDefault="00B7208D" w:rsidP="00CA4B21">
      <w:pPr>
        <w:pStyle w:val="NoSpacing"/>
      </w:pPr>
    </w:p>
    <w:p w:rsidR="00CA4B21" w:rsidRPr="00D145CF" w:rsidRDefault="00CA4B21" w:rsidP="00B7208D">
      <w:pPr>
        <w:pStyle w:val="NoSpacing"/>
        <w:jc w:val="center"/>
        <w:rPr>
          <w:b/>
        </w:rPr>
      </w:pPr>
    </w:p>
    <w:p w:rsidR="00B7208D" w:rsidRPr="00D145CF" w:rsidRDefault="00B7208D" w:rsidP="00B7208D">
      <w:pPr>
        <w:pStyle w:val="NoSpacing"/>
        <w:jc w:val="center"/>
        <w:rPr>
          <w:b/>
        </w:rPr>
      </w:pPr>
      <w:r w:rsidRPr="00D145CF">
        <w:rPr>
          <w:b/>
        </w:rPr>
        <w:t>GLENS  REMOVAL  AND  STORAGE  ZIMBABWE  (PRIVATE)  LIMITED</w:t>
      </w:r>
    </w:p>
    <w:p w:rsidR="00B7208D" w:rsidRPr="00D145CF" w:rsidRDefault="00B7208D" w:rsidP="00B7208D">
      <w:pPr>
        <w:pStyle w:val="NoSpacing"/>
        <w:jc w:val="center"/>
        <w:rPr>
          <w:b/>
        </w:rPr>
      </w:pPr>
    </w:p>
    <w:p w:rsidR="00B7208D" w:rsidRPr="00D145CF" w:rsidRDefault="00B7208D" w:rsidP="00B7208D">
      <w:pPr>
        <w:pStyle w:val="NoSpacing"/>
        <w:jc w:val="center"/>
        <w:rPr>
          <w:b/>
        </w:rPr>
      </w:pPr>
      <w:r w:rsidRPr="00D145CF">
        <w:rPr>
          <w:b/>
        </w:rPr>
        <w:t>v</w:t>
      </w:r>
    </w:p>
    <w:p w:rsidR="00B7208D" w:rsidRPr="00D145CF" w:rsidRDefault="00B7208D" w:rsidP="00B7208D">
      <w:pPr>
        <w:pStyle w:val="NoSpacing"/>
        <w:jc w:val="center"/>
        <w:rPr>
          <w:b/>
        </w:rPr>
      </w:pPr>
    </w:p>
    <w:p w:rsidR="00B7208D" w:rsidRPr="00D145CF" w:rsidRDefault="00B7208D" w:rsidP="00B7208D">
      <w:pPr>
        <w:pStyle w:val="NoSpacing"/>
        <w:jc w:val="center"/>
        <w:rPr>
          <w:b/>
        </w:rPr>
      </w:pPr>
      <w:r w:rsidRPr="00D145CF">
        <w:rPr>
          <w:b/>
        </w:rPr>
        <w:t>PATRICIA     MANDALA</w:t>
      </w:r>
    </w:p>
    <w:p w:rsidR="00B7208D" w:rsidRPr="00D145CF" w:rsidRDefault="00B7208D" w:rsidP="00B7208D">
      <w:pPr>
        <w:pStyle w:val="NoSpacing"/>
        <w:rPr>
          <w:b/>
        </w:rPr>
      </w:pPr>
    </w:p>
    <w:p w:rsidR="00B7208D" w:rsidRPr="00D145CF" w:rsidRDefault="00B7208D" w:rsidP="00B7208D">
      <w:pPr>
        <w:pStyle w:val="NoSpacing"/>
        <w:rPr>
          <w:b/>
        </w:rPr>
      </w:pPr>
    </w:p>
    <w:p w:rsidR="00B7208D" w:rsidRPr="00D145CF" w:rsidRDefault="00B7208D" w:rsidP="00B7208D">
      <w:pPr>
        <w:pStyle w:val="NoSpacing"/>
        <w:rPr>
          <w:b/>
        </w:rPr>
      </w:pPr>
      <w:r w:rsidRPr="00D145CF">
        <w:rPr>
          <w:b/>
        </w:rPr>
        <w:t>CONSTITUTIONAL COURT OF ZIMBABWE</w:t>
      </w:r>
    </w:p>
    <w:p w:rsidR="00B7208D" w:rsidRPr="00D145CF" w:rsidRDefault="00B7208D" w:rsidP="00B7208D">
      <w:pPr>
        <w:pStyle w:val="NoSpacing"/>
        <w:rPr>
          <w:b/>
        </w:rPr>
      </w:pPr>
      <w:r w:rsidRPr="00D145CF">
        <w:rPr>
          <w:b/>
        </w:rPr>
        <w:t>CHIDYAUSIKU CJ, MALABA DCJ, ZIYAMBI J</w:t>
      </w:r>
      <w:r w:rsidR="000B3C37" w:rsidRPr="00D145CF">
        <w:rPr>
          <w:b/>
        </w:rPr>
        <w:t>CC</w:t>
      </w:r>
      <w:r w:rsidRPr="00D145CF">
        <w:rPr>
          <w:b/>
        </w:rPr>
        <w:t>, GWAUNZA J</w:t>
      </w:r>
      <w:r w:rsidR="000B3C37" w:rsidRPr="00D145CF">
        <w:rPr>
          <w:b/>
        </w:rPr>
        <w:t>CC</w:t>
      </w:r>
      <w:r w:rsidRPr="00D145CF">
        <w:rPr>
          <w:b/>
        </w:rPr>
        <w:t>, GARWE J</w:t>
      </w:r>
      <w:r w:rsidR="000B3C37" w:rsidRPr="00D145CF">
        <w:rPr>
          <w:b/>
        </w:rPr>
        <w:t>CC</w:t>
      </w:r>
      <w:r w:rsidRPr="00D145CF">
        <w:rPr>
          <w:b/>
        </w:rPr>
        <w:t>, GOWORA J</w:t>
      </w:r>
      <w:r w:rsidR="000B3C37" w:rsidRPr="00D145CF">
        <w:rPr>
          <w:b/>
        </w:rPr>
        <w:t>CC</w:t>
      </w:r>
      <w:r w:rsidRPr="00D145CF">
        <w:rPr>
          <w:b/>
        </w:rPr>
        <w:t>, HLATSHWAYO J</w:t>
      </w:r>
      <w:r w:rsidR="000B3C37" w:rsidRPr="00D145CF">
        <w:rPr>
          <w:b/>
        </w:rPr>
        <w:t>CC</w:t>
      </w:r>
      <w:r w:rsidRPr="00D145CF">
        <w:rPr>
          <w:b/>
        </w:rPr>
        <w:t>, PATEL J</w:t>
      </w:r>
      <w:r w:rsidR="000B3C37" w:rsidRPr="00D145CF">
        <w:rPr>
          <w:b/>
        </w:rPr>
        <w:t>CC</w:t>
      </w:r>
      <w:r w:rsidRPr="00D145CF">
        <w:rPr>
          <w:b/>
        </w:rPr>
        <w:t xml:space="preserve"> &amp; GUVAVA J</w:t>
      </w:r>
      <w:r w:rsidR="000B3C37" w:rsidRPr="00D145CF">
        <w:rPr>
          <w:b/>
        </w:rPr>
        <w:t>CC</w:t>
      </w:r>
    </w:p>
    <w:p w:rsidR="00B7208D" w:rsidRPr="00D145CF" w:rsidRDefault="00B7208D" w:rsidP="00B7208D">
      <w:pPr>
        <w:pStyle w:val="NoSpacing"/>
        <w:rPr>
          <w:b/>
        </w:rPr>
      </w:pPr>
      <w:r w:rsidRPr="00D145CF">
        <w:rPr>
          <w:b/>
        </w:rPr>
        <w:t>HARARE, MARCH 5, 2014</w:t>
      </w:r>
    </w:p>
    <w:p w:rsidR="00B7208D" w:rsidRPr="00D145CF" w:rsidRDefault="00B7208D" w:rsidP="00B7208D">
      <w:pPr>
        <w:pStyle w:val="NoSpacing"/>
        <w:rPr>
          <w:b/>
        </w:rPr>
      </w:pPr>
    </w:p>
    <w:p w:rsidR="00315CCF" w:rsidRPr="00D145CF" w:rsidRDefault="00315CCF" w:rsidP="00B7208D">
      <w:pPr>
        <w:pStyle w:val="NoSpacing"/>
        <w:rPr>
          <w:b/>
        </w:rPr>
      </w:pPr>
    </w:p>
    <w:p w:rsidR="00B7208D" w:rsidRPr="00D145CF" w:rsidRDefault="00684CE7" w:rsidP="00B7208D">
      <w:pPr>
        <w:pStyle w:val="NoSpacing"/>
      </w:pPr>
      <w:r w:rsidRPr="00D145CF">
        <w:rPr>
          <w:i/>
        </w:rPr>
        <w:t xml:space="preserve">Ms </w:t>
      </w:r>
      <w:r w:rsidR="00B7208D" w:rsidRPr="00D145CF">
        <w:rPr>
          <w:i/>
        </w:rPr>
        <w:t>F Mahere</w:t>
      </w:r>
      <w:r w:rsidR="00B7208D" w:rsidRPr="00D145CF">
        <w:t>, for the applicant</w:t>
      </w:r>
      <w:r w:rsidR="005A0105" w:rsidRPr="00D145CF">
        <w:t>/appellant</w:t>
      </w:r>
    </w:p>
    <w:p w:rsidR="00B7208D" w:rsidRPr="00D145CF" w:rsidRDefault="00B7208D" w:rsidP="00B7208D">
      <w:pPr>
        <w:pStyle w:val="NoSpacing"/>
        <w:rPr>
          <w:b/>
        </w:rPr>
      </w:pPr>
    </w:p>
    <w:p w:rsidR="00B7208D" w:rsidRPr="00D145CF" w:rsidRDefault="00B7208D" w:rsidP="00B7208D">
      <w:pPr>
        <w:pStyle w:val="NoSpacing"/>
        <w:rPr>
          <w:b/>
        </w:rPr>
      </w:pPr>
      <w:r w:rsidRPr="00D145CF">
        <w:rPr>
          <w:i/>
        </w:rPr>
        <w:t>E Matinenga</w:t>
      </w:r>
      <w:r w:rsidRPr="00D145CF">
        <w:t>, for the respondent</w:t>
      </w:r>
    </w:p>
    <w:p w:rsidR="00B7208D" w:rsidRPr="00D145CF" w:rsidRDefault="00B7208D" w:rsidP="00B7208D">
      <w:pPr>
        <w:pStyle w:val="NoSpacing"/>
        <w:spacing w:line="480" w:lineRule="auto"/>
        <w:rPr>
          <w:b/>
        </w:rPr>
      </w:pPr>
    </w:p>
    <w:p w:rsidR="00B7208D" w:rsidRPr="00D145CF" w:rsidRDefault="00B7208D" w:rsidP="00B7208D">
      <w:pPr>
        <w:pStyle w:val="NoSpacing"/>
        <w:spacing w:line="480" w:lineRule="auto"/>
        <w:jc w:val="both"/>
      </w:pPr>
      <w:r w:rsidRPr="00D145CF">
        <w:rPr>
          <w:b/>
        </w:rPr>
        <w:tab/>
        <w:t>CHIDYAUSIKU CJ:</w:t>
      </w:r>
      <w:r w:rsidRPr="00D145CF">
        <w:t xml:space="preserve">   </w:t>
      </w:r>
      <w:r w:rsidR="00820A21" w:rsidRPr="00D145CF">
        <w:t>This matter was initially set down on the Supreme Court roll as an appeal matter. At the hearing of the appeal, the respondent submitted that the matter raised a constitutional issue o</w:t>
      </w:r>
      <w:r w:rsidR="00E016B3" w:rsidRPr="00D145CF">
        <w:t>f</w:t>
      </w:r>
      <w:r w:rsidR="00820A21" w:rsidRPr="00D145CF">
        <w:t xml:space="preserve"> whether the law of </w:t>
      </w:r>
      <w:r w:rsidR="00820A21" w:rsidRPr="00D145CF">
        <w:rPr>
          <w:i/>
        </w:rPr>
        <w:t>parate executie</w:t>
      </w:r>
      <w:r w:rsidR="00820A21" w:rsidRPr="00D145CF">
        <w:t xml:space="preserve"> violates</w:t>
      </w:r>
      <w:r w:rsidR="00A81B86" w:rsidRPr="00D145CF">
        <w:t xml:space="preserve"> the access to the courts provision, </w:t>
      </w:r>
      <w:r w:rsidR="00820A21" w:rsidRPr="00D145CF">
        <w:t xml:space="preserve">s 69(3) of the </w:t>
      </w:r>
      <w:r w:rsidR="00607C04" w:rsidRPr="00D145CF">
        <w:t>current</w:t>
      </w:r>
      <w:r w:rsidR="00820A21" w:rsidRPr="00D145CF">
        <w:t xml:space="preserve"> Constitution of Zimbabwe</w:t>
      </w:r>
      <w:r w:rsidR="00607C04" w:rsidRPr="00D145CF">
        <w:t xml:space="preserve"> (“the Constitution”)</w:t>
      </w:r>
      <w:r w:rsidR="00820A21" w:rsidRPr="00D145CF">
        <w:t xml:space="preserve">. </w:t>
      </w:r>
      <w:r w:rsidR="00DD67F9" w:rsidRPr="00D145CF">
        <w:t>Mr </w:t>
      </w:r>
      <w:r w:rsidR="00DD67F9" w:rsidRPr="00D145CF">
        <w:rPr>
          <w:i/>
        </w:rPr>
        <w:t>Matinenga</w:t>
      </w:r>
      <w:r w:rsidR="00DD67F9" w:rsidRPr="00D145CF">
        <w:t xml:space="preserve"> applied for a </w:t>
      </w:r>
      <w:r w:rsidR="00E016B3" w:rsidRPr="00D145CF">
        <w:t>referral to</w:t>
      </w:r>
      <w:r w:rsidR="00E509CE" w:rsidRPr="00D145CF">
        <w:t xml:space="preserve"> </w:t>
      </w:r>
      <w:r w:rsidR="00DD67F9" w:rsidRPr="00D145CF">
        <w:t xml:space="preserve">the Constitutional Court for the determination of that issue. </w:t>
      </w:r>
      <w:r w:rsidR="00820A21" w:rsidRPr="00D145CF">
        <w:t>The application was granted and the court issued the following order:</w:t>
      </w:r>
    </w:p>
    <w:p w:rsidR="00820A21" w:rsidRPr="00D145CF" w:rsidRDefault="00820A21" w:rsidP="00820A21">
      <w:pPr>
        <w:pStyle w:val="NoSpacing"/>
        <w:jc w:val="both"/>
      </w:pPr>
    </w:p>
    <w:p w:rsidR="00820A21" w:rsidRPr="00D145CF" w:rsidRDefault="00820A21" w:rsidP="00820A21">
      <w:pPr>
        <w:pStyle w:val="NoSpacing"/>
        <w:ind w:left="720"/>
        <w:jc w:val="both"/>
        <w:rPr>
          <w:b/>
        </w:rPr>
      </w:pPr>
      <w:r w:rsidRPr="00D145CF">
        <w:rPr>
          <w:b/>
        </w:rPr>
        <w:t>“IT IS ORDERED BY CONSENT THAT -</w:t>
      </w:r>
    </w:p>
    <w:p w:rsidR="00820A21" w:rsidRPr="00D145CF" w:rsidRDefault="00820A21" w:rsidP="00820A21">
      <w:pPr>
        <w:pStyle w:val="NoSpacing"/>
        <w:ind w:left="720"/>
        <w:jc w:val="both"/>
        <w:rPr>
          <w:b/>
        </w:rPr>
      </w:pPr>
    </w:p>
    <w:p w:rsidR="00820A21" w:rsidRPr="00D145CF" w:rsidRDefault="00820A21" w:rsidP="00820A21">
      <w:pPr>
        <w:pStyle w:val="NoSpacing"/>
        <w:ind w:left="1440" w:hanging="720"/>
        <w:jc w:val="both"/>
      </w:pPr>
      <w:r w:rsidRPr="00D145CF">
        <w:t>1.</w:t>
      </w:r>
      <w:r w:rsidRPr="00D145CF">
        <w:tab/>
        <w:t xml:space="preserve">The matter be and is hereby postponed </w:t>
      </w:r>
      <w:r w:rsidRPr="00D145CF">
        <w:rPr>
          <w:i/>
        </w:rPr>
        <w:t>sine die</w:t>
      </w:r>
      <w:r w:rsidRPr="00D145CF">
        <w:t xml:space="preserve"> with no order as to costs</w:t>
      </w:r>
      <w:r w:rsidR="00A041F6" w:rsidRPr="00D145CF">
        <w:t>,</w:t>
      </w:r>
      <w:r w:rsidRPr="00D145CF">
        <w:t xml:space="preserve"> </w:t>
      </w:r>
      <w:r w:rsidR="00A041F6" w:rsidRPr="00D145CF">
        <w:t>t</w:t>
      </w:r>
      <w:r w:rsidRPr="00D145CF">
        <w:t xml:space="preserve">he </w:t>
      </w:r>
      <w:r w:rsidR="009B1686" w:rsidRPr="00D145CF">
        <w:t xml:space="preserve">reason </w:t>
      </w:r>
      <w:r w:rsidRPr="00D145CF">
        <w:t xml:space="preserve">being that the matter raises a constitutional </w:t>
      </w:r>
      <w:r w:rsidR="009B1686" w:rsidRPr="00D145CF">
        <w:t>issue</w:t>
      </w:r>
      <w:r w:rsidRPr="00D145CF">
        <w:t xml:space="preserve"> as to whether the law of </w:t>
      </w:r>
      <w:r w:rsidRPr="00D145CF">
        <w:rPr>
          <w:i/>
        </w:rPr>
        <w:t>parate executie</w:t>
      </w:r>
      <w:r w:rsidRPr="00D145CF">
        <w:t xml:space="preserve"> violates section 69(3) of the Constitution of Zimbabwe</w:t>
      </w:r>
      <w:r w:rsidR="00892B7F" w:rsidRPr="00D145CF">
        <w:t>.</w:t>
      </w:r>
    </w:p>
    <w:p w:rsidR="00820A21" w:rsidRPr="00D145CF" w:rsidRDefault="00820A21" w:rsidP="00820A21">
      <w:pPr>
        <w:pStyle w:val="NoSpacing"/>
        <w:ind w:left="1440" w:hanging="720"/>
        <w:jc w:val="both"/>
      </w:pPr>
    </w:p>
    <w:p w:rsidR="00820A21" w:rsidRPr="00D145CF" w:rsidRDefault="00820A21" w:rsidP="00820A21">
      <w:pPr>
        <w:pStyle w:val="NoSpacing"/>
        <w:ind w:left="1440" w:hanging="720"/>
        <w:jc w:val="both"/>
      </w:pPr>
      <w:r w:rsidRPr="00D145CF">
        <w:t>2.</w:t>
      </w:r>
      <w:r w:rsidRPr="00D145CF">
        <w:tab/>
        <w:t>The matter to be heard by the full Bench of the Constitutional Court.”</w:t>
      </w:r>
    </w:p>
    <w:p w:rsidR="004D4B8E" w:rsidRPr="00D145CF" w:rsidRDefault="004D4B8E" w:rsidP="004D4B8E">
      <w:pPr>
        <w:pStyle w:val="NoSpacing"/>
        <w:spacing w:line="480" w:lineRule="auto"/>
        <w:jc w:val="both"/>
      </w:pPr>
    </w:p>
    <w:p w:rsidR="00892B7F" w:rsidRPr="00D145CF" w:rsidRDefault="004D4B8E" w:rsidP="004D4B8E">
      <w:pPr>
        <w:pStyle w:val="NoSpacing"/>
        <w:spacing w:line="480" w:lineRule="auto"/>
        <w:jc w:val="both"/>
      </w:pPr>
      <w:r w:rsidRPr="00D145CF">
        <w:lastRenderedPageBreak/>
        <w:tab/>
        <w:t xml:space="preserve">The facts of this matter are fairly simple and straightforward. </w:t>
      </w:r>
      <w:r w:rsidR="004E3598" w:rsidRPr="00D145CF">
        <w:t xml:space="preserve">They are virtually common cause. They are as follows. </w:t>
      </w:r>
    </w:p>
    <w:p w:rsidR="00892B7F" w:rsidRPr="00D145CF" w:rsidRDefault="00892B7F" w:rsidP="004D4B8E">
      <w:pPr>
        <w:pStyle w:val="NoSpacing"/>
        <w:spacing w:line="480" w:lineRule="auto"/>
        <w:jc w:val="both"/>
      </w:pPr>
    </w:p>
    <w:p w:rsidR="004E3598" w:rsidRPr="00D145CF" w:rsidRDefault="004E3598" w:rsidP="00892B7F">
      <w:pPr>
        <w:pStyle w:val="NoSpacing"/>
        <w:spacing w:line="480" w:lineRule="auto"/>
        <w:ind w:firstLine="720"/>
        <w:jc w:val="both"/>
      </w:pPr>
      <w:r w:rsidRPr="00D145CF">
        <w:t xml:space="preserve">The respondent (the plaintiff in the court </w:t>
      </w:r>
      <w:r w:rsidRPr="00D145CF">
        <w:rPr>
          <w:i/>
        </w:rPr>
        <w:t>a quo</w:t>
      </w:r>
      <w:r w:rsidR="005A0105" w:rsidRPr="00D145CF">
        <w:rPr>
          <w:i/>
        </w:rPr>
        <w:t xml:space="preserve"> </w:t>
      </w:r>
      <w:r w:rsidR="005A0105" w:rsidRPr="00D145CF">
        <w:t>and hereinafter referred to as “the plaintiff” for convenience)</w:t>
      </w:r>
      <w:r w:rsidRPr="00D145CF">
        <w:t xml:space="preserve"> entered into a contract of storage with the appl</w:t>
      </w:r>
      <w:r w:rsidR="000B6E51" w:rsidRPr="00D145CF">
        <w:t>ic</w:t>
      </w:r>
      <w:r w:rsidRPr="00D145CF">
        <w:t xml:space="preserve">ant (the defendant in the court </w:t>
      </w:r>
      <w:r w:rsidRPr="00D145CF">
        <w:rPr>
          <w:i/>
        </w:rPr>
        <w:t>a quo</w:t>
      </w:r>
      <w:r w:rsidR="000B6E51" w:rsidRPr="00D145CF">
        <w:t xml:space="preserve"> and hereinafter referred to as “the defendant” for convenience</w:t>
      </w:r>
      <w:r w:rsidRPr="00D145CF">
        <w:t xml:space="preserve">), in terms of which she lodged her goods with the </w:t>
      </w:r>
      <w:r w:rsidR="000B6E51" w:rsidRPr="00D145CF">
        <w:t>defendant</w:t>
      </w:r>
      <w:r w:rsidRPr="00D145CF">
        <w:t>. The agreement provided that the goods were to attract a monthly storage charge and that payment was to be made in advance. The agreement included as a material term of the contract that if the storage charges:</w:t>
      </w:r>
    </w:p>
    <w:p w:rsidR="004E3598" w:rsidRPr="00D145CF" w:rsidRDefault="004E3598" w:rsidP="00892B7F">
      <w:pPr>
        <w:pStyle w:val="NoSpacing"/>
        <w:jc w:val="both"/>
      </w:pPr>
    </w:p>
    <w:p w:rsidR="004D4B8E" w:rsidRPr="00D145CF" w:rsidRDefault="004E3598" w:rsidP="004E3598">
      <w:pPr>
        <w:pStyle w:val="NoSpacing"/>
        <w:ind w:left="720"/>
        <w:jc w:val="both"/>
      </w:pPr>
      <w:r w:rsidRPr="00D145CF">
        <w:t>“… remain unpaid for three consecutive months Glens (the appl</w:t>
      </w:r>
      <w:r w:rsidR="003C2C7F" w:rsidRPr="00D145CF">
        <w:t>ic</w:t>
      </w:r>
      <w:r w:rsidRPr="00D145CF">
        <w:t>ant) reserved the right to sell part or all of the goods by Public Auction without notice to defray the accrued charges”.</w:t>
      </w:r>
    </w:p>
    <w:p w:rsidR="004E3598" w:rsidRPr="00D145CF" w:rsidRDefault="004E3598" w:rsidP="004E3598">
      <w:pPr>
        <w:pStyle w:val="NoSpacing"/>
        <w:spacing w:line="480" w:lineRule="auto"/>
        <w:jc w:val="both"/>
      </w:pPr>
    </w:p>
    <w:p w:rsidR="00892B7F" w:rsidRPr="00D145CF" w:rsidRDefault="004E3598" w:rsidP="004E3598">
      <w:pPr>
        <w:pStyle w:val="NoSpacing"/>
        <w:spacing w:line="480" w:lineRule="auto"/>
        <w:jc w:val="both"/>
      </w:pPr>
      <w:r w:rsidRPr="00D145CF">
        <w:t xml:space="preserve">The </w:t>
      </w:r>
      <w:r w:rsidR="005A0105" w:rsidRPr="00D145CF">
        <w:t>plaintiff</w:t>
      </w:r>
      <w:r w:rsidRPr="00D145CF">
        <w:t xml:space="preserve"> breached the above clause of the agreement. The </w:t>
      </w:r>
      <w:r w:rsidR="007F4E63" w:rsidRPr="00D145CF">
        <w:t>defendant</w:t>
      </w:r>
      <w:r w:rsidRPr="00D145CF">
        <w:t xml:space="preserve"> sold the goods by public auction. It used part of the proceeds to defray costs and kept the balance for collection by the </w:t>
      </w:r>
      <w:r w:rsidR="007F4E63" w:rsidRPr="00D145CF">
        <w:t>plaintiff</w:t>
      </w:r>
      <w:r w:rsidRPr="00D145CF">
        <w:t xml:space="preserve"> at her convenience.</w:t>
      </w:r>
      <w:r w:rsidR="00892B7F" w:rsidRPr="00D145CF">
        <w:t xml:space="preserve"> </w:t>
      </w:r>
    </w:p>
    <w:p w:rsidR="00892B7F" w:rsidRPr="00D145CF" w:rsidRDefault="00892B7F" w:rsidP="004E3598">
      <w:pPr>
        <w:pStyle w:val="NoSpacing"/>
        <w:spacing w:line="480" w:lineRule="auto"/>
        <w:jc w:val="both"/>
      </w:pPr>
    </w:p>
    <w:p w:rsidR="004E3598" w:rsidRPr="00D145CF" w:rsidRDefault="00892B7F" w:rsidP="00892B7F">
      <w:pPr>
        <w:pStyle w:val="NoSpacing"/>
        <w:spacing w:line="480" w:lineRule="auto"/>
        <w:ind w:firstLine="720"/>
        <w:jc w:val="both"/>
      </w:pPr>
      <w:r w:rsidRPr="00D145CF">
        <w:t>T</w:t>
      </w:r>
      <w:r w:rsidR="004E3598" w:rsidRPr="00D145CF">
        <w:t xml:space="preserve">he </w:t>
      </w:r>
      <w:r w:rsidR="007F4E63" w:rsidRPr="00D145CF">
        <w:t>plaintiff</w:t>
      </w:r>
      <w:r w:rsidR="004E3598" w:rsidRPr="00D145CF">
        <w:t xml:space="preserve">, aggrieved by this, </w:t>
      </w:r>
      <w:r w:rsidRPr="00D145CF">
        <w:t xml:space="preserve">approached the High Court for redress. The </w:t>
      </w:r>
      <w:r w:rsidR="007F4E63" w:rsidRPr="00D145CF">
        <w:t>plaintiff</w:t>
      </w:r>
      <w:r w:rsidRPr="00D145CF">
        <w:t xml:space="preserve"> claimed damages for the loss of her goods and damages for pain and suffering as a result of the </w:t>
      </w:r>
      <w:r w:rsidR="007F4E63" w:rsidRPr="00D145CF">
        <w:t>defendant</w:t>
      </w:r>
      <w:r w:rsidRPr="00D145CF">
        <w:t xml:space="preserve">’s actions. The High Court found for the </w:t>
      </w:r>
      <w:r w:rsidR="007F4E63" w:rsidRPr="00D145CF">
        <w:t>plaintiff</w:t>
      </w:r>
      <w:r w:rsidRPr="00D145CF">
        <w:t xml:space="preserve"> and the </w:t>
      </w:r>
      <w:r w:rsidR="007F4E63" w:rsidRPr="00D145CF">
        <w:t>defendant</w:t>
      </w:r>
      <w:r w:rsidRPr="00D145CF">
        <w:t xml:space="preserve"> was ordered to pay damages in the sum of US$2</w:t>
      </w:r>
      <w:r w:rsidR="00AD59C3" w:rsidRPr="00D145CF">
        <w:t>0 </w:t>
      </w:r>
      <w:r w:rsidRPr="00D145CF">
        <w:t xml:space="preserve">000, being the value of the </w:t>
      </w:r>
      <w:r w:rsidR="007F4E63" w:rsidRPr="00D145CF">
        <w:t>plaintiff</w:t>
      </w:r>
      <w:r w:rsidRPr="00D145CF">
        <w:t xml:space="preserve">’s property, which the </w:t>
      </w:r>
      <w:r w:rsidR="007F4E63" w:rsidRPr="00D145CF">
        <w:t>defendant</w:t>
      </w:r>
      <w:r w:rsidRPr="00D145CF">
        <w:t xml:space="preserve"> had</w:t>
      </w:r>
      <w:r w:rsidR="00FB3396" w:rsidRPr="00D145CF">
        <w:t xml:space="preserve">, according to the court </w:t>
      </w:r>
      <w:r w:rsidR="00FB3396" w:rsidRPr="00D145CF">
        <w:rPr>
          <w:i/>
        </w:rPr>
        <w:t>a quo</w:t>
      </w:r>
      <w:r w:rsidR="00FB3396" w:rsidRPr="00D145CF">
        <w:t>,</w:t>
      </w:r>
      <w:r w:rsidR="00F20053" w:rsidRPr="00D145CF">
        <w:t xml:space="preserve"> </w:t>
      </w:r>
      <w:r w:rsidRPr="00D145CF">
        <w:t xml:space="preserve">“wrongfully and unlawfully” sold. The </w:t>
      </w:r>
      <w:r w:rsidR="007F4E63" w:rsidRPr="00D145CF">
        <w:t>defendant</w:t>
      </w:r>
      <w:r w:rsidRPr="00D145CF">
        <w:t xml:space="preserve"> was also ordered to pay damages for pain and suffering in the sum of US$1 500.</w:t>
      </w:r>
    </w:p>
    <w:p w:rsidR="00892B7F" w:rsidRPr="00D145CF" w:rsidRDefault="00892B7F" w:rsidP="00892B7F">
      <w:pPr>
        <w:pStyle w:val="NoSpacing"/>
        <w:spacing w:line="480" w:lineRule="auto"/>
        <w:jc w:val="both"/>
      </w:pPr>
    </w:p>
    <w:p w:rsidR="00892B7F" w:rsidRPr="00D145CF" w:rsidRDefault="00892B7F" w:rsidP="00892B7F">
      <w:pPr>
        <w:pStyle w:val="NoSpacing"/>
        <w:spacing w:line="480" w:lineRule="auto"/>
        <w:jc w:val="both"/>
      </w:pPr>
      <w:r w:rsidRPr="00D145CF">
        <w:tab/>
      </w:r>
      <w:r w:rsidR="00A123C1" w:rsidRPr="00D145CF">
        <w:t xml:space="preserve">The </w:t>
      </w:r>
      <w:r w:rsidR="007F4E63" w:rsidRPr="00D145CF">
        <w:t>defend</w:t>
      </w:r>
      <w:r w:rsidR="00A123C1" w:rsidRPr="00D145CF">
        <w:t xml:space="preserve">ant was dissatisfied with the </w:t>
      </w:r>
      <w:r w:rsidR="00F20053" w:rsidRPr="00D145CF">
        <w:t>judgment</w:t>
      </w:r>
      <w:r w:rsidR="00A123C1" w:rsidRPr="00D145CF">
        <w:t xml:space="preserve"> of the </w:t>
      </w:r>
      <w:r w:rsidR="00F20053" w:rsidRPr="00D145CF">
        <w:t xml:space="preserve">court </w:t>
      </w:r>
      <w:r w:rsidR="00F20053" w:rsidRPr="00D145CF">
        <w:rPr>
          <w:i/>
        </w:rPr>
        <w:t xml:space="preserve">a quo </w:t>
      </w:r>
      <w:r w:rsidR="00A123C1" w:rsidRPr="00D145CF">
        <w:t>and appeal</w:t>
      </w:r>
      <w:r w:rsidR="00F20053" w:rsidRPr="00D145CF">
        <w:t>ed</w:t>
      </w:r>
      <w:r w:rsidR="00A123C1" w:rsidRPr="00D145CF">
        <w:t xml:space="preserve"> t</w:t>
      </w:r>
      <w:r w:rsidR="00F20053" w:rsidRPr="00D145CF">
        <w:t>o</w:t>
      </w:r>
      <w:r w:rsidR="00A123C1" w:rsidRPr="00D145CF">
        <w:t xml:space="preserve"> the Supreme Court. As I have already stated, at the commencement of the hearing of the </w:t>
      </w:r>
      <w:r w:rsidR="00A123C1" w:rsidRPr="00D145CF">
        <w:lastRenderedPageBreak/>
        <w:t xml:space="preserve">appeal the constitutionality of the </w:t>
      </w:r>
      <w:r w:rsidR="00A123C1" w:rsidRPr="00D145CF">
        <w:rPr>
          <w:i/>
        </w:rPr>
        <w:t>parate executie</w:t>
      </w:r>
      <w:r w:rsidR="00A123C1" w:rsidRPr="00D145CF">
        <w:t xml:space="preserve"> clause was raised and </w:t>
      </w:r>
      <w:r w:rsidR="00AD59C3" w:rsidRPr="00D145CF">
        <w:t xml:space="preserve">the matter </w:t>
      </w:r>
      <w:r w:rsidR="00A123C1" w:rsidRPr="00D145CF">
        <w:t>was referred to th</w:t>
      </w:r>
      <w:r w:rsidR="000A1B0A" w:rsidRPr="00D145CF">
        <w:t>is</w:t>
      </w:r>
      <w:r w:rsidR="00A123C1" w:rsidRPr="00D145CF">
        <w:t> Court for determination.</w:t>
      </w:r>
    </w:p>
    <w:p w:rsidR="00A123C1" w:rsidRPr="00D145CF" w:rsidRDefault="00A123C1" w:rsidP="00892B7F">
      <w:pPr>
        <w:pStyle w:val="NoSpacing"/>
        <w:spacing w:line="480" w:lineRule="auto"/>
        <w:jc w:val="both"/>
      </w:pPr>
    </w:p>
    <w:p w:rsidR="001803E4" w:rsidRPr="00D145CF" w:rsidRDefault="00A123C1" w:rsidP="00892B7F">
      <w:pPr>
        <w:pStyle w:val="NoSpacing"/>
        <w:spacing w:line="480" w:lineRule="auto"/>
        <w:jc w:val="both"/>
      </w:pPr>
      <w:r w:rsidRPr="00D145CF">
        <w:tab/>
        <w:t xml:space="preserve">Before </w:t>
      </w:r>
      <w:r w:rsidR="00CA4B21" w:rsidRPr="00D145CF">
        <w:t>considering</w:t>
      </w:r>
      <w:r w:rsidRPr="00D145CF">
        <w:t xml:space="preserve"> the constitutional issue</w:t>
      </w:r>
      <w:r w:rsidR="00607C04" w:rsidRPr="00D145CF">
        <w:t>s</w:t>
      </w:r>
      <w:r w:rsidR="00CA4B21" w:rsidRPr="00D145CF">
        <w:t xml:space="preserve"> </w:t>
      </w:r>
      <w:r w:rsidR="001803E4" w:rsidRPr="00D145CF">
        <w:t>referred to this Court, I wish to make the following observations on issues which were inadvertently left open by the Supreme Court. The issues are not constitutional issues</w:t>
      </w:r>
      <w:r w:rsidR="003C2C7F" w:rsidRPr="00D145CF">
        <w:t>. They therefore fall</w:t>
      </w:r>
      <w:r w:rsidR="001803E4" w:rsidRPr="00D145CF">
        <w:t xml:space="preserve"> outside the jurisdiction of th</w:t>
      </w:r>
      <w:r w:rsidR="000A1B0A" w:rsidRPr="00D145CF">
        <w:t>is</w:t>
      </w:r>
      <w:r w:rsidR="001803E4" w:rsidRPr="00D145CF">
        <w:t xml:space="preserve"> Court.</w:t>
      </w:r>
      <w:r w:rsidRPr="00D145CF">
        <w:t xml:space="preserve"> </w:t>
      </w:r>
    </w:p>
    <w:p w:rsidR="001803E4" w:rsidRPr="00D145CF" w:rsidRDefault="001803E4" w:rsidP="001803E4">
      <w:pPr>
        <w:pStyle w:val="NoSpacing"/>
        <w:jc w:val="both"/>
      </w:pPr>
    </w:p>
    <w:p w:rsidR="00A123C1" w:rsidRPr="00D145CF" w:rsidRDefault="0091787B" w:rsidP="00E509CE">
      <w:pPr>
        <w:pStyle w:val="NoSpacing"/>
        <w:spacing w:line="480" w:lineRule="auto"/>
        <w:ind w:firstLine="720"/>
        <w:jc w:val="both"/>
      </w:pPr>
      <w:r w:rsidRPr="00D145CF">
        <w:t xml:space="preserve">The </w:t>
      </w:r>
      <w:r w:rsidR="007F4E63" w:rsidRPr="00D145CF">
        <w:t>defendant</w:t>
      </w:r>
      <w:r w:rsidR="00CA4B21" w:rsidRPr="00D145CF">
        <w:t xml:space="preserve"> appealed against the judgment of the court </w:t>
      </w:r>
      <w:r w:rsidR="00CA4B21" w:rsidRPr="00D145CF">
        <w:rPr>
          <w:i/>
        </w:rPr>
        <w:t>a quo</w:t>
      </w:r>
      <w:r w:rsidR="00CA4B21" w:rsidRPr="00D145CF">
        <w:t xml:space="preserve"> on the</w:t>
      </w:r>
      <w:r w:rsidR="0020555B" w:rsidRPr="00D145CF">
        <w:t xml:space="preserve"> following</w:t>
      </w:r>
      <w:r w:rsidR="00CA4B21" w:rsidRPr="00D145CF">
        <w:t xml:space="preserve"> grounds</w:t>
      </w:r>
      <w:r w:rsidRPr="00D145CF">
        <w:t>:</w:t>
      </w:r>
    </w:p>
    <w:p w:rsidR="0091787B" w:rsidRPr="00D145CF" w:rsidRDefault="0091787B" w:rsidP="0091787B">
      <w:pPr>
        <w:pStyle w:val="NoSpacing"/>
        <w:jc w:val="both"/>
      </w:pPr>
    </w:p>
    <w:p w:rsidR="00A856A0" w:rsidRPr="00D145CF" w:rsidRDefault="00A856A0" w:rsidP="00A856A0">
      <w:pPr>
        <w:pStyle w:val="NoSpacing"/>
        <w:ind w:left="1440" w:hanging="720"/>
        <w:jc w:val="both"/>
      </w:pPr>
      <w:r w:rsidRPr="00D145CF">
        <w:t>“1.</w:t>
      </w:r>
      <w:r w:rsidRPr="00D145CF">
        <w:tab/>
        <w:t xml:space="preserve">The learned Judge </w:t>
      </w:r>
      <w:r w:rsidRPr="00D145CF">
        <w:rPr>
          <w:i/>
        </w:rPr>
        <w:t>a quo</w:t>
      </w:r>
      <w:r w:rsidRPr="00D145CF">
        <w:t xml:space="preserve"> erred in holding that the Appellant was liable to compensate the Respondent for selling her property by </w:t>
      </w:r>
      <w:r w:rsidR="00B611AE" w:rsidRPr="00D145CF">
        <w:t>P</w:t>
      </w:r>
      <w:r w:rsidRPr="00D145CF">
        <w:t xml:space="preserve">ublic </w:t>
      </w:r>
      <w:r w:rsidR="00B611AE" w:rsidRPr="00D145CF">
        <w:t>A</w:t>
      </w:r>
      <w:r w:rsidRPr="00D145CF">
        <w:t>uction.</w:t>
      </w:r>
    </w:p>
    <w:p w:rsidR="00A856A0" w:rsidRPr="00D145CF" w:rsidRDefault="00A856A0" w:rsidP="00A856A0">
      <w:pPr>
        <w:pStyle w:val="NoSpacing"/>
        <w:ind w:left="1440" w:hanging="720"/>
        <w:jc w:val="both"/>
      </w:pPr>
    </w:p>
    <w:p w:rsidR="00A856A0" w:rsidRPr="00D145CF" w:rsidRDefault="00A856A0" w:rsidP="00A856A0">
      <w:pPr>
        <w:pStyle w:val="NoSpacing"/>
        <w:ind w:left="1440" w:hanging="720"/>
        <w:jc w:val="both"/>
      </w:pPr>
      <w:r w:rsidRPr="00D145CF">
        <w:t>2.</w:t>
      </w:r>
      <w:r w:rsidRPr="00D145CF">
        <w:tab/>
        <w:t xml:space="preserve">The learned Judge </w:t>
      </w:r>
      <w:r w:rsidRPr="00D145CF">
        <w:rPr>
          <w:i/>
        </w:rPr>
        <w:t>a quo</w:t>
      </w:r>
      <w:r w:rsidRPr="00D145CF">
        <w:t xml:space="preserve"> misdirected himself on a point of law by finding that the </w:t>
      </w:r>
      <w:r w:rsidRPr="00D145CF">
        <w:rPr>
          <w:i/>
        </w:rPr>
        <w:t>parate executie</w:t>
      </w:r>
      <w:r w:rsidRPr="00D145CF">
        <w:t xml:space="preserve"> did not apply in this matter when in fact the parties upon concluding the contract had agreed that it shall apply.</w:t>
      </w:r>
    </w:p>
    <w:p w:rsidR="00A856A0" w:rsidRPr="00D145CF" w:rsidRDefault="00A856A0" w:rsidP="00A856A0">
      <w:pPr>
        <w:pStyle w:val="NoSpacing"/>
        <w:ind w:left="1440" w:hanging="720"/>
        <w:jc w:val="both"/>
      </w:pPr>
    </w:p>
    <w:p w:rsidR="00A856A0" w:rsidRPr="00D145CF" w:rsidRDefault="00A856A0" w:rsidP="00A856A0">
      <w:pPr>
        <w:pStyle w:val="NoSpacing"/>
        <w:ind w:left="1440" w:hanging="720"/>
        <w:jc w:val="both"/>
      </w:pPr>
      <w:r w:rsidRPr="00D145CF">
        <w:t>3.</w:t>
      </w:r>
      <w:r w:rsidRPr="00D145CF">
        <w:tab/>
        <w:t xml:space="preserve">The learned Judge </w:t>
      </w:r>
      <w:r w:rsidRPr="00D145CF">
        <w:rPr>
          <w:i/>
        </w:rPr>
        <w:t>a quo</w:t>
      </w:r>
      <w:r w:rsidRPr="00D145CF">
        <w:t xml:space="preserve"> erred in the exercise of his discretion in holding that</w:t>
      </w:r>
      <w:r w:rsidR="00B611AE" w:rsidRPr="00D145CF">
        <w:t xml:space="preserve"> the r</w:t>
      </w:r>
      <w:r w:rsidRPr="00D145CF">
        <w:t>espondent was entitled to damages in the sum of US$20 000.00 in</w:t>
      </w:r>
      <w:r w:rsidR="00B611AE" w:rsidRPr="00D145CF">
        <w:t xml:space="preserve"> </w:t>
      </w:r>
      <w:r w:rsidRPr="00D145CF">
        <w:t xml:space="preserve">circumstances where the </w:t>
      </w:r>
      <w:r w:rsidR="00B611AE" w:rsidRPr="00D145CF">
        <w:t>r</w:t>
      </w:r>
      <w:r w:rsidRPr="00D145CF">
        <w:t>espondent had miserably failed to prove her claim.</w:t>
      </w:r>
    </w:p>
    <w:p w:rsidR="00A856A0" w:rsidRPr="00D145CF" w:rsidRDefault="00A856A0" w:rsidP="00A856A0">
      <w:pPr>
        <w:pStyle w:val="NoSpacing"/>
        <w:ind w:left="720"/>
        <w:jc w:val="both"/>
      </w:pPr>
    </w:p>
    <w:p w:rsidR="0091787B" w:rsidRPr="00D145CF" w:rsidRDefault="00B611AE" w:rsidP="00B611AE">
      <w:pPr>
        <w:pStyle w:val="NoSpacing"/>
        <w:ind w:left="1440" w:hanging="720"/>
        <w:jc w:val="both"/>
      </w:pPr>
      <w:r w:rsidRPr="00D145CF">
        <w:t>4.</w:t>
      </w:r>
      <w:r w:rsidRPr="00D145CF">
        <w:tab/>
      </w:r>
      <w:r w:rsidR="00A856A0" w:rsidRPr="00D145CF">
        <w:t xml:space="preserve">The </w:t>
      </w:r>
      <w:r w:rsidRPr="00D145CF">
        <w:t>a</w:t>
      </w:r>
      <w:r w:rsidR="00A856A0" w:rsidRPr="00D145CF">
        <w:t xml:space="preserve">ppellant </w:t>
      </w:r>
      <w:r w:rsidRPr="00D145CF">
        <w:t xml:space="preserve">will </w:t>
      </w:r>
      <w:r w:rsidR="00A856A0" w:rsidRPr="00D145CF">
        <w:t xml:space="preserve">pray that the appeal be allowed with costs and that the </w:t>
      </w:r>
      <w:r w:rsidRPr="00D145CF">
        <w:t>j</w:t>
      </w:r>
      <w:r w:rsidR="00A856A0" w:rsidRPr="00D145CF">
        <w:t xml:space="preserve">udgment of the </w:t>
      </w:r>
      <w:r w:rsidRPr="00D145CF">
        <w:t>High C</w:t>
      </w:r>
      <w:r w:rsidR="00A856A0" w:rsidRPr="00D145CF">
        <w:t>ourt be set aside and substituted in place thereof by an order that</w:t>
      </w:r>
      <w:r w:rsidRPr="00D145CF">
        <w:t xml:space="preserve"> the r</w:t>
      </w:r>
      <w:r w:rsidR="00A856A0" w:rsidRPr="00D145CF">
        <w:t xml:space="preserve">espondent’s claim against the </w:t>
      </w:r>
      <w:r w:rsidRPr="00D145CF">
        <w:t>a</w:t>
      </w:r>
      <w:r w:rsidR="00A856A0" w:rsidRPr="00D145CF">
        <w:t>ppellant be and hereby dismissed with costs</w:t>
      </w:r>
      <w:r w:rsidRPr="00D145CF">
        <w:t>, including costs of two (2) counsels where two (2) counsels are employed</w:t>
      </w:r>
      <w:r w:rsidR="00A856A0" w:rsidRPr="00D145CF">
        <w:t>.</w:t>
      </w:r>
      <w:r w:rsidRPr="00D145CF">
        <w:t>”</w:t>
      </w:r>
    </w:p>
    <w:p w:rsidR="00107957" w:rsidRPr="00D145CF" w:rsidRDefault="00107957" w:rsidP="00107957">
      <w:pPr>
        <w:pStyle w:val="NoSpacing"/>
        <w:spacing w:line="480" w:lineRule="auto"/>
        <w:jc w:val="both"/>
      </w:pPr>
    </w:p>
    <w:p w:rsidR="004F7DE6" w:rsidRPr="00D145CF" w:rsidRDefault="00972E65" w:rsidP="00107957">
      <w:pPr>
        <w:pStyle w:val="NoSpacing"/>
        <w:spacing w:line="480" w:lineRule="auto"/>
        <w:jc w:val="both"/>
      </w:pPr>
      <w:r w:rsidRPr="00D145CF">
        <w:tab/>
        <w:t xml:space="preserve">The </w:t>
      </w:r>
      <w:r w:rsidR="007F4E63" w:rsidRPr="00D145CF">
        <w:t>defend</w:t>
      </w:r>
      <w:r w:rsidRPr="00D145CF">
        <w:t>ant</w:t>
      </w:r>
      <w:r w:rsidR="00E50B49" w:rsidRPr="00D145CF">
        <w:t>’s</w:t>
      </w:r>
      <w:r w:rsidRPr="00D145CF">
        <w:t xml:space="preserve"> argument </w:t>
      </w:r>
      <w:r w:rsidR="00E50B49" w:rsidRPr="00D145CF">
        <w:t>in simple terms is that</w:t>
      </w:r>
      <w:r w:rsidRPr="00D145CF">
        <w:t xml:space="preserve"> the </w:t>
      </w:r>
      <w:r w:rsidR="003C2C7F" w:rsidRPr="00D145CF">
        <w:t>plaintiff</w:t>
      </w:r>
      <w:r w:rsidR="00E50B49" w:rsidRPr="00D145CF">
        <w:t>’s pleadings</w:t>
      </w:r>
      <w:r w:rsidRPr="00D145CF">
        <w:t xml:space="preserve"> establish no cause of action, in that </w:t>
      </w:r>
      <w:r w:rsidR="009855D6" w:rsidRPr="00D145CF">
        <w:t>t</w:t>
      </w:r>
      <w:r w:rsidRPr="00D145CF">
        <w:t xml:space="preserve">he claim for damages </w:t>
      </w:r>
      <w:r w:rsidR="00E50B49" w:rsidRPr="00D145CF">
        <w:t>cannot be founded</w:t>
      </w:r>
      <w:r w:rsidR="00F01356" w:rsidRPr="00D145CF">
        <w:t xml:space="preserve"> on a breach of contract. If anything, it was the </w:t>
      </w:r>
      <w:r w:rsidR="00B326A3" w:rsidRPr="00D145CF">
        <w:t>plaintiff</w:t>
      </w:r>
      <w:r w:rsidR="00F01356" w:rsidRPr="00D145CF">
        <w:t xml:space="preserve"> who was in breach of the contract, which led the </w:t>
      </w:r>
      <w:r w:rsidR="00B326A3" w:rsidRPr="00D145CF">
        <w:t>defend</w:t>
      </w:r>
      <w:r w:rsidR="00F01356" w:rsidRPr="00D145CF">
        <w:t>ant to enforce the contract and sell the goods by public auction in terms the</w:t>
      </w:r>
      <w:r w:rsidR="00B326A3" w:rsidRPr="00D145CF">
        <w:t>reof</w:t>
      </w:r>
      <w:r w:rsidR="00F01356" w:rsidRPr="00D145CF">
        <w:t xml:space="preserve">. </w:t>
      </w:r>
      <w:r w:rsidR="00110384" w:rsidRPr="00D145CF">
        <w:t xml:space="preserve">The </w:t>
      </w:r>
      <w:r w:rsidR="00B326A3" w:rsidRPr="00D145CF">
        <w:t>defend</w:t>
      </w:r>
      <w:r w:rsidR="00110384" w:rsidRPr="00D145CF">
        <w:t>ant further</w:t>
      </w:r>
      <w:r w:rsidR="000B611A" w:rsidRPr="00D145CF">
        <w:t xml:space="preserve"> </w:t>
      </w:r>
      <w:r w:rsidR="00E50B49" w:rsidRPr="00D145CF">
        <w:t>contend</w:t>
      </w:r>
      <w:r w:rsidR="000B611A" w:rsidRPr="00D145CF">
        <w:t>ed</w:t>
      </w:r>
      <w:r w:rsidR="00110384" w:rsidRPr="00D145CF">
        <w:t xml:space="preserve"> </w:t>
      </w:r>
      <w:r w:rsidR="000B611A" w:rsidRPr="00D145CF">
        <w:t xml:space="preserve">that the </w:t>
      </w:r>
      <w:r w:rsidR="00B326A3" w:rsidRPr="00D145CF">
        <w:t>plaintiff</w:t>
      </w:r>
      <w:r w:rsidR="000B611A" w:rsidRPr="00D145CF">
        <w:t xml:space="preserve">’s cause of action could not be founded in delict, as the </w:t>
      </w:r>
      <w:r w:rsidR="000B611A" w:rsidRPr="00D145CF">
        <w:lastRenderedPageBreak/>
        <w:t>pleadings did not set out the requirements for a delictual action.</w:t>
      </w:r>
      <w:r w:rsidR="008D1472" w:rsidRPr="00D145CF">
        <w:t xml:space="preserve"> The </w:t>
      </w:r>
      <w:r w:rsidR="004372CD" w:rsidRPr="00D145CF">
        <w:t>defenda</w:t>
      </w:r>
      <w:r w:rsidR="008D1472" w:rsidRPr="00D145CF">
        <w:t>nt’s contention appears unassailable.</w:t>
      </w:r>
    </w:p>
    <w:p w:rsidR="004F7DE6" w:rsidRPr="00D145CF" w:rsidRDefault="004F7DE6" w:rsidP="00107957">
      <w:pPr>
        <w:pStyle w:val="NoSpacing"/>
        <w:spacing w:line="480" w:lineRule="auto"/>
        <w:jc w:val="both"/>
      </w:pPr>
    </w:p>
    <w:p w:rsidR="00B90543" w:rsidRPr="00D145CF" w:rsidRDefault="00527DF6" w:rsidP="00064D95">
      <w:pPr>
        <w:pStyle w:val="NoSpacing"/>
        <w:spacing w:line="480" w:lineRule="auto"/>
        <w:ind w:firstLine="720"/>
        <w:jc w:val="both"/>
      </w:pPr>
      <w:r w:rsidRPr="00D145CF">
        <w:t>Mr </w:t>
      </w:r>
      <w:r w:rsidRPr="00D145CF">
        <w:rPr>
          <w:i/>
        </w:rPr>
        <w:t>Matinenga</w:t>
      </w:r>
      <w:r w:rsidRPr="00D145CF">
        <w:t xml:space="preserve">, for the </w:t>
      </w:r>
      <w:r w:rsidR="00B326A3" w:rsidRPr="00D145CF">
        <w:t>plaintiff</w:t>
      </w:r>
      <w:r w:rsidRPr="00D145CF">
        <w:t xml:space="preserve">, did not make any meaningful submissions to the contrary. He virtually conceded the point and </w:t>
      </w:r>
      <w:r w:rsidR="00A56852" w:rsidRPr="00D145CF">
        <w:t>predicated</w:t>
      </w:r>
      <w:r w:rsidRPr="00D145CF">
        <w:t xml:space="preserve"> his </w:t>
      </w:r>
      <w:r w:rsidR="00A56852" w:rsidRPr="00D145CF">
        <w:t>case</w:t>
      </w:r>
      <w:r w:rsidRPr="00D145CF">
        <w:t xml:space="preserve"> on the </w:t>
      </w:r>
      <w:r w:rsidR="008C65ED" w:rsidRPr="00D145CF">
        <w:t>un</w:t>
      </w:r>
      <w:r w:rsidRPr="00D145CF">
        <w:t>constitutionality of</w:t>
      </w:r>
      <w:r w:rsidR="008C65ED" w:rsidRPr="00D145CF">
        <w:t xml:space="preserve"> the</w:t>
      </w:r>
      <w:r w:rsidRPr="00D145CF">
        <w:t xml:space="preserve"> </w:t>
      </w:r>
      <w:r w:rsidRPr="00D145CF">
        <w:rPr>
          <w:i/>
        </w:rPr>
        <w:t>parate executie</w:t>
      </w:r>
      <w:r w:rsidR="008C65ED" w:rsidRPr="00D145CF">
        <w:t xml:space="preserve"> clause in the contract</w:t>
      </w:r>
      <w:r w:rsidRPr="00D145CF">
        <w:t xml:space="preserve">. </w:t>
      </w:r>
    </w:p>
    <w:p w:rsidR="00385FB7" w:rsidRPr="00D145CF" w:rsidRDefault="00385FB7" w:rsidP="00064D95">
      <w:pPr>
        <w:pStyle w:val="NoSpacing"/>
        <w:spacing w:line="480" w:lineRule="auto"/>
        <w:ind w:firstLine="720"/>
        <w:jc w:val="both"/>
      </w:pPr>
    </w:p>
    <w:p w:rsidR="00385FB7" w:rsidRPr="00D145CF" w:rsidRDefault="00385FB7" w:rsidP="00D95869">
      <w:pPr>
        <w:pStyle w:val="NoSpacing"/>
        <w:spacing w:line="480" w:lineRule="auto"/>
        <w:ind w:firstLine="720"/>
        <w:jc w:val="both"/>
      </w:pPr>
      <w:r w:rsidRPr="00D145CF">
        <w:t>It is not for th</w:t>
      </w:r>
      <w:r w:rsidR="002E2F72" w:rsidRPr="00D145CF">
        <w:t>is</w:t>
      </w:r>
      <w:r w:rsidRPr="00D145CF">
        <w:t xml:space="preserve"> Court to determine issue</w:t>
      </w:r>
      <w:r w:rsidR="00E016B3" w:rsidRPr="00D145CF">
        <w:t>s raised</w:t>
      </w:r>
      <w:r w:rsidRPr="00D145CF">
        <w:t xml:space="preserve"> </w:t>
      </w:r>
      <w:r w:rsidR="00E016B3" w:rsidRPr="00D145CF">
        <w:t>be</w:t>
      </w:r>
      <w:r w:rsidRPr="00D145CF">
        <w:t>for</w:t>
      </w:r>
      <w:r w:rsidR="00E016B3" w:rsidRPr="00D145CF">
        <w:t>e</w:t>
      </w:r>
      <w:r w:rsidRPr="00D145CF">
        <w:t xml:space="preserve"> the Supreme Court</w:t>
      </w:r>
      <w:r w:rsidR="00E016B3" w:rsidRPr="00D145CF">
        <w:t xml:space="preserve"> that are not constitutional</w:t>
      </w:r>
      <w:r w:rsidRPr="00D145CF">
        <w:t xml:space="preserve">. </w:t>
      </w:r>
      <w:r w:rsidR="00E016B3" w:rsidRPr="00D145CF">
        <w:t xml:space="preserve">Those issues are for the Supreme Court to determine. </w:t>
      </w:r>
      <w:r w:rsidRPr="00D145CF">
        <w:t>The Supreme Court has the final word on th</w:t>
      </w:r>
      <w:r w:rsidR="00E016B3" w:rsidRPr="00D145CF">
        <w:t>ose</w:t>
      </w:r>
      <w:r w:rsidRPr="00D145CF">
        <w:t xml:space="preserve"> issue</w:t>
      </w:r>
      <w:r w:rsidR="00E016B3" w:rsidRPr="00D145CF">
        <w:t>s</w:t>
      </w:r>
      <w:r w:rsidRPr="00D145CF">
        <w:t>. Ideally the Supreme Court should have determined th</w:t>
      </w:r>
      <w:r w:rsidR="00E016B3" w:rsidRPr="00D145CF">
        <w:t>ose</w:t>
      </w:r>
      <w:r w:rsidRPr="00D145CF">
        <w:t xml:space="preserve"> issue</w:t>
      </w:r>
      <w:r w:rsidR="00E016B3" w:rsidRPr="00D145CF">
        <w:t>s</w:t>
      </w:r>
      <w:r w:rsidRPr="00D145CF">
        <w:t xml:space="preserve"> and </w:t>
      </w:r>
      <w:r w:rsidR="00E016B3" w:rsidRPr="00D145CF">
        <w:t>thereafter</w:t>
      </w:r>
      <w:r w:rsidRPr="00D145CF">
        <w:t xml:space="preserve"> referred the</w:t>
      </w:r>
      <w:r w:rsidR="00E016B3" w:rsidRPr="00D145CF">
        <w:t xml:space="preserve"> issue of the</w:t>
      </w:r>
      <w:r w:rsidRPr="00D145CF">
        <w:t xml:space="preserve"> constitutionality of </w:t>
      </w:r>
      <w:r w:rsidRPr="00D145CF">
        <w:rPr>
          <w:i/>
        </w:rPr>
        <w:t>parate executie</w:t>
      </w:r>
      <w:r w:rsidRPr="00D145CF">
        <w:t xml:space="preserve"> to th</w:t>
      </w:r>
      <w:r w:rsidR="002E2F72" w:rsidRPr="00D145CF">
        <w:t>is</w:t>
      </w:r>
      <w:r w:rsidRPr="00D145CF">
        <w:t xml:space="preserve"> Court if so persuaded.</w:t>
      </w:r>
    </w:p>
    <w:p w:rsidR="00B90543" w:rsidRPr="00D145CF" w:rsidRDefault="00B90543" w:rsidP="00064D95">
      <w:pPr>
        <w:pStyle w:val="NoSpacing"/>
        <w:spacing w:line="480" w:lineRule="auto"/>
        <w:jc w:val="both"/>
      </w:pPr>
    </w:p>
    <w:p w:rsidR="000B5321" w:rsidRPr="00D145CF" w:rsidRDefault="000B5321" w:rsidP="00064D95">
      <w:pPr>
        <w:pStyle w:val="NoSpacing"/>
        <w:spacing w:line="480" w:lineRule="auto"/>
        <w:jc w:val="both"/>
      </w:pPr>
      <w:r w:rsidRPr="00D145CF">
        <w:tab/>
        <w:t>I now turn to deal with the constitutional issues raised in this case.</w:t>
      </w:r>
    </w:p>
    <w:p w:rsidR="000B5321" w:rsidRPr="00D145CF" w:rsidRDefault="000B5321" w:rsidP="00064D95">
      <w:pPr>
        <w:pStyle w:val="NoSpacing"/>
        <w:spacing w:line="480" w:lineRule="auto"/>
        <w:jc w:val="both"/>
      </w:pPr>
    </w:p>
    <w:p w:rsidR="00F16DD3" w:rsidRPr="00D145CF" w:rsidRDefault="000B5321" w:rsidP="00EA10C9">
      <w:pPr>
        <w:pStyle w:val="NoSpacing"/>
        <w:spacing w:line="480" w:lineRule="auto"/>
        <w:ind w:firstLine="720"/>
        <w:jc w:val="both"/>
      </w:pPr>
      <w:r w:rsidRPr="00D145CF">
        <w:t>Mr </w:t>
      </w:r>
      <w:r w:rsidRPr="00D145CF">
        <w:rPr>
          <w:i/>
        </w:rPr>
        <w:t>Matinenga</w:t>
      </w:r>
      <w:r w:rsidRPr="00D145CF">
        <w:t xml:space="preserve">, as I have stated, rested his case on the illegality of </w:t>
      </w:r>
      <w:r w:rsidRPr="00D145CF">
        <w:rPr>
          <w:i/>
        </w:rPr>
        <w:t>parate executie</w:t>
      </w:r>
      <w:r w:rsidRPr="00D145CF">
        <w:t>. He submitted that this is a point of law which can be raised for the first time on appeal.</w:t>
      </w:r>
      <w:r w:rsidR="006745CC" w:rsidRPr="00D145CF">
        <w:t xml:space="preserve"> </w:t>
      </w:r>
      <w:r w:rsidR="00F16DD3" w:rsidRPr="00D145CF">
        <w:t xml:space="preserve">In </w:t>
      </w:r>
      <w:r w:rsidR="00FA2361" w:rsidRPr="00D145CF">
        <w:t>support of his case, Mr </w:t>
      </w:r>
      <w:r w:rsidR="00FA2361" w:rsidRPr="00D145CF">
        <w:rPr>
          <w:i/>
        </w:rPr>
        <w:t>Matinenga</w:t>
      </w:r>
      <w:r w:rsidR="00F16DD3" w:rsidRPr="00D145CF">
        <w:t xml:space="preserve"> made the following submissions in para 6 of his heads of argument:</w:t>
      </w:r>
    </w:p>
    <w:p w:rsidR="00F16DD3" w:rsidRPr="00D145CF" w:rsidRDefault="00F16DD3" w:rsidP="00F16DD3">
      <w:pPr>
        <w:pStyle w:val="NoSpacing"/>
        <w:jc w:val="both"/>
      </w:pPr>
    </w:p>
    <w:p w:rsidR="00F16DD3" w:rsidRPr="00D145CF" w:rsidRDefault="00F16DD3" w:rsidP="00F16DD3">
      <w:pPr>
        <w:pStyle w:val="NoSpacing"/>
        <w:ind w:left="1440" w:hanging="720"/>
        <w:jc w:val="both"/>
      </w:pPr>
      <w:r w:rsidRPr="00D145CF">
        <w:t>“6.</w:t>
      </w:r>
      <w:r w:rsidRPr="00D145CF">
        <w:tab/>
        <w:t xml:space="preserve">These heads of argument address the issue of </w:t>
      </w:r>
      <w:r w:rsidRPr="00D145CF">
        <w:rPr>
          <w:i/>
        </w:rPr>
        <w:t>parate</w:t>
      </w:r>
      <w:r w:rsidRPr="00D145CF">
        <w:t xml:space="preserve"> execution in three stages.</w:t>
      </w:r>
    </w:p>
    <w:p w:rsidR="00F16DD3" w:rsidRPr="00D145CF" w:rsidRDefault="00F16DD3" w:rsidP="00F16DD3">
      <w:pPr>
        <w:pStyle w:val="NoSpacing"/>
        <w:ind w:left="1440" w:hanging="720"/>
        <w:jc w:val="both"/>
      </w:pPr>
    </w:p>
    <w:p w:rsidR="00F16DD3" w:rsidRPr="00D145CF" w:rsidRDefault="00F16DD3" w:rsidP="00F16DD3">
      <w:pPr>
        <w:pStyle w:val="NoSpacing"/>
        <w:ind w:left="1440"/>
        <w:jc w:val="both"/>
      </w:pPr>
      <w:r w:rsidRPr="00D145CF">
        <w:t xml:space="preserve">Firstly, it is argued that </w:t>
      </w:r>
      <w:r w:rsidRPr="00D145CF">
        <w:rPr>
          <w:i/>
        </w:rPr>
        <w:t>parate</w:t>
      </w:r>
      <w:r w:rsidRPr="00D145CF">
        <w:t xml:space="preserve"> execution is not of general application. </w:t>
      </w:r>
      <w:r w:rsidR="00A65710" w:rsidRPr="00D145CF">
        <w:t>It is limited to a specific type of contract – a pledge. In this type of contract there is no dispute on the principal obligation between the creditor and (the) debtor.</w:t>
      </w:r>
    </w:p>
    <w:p w:rsidR="00A65710" w:rsidRPr="00D145CF" w:rsidRDefault="00A65710" w:rsidP="00F16DD3">
      <w:pPr>
        <w:pStyle w:val="NoSpacing"/>
        <w:ind w:left="1440"/>
        <w:jc w:val="both"/>
      </w:pPr>
    </w:p>
    <w:p w:rsidR="00A65710" w:rsidRPr="00D145CF" w:rsidRDefault="00A65710" w:rsidP="00F16DD3">
      <w:pPr>
        <w:pStyle w:val="NoSpacing"/>
        <w:ind w:left="1440"/>
        <w:jc w:val="both"/>
      </w:pPr>
      <w:r w:rsidRPr="00D145CF">
        <w:t xml:space="preserve">Secondly, and in the event that the court does not find favour with the above argument, it is argued that, on the facts, the respondent suffered prejudice and that </w:t>
      </w:r>
      <w:r w:rsidRPr="00D145CF">
        <w:rPr>
          <w:i/>
        </w:rPr>
        <w:t>parate</w:t>
      </w:r>
      <w:r w:rsidRPr="00D145CF">
        <w:t xml:space="preserve"> execution was inappropriate.</w:t>
      </w:r>
    </w:p>
    <w:p w:rsidR="00A65710" w:rsidRPr="00D145CF" w:rsidRDefault="00A65710" w:rsidP="00F16DD3">
      <w:pPr>
        <w:pStyle w:val="NoSpacing"/>
        <w:ind w:left="1440"/>
        <w:jc w:val="both"/>
      </w:pPr>
    </w:p>
    <w:p w:rsidR="00A65710" w:rsidRPr="00D145CF" w:rsidRDefault="004209DC" w:rsidP="00F16DD3">
      <w:pPr>
        <w:pStyle w:val="NoSpacing"/>
        <w:ind w:left="1440"/>
        <w:jc w:val="both"/>
      </w:pPr>
      <w:r w:rsidRPr="00D145CF">
        <w:lastRenderedPageBreak/>
        <w:t xml:space="preserve">Thirdly, and lastly, it is argued that the concept of </w:t>
      </w:r>
      <w:r w:rsidRPr="00D145CF">
        <w:rPr>
          <w:i/>
        </w:rPr>
        <w:t>parate</w:t>
      </w:r>
      <w:r w:rsidRPr="00D145CF">
        <w:t xml:space="preserve"> execution is outmoded and has no place in modern jurisprudence and does not pass the test of constitutionality in our law.”</w:t>
      </w:r>
    </w:p>
    <w:p w:rsidR="004209DC" w:rsidRPr="00D145CF" w:rsidRDefault="004209DC" w:rsidP="004209DC">
      <w:pPr>
        <w:pStyle w:val="NoSpacing"/>
        <w:spacing w:line="480" w:lineRule="auto"/>
        <w:jc w:val="both"/>
      </w:pPr>
    </w:p>
    <w:p w:rsidR="004209DC" w:rsidRPr="00D145CF" w:rsidRDefault="00786C13" w:rsidP="004209DC">
      <w:pPr>
        <w:pStyle w:val="NoSpacing"/>
        <w:spacing w:line="480" w:lineRule="auto"/>
        <w:jc w:val="both"/>
      </w:pPr>
      <w:r w:rsidRPr="00D145CF">
        <w:tab/>
      </w:r>
      <w:r w:rsidR="000442B3" w:rsidRPr="00D145CF">
        <w:t>Ms </w:t>
      </w:r>
      <w:r w:rsidR="000442B3" w:rsidRPr="00D145CF">
        <w:rPr>
          <w:i/>
        </w:rPr>
        <w:t>Mahere</w:t>
      </w:r>
      <w:r w:rsidR="00B326A3" w:rsidRPr="00D145CF">
        <w:t xml:space="preserve">, for the </w:t>
      </w:r>
      <w:r w:rsidR="00956910" w:rsidRPr="00D145CF">
        <w:t>defe</w:t>
      </w:r>
      <w:r w:rsidR="00214549" w:rsidRPr="00D145CF">
        <w:t>nd</w:t>
      </w:r>
      <w:r w:rsidR="00956910" w:rsidRPr="00D145CF">
        <w:t>a</w:t>
      </w:r>
      <w:r w:rsidR="00214549" w:rsidRPr="00D145CF">
        <w:t>nt</w:t>
      </w:r>
      <w:r w:rsidR="00B326A3" w:rsidRPr="00D145CF">
        <w:t>,</w:t>
      </w:r>
      <w:r w:rsidRPr="00D145CF">
        <w:t xml:space="preserve"> submitted that the essence of the </w:t>
      </w:r>
      <w:r w:rsidR="00B326A3" w:rsidRPr="00D145CF">
        <w:t>plaintiff</w:t>
      </w:r>
      <w:r w:rsidRPr="00D145CF">
        <w:t xml:space="preserve">’s contention </w:t>
      </w:r>
      <w:r w:rsidR="00C86696" w:rsidRPr="00D145CF">
        <w:t xml:space="preserve">is that </w:t>
      </w:r>
      <w:r w:rsidR="00C86696" w:rsidRPr="00D145CF">
        <w:rPr>
          <w:i/>
        </w:rPr>
        <w:t>parate</w:t>
      </w:r>
      <w:r w:rsidR="00344B3F" w:rsidRPr="00D145CF">
        <w:rPr>
          <w:i/>
        </w:rPr>
        <w:t> </w:t>
      </w:r>
      <w:r w:rsidR="00C86696" w:rsidRPr="00D145CF">
        <w:rPr>
          <w:i/>
        </w:rPr>
        <w:t>executi</w:t>
      </w:r>
      <w:r w:rsidR="00344B3F" w:rsidRPr="00D145CF">
        <w:rPr>
          <w:i/>
        </w:rPr>
        <w:t>e</w:t>
      </w:r>
      <w:r w:rsidR="00C86696" w:rsidRPr="00D145CF">
        <w:t xml:space="preserve"> is unconstitutional on the basis that it offends the “access to the courts</w:t>
      </w:r>
      <w:r w:rsidR="00BE213C" w:rsidRPr="00D145CF">
        <w:t>”</w:t>
      </w:r>
      <w:r w:rsidR="00C86696" w:rsidRPr="00D145CF">
        <w:t xml:space="preserve"> provision of the Constitution and that the </w:t>
      </w:r>
      <w:r w:rsidR="00B326A3" w:rsidRPr="00D145CF">
        <w:t>plaintiff</w:t>
      </w:r>
      <w:r w:rsidR="00C86696" w:rsidRPr="00D145CF">
        <w:t>, in her heads of argument, made reference to both the former and the curr</w:t>
      </w:r>
      <w:r w:rsidR="000442B3" w:rsidRPr="00D145CF">
        <w:t>ent Constitutions of Zimbabwe. S</w:t>
      </w:r>
      <w:r w:rsidR="00C86696" w:rsidRPr="00D145CF">
        <w:t xml:space="preserve">he </w:t>
      </w:r>
      <w:r w:rsidR="000442B3" w:rsidRPr="00D145CF">
        <w:t>further</w:t>
      </w:r>
      <w:r w:rsidR="00C86696" w:rsidRPr="00D145CF">
        <w:t xml:space="preserve"> submitted that the reference to the Constitution</w:t>
      </w:r>
      <w:r w:rsidR="0079072E" w:rsidRPr="00D145CF">
        <w:t xml:space="preserve"> in the instant case is inapposite because at the time that the </w:t>
      </w:r>
      <w:r w:rsidR="0079072E" w:rsidRPr="00D145CF">
        <w:rPr>
          <w:i/>
        </w:rPr>
        <w:t>parate executie</w:t>
      </w:r>
      <w:r w:rsidR="0079072E" w:rsidRPr="00D145CF">
        <w:t xml:space="preserve"> clause was carried into effect by the </w:t>
      </w:r>
      <w:r w:rsidR="00B326A3" w:rsidRPr="00D145CF">
        <w:t>defendant</w:t>
      </w:r>
      <w:r w:rsidR="0079072E" w:rsidRPr="00D145CF">
        <w:t>, and at the time it was adjudicated upon, the</w:t>
      </w:r>
      <w:r w:rsidR="0036485C" w:rsidRPr="00D145CF">
        <w:t xml:space="preserve"> </w:t>
      </w:r>
      <w:r w:rsidR="0079072E" w:rsidRPr="00D145CF">
        <w:t>Constitution had not come into effect.</w:t>
      </w:r>
    </w:p>
    <w:p w:rsidR="0079072E" w:rsidRPr="00D145CF" w:rsidRDefault="0079072E" w:rsidP="004209DC">
      <w:pPr>
        <w:pStyle w:val="NoSpacing"/>
        <w:spacing w:line="480" w:lineRule="auto"/>
        <w:jc w:val="both"/>
      </w:pPr>
    </w:p>
    <w:p w:rsidR="0079072E" w:rsidRPr="00D145CF" w:rsidRDefault="0079072E" w:rsidP="004209DC">
      <w:pPr>
        <w:pStyle w:val="NoSpacing"/>
        <w:spacing w:line="480" w:lineRule="auto"/>
        <w:jc w:val="both"/>
      </w:pPr>
      <w:r w:rsidRPr="00D145CF">
        <w:tab/>
      </w:r>
      <w:r w:rsidR="00BE213C" w:rsidRPr="00D145CF">
        <w:t xml:space="preserve">The issues that arise </w:t>
      </w:r>
      <w:r w:rsidR="000442B3" w:rsidRPr="00D145CF">
        <w:t xml:space="preserve">from these contrary positions and which fall </w:t>
      </w:r>
      <w:r w:rsidR="00BE213C" w:rsidRPr="00D145CF">
        <w:t>for determination are –</w:t>
      </w:r>
    </w:p>
    <w:p w:rsidR="00BE213C" w:rsidRPr="00D145CF" w:rsidRDefault="00BE213C" w:rsidP="00BE213C">
      <w:pPr>
        <w:pStyle w:val="NoSpacing"/>
        <w:jc w:val="both"/>
      </w:pPr>
    </w:p>
    <w:p w:rsidR="00BE213C" w:rsidRPr="00D145CF" w:rsidRDefault="00BE213C" w:rsidP="00BE213C">
      <w:pPr>
        <w:pStyle w:val="NoSpacing"/>
        <w:spacing w:line="480" w:lineRule="auto"/>
        <w:ind w:left="1440" w:hanging="720"/>
        <w:jc w:val="both"/>
      </w:pPr>
      <w:r w:rsidRPr="00D145CF">
        <w:t>(1)</w:t>
      </w:r>
      <w:r w:rsidRPr="00D145CF">
        <w:tab/>
        <w:t xml:space="preserve">Whether or not </w:t>
      </w:r>
      <w:r w:rsidRPr="00D145CF">
        <w:rPr>
          <w:i/>
        </w:rPr>
        <w:t>parate executie</w:t>
      </w:r>
      <w:r w:rsidRPr="00D145CF">
        <w:t xml:space="preserve"> offend</w:t>
      </w:r>
      <w:r w:rsidR="004F7DE6" w:rsidRPr="00D145CF">
        <w:t>ed</w:t>
      </w:r>
      <w:r w:rsidRPr="00D145CF">
        <w:t xml:space="preserve"> the “access to the courts” provision in the former Constitution</w:t>
      </w:r>
      <w:r w:rsidR="005A44E1" w:rsidRPr="00D145CF">
        <w:t xml:space="preserve"> of Zimbabwe (“the former Constitution)</w:t>
      </w:r>
      <w:r w:rsidRPr="00D145CF">
        <w:t xml:space="preserve">, namely s 18(9), as read with s 16(7), </w:t>
      </w:r>
      <w:r w:rsidR="004A5445" w:rsidRPr="00D145CF">
        <w:t>of the former Constitution;</w:t>
      </w:r>
    </w:p>
    <w:p w:rsidR="004A5445" w:rsidRPr="00D145CF" w:rsidRDefault="004A5445" w:rsidP="004A5445">
      <w:pPr>
        <w:pStyle w:val="NoSpacing"/>
        <w:ind w:left="1440" w:hanging="720"/>
        <w:jc w:val="both"/>
      </w:pPr>
    </w:p>
    <w:p w:rsidR="00F253FD" w:rsidRPr="00D145CF" w:rsidRDefault="004A5445" w:rsidP="00F253FD">
      <w:pPr>
        <w:pStyle w:val="NoSpacing"/>
        <w:spacing w:line="480" w:lineRule="auto"/>
        <w:ind w:left="1440" w:hanging="720"/>
        <w:jc w:val="both"/>
      </w:pPr>
      <w:r w:rsidRPr="00D145CF">
        <w:t>(2)</w:t>
      </w:r>
      <w:r w:rsidRPr="00D145CF">
        <w:tab/>
      </w:r>
      <w:r w:rsidR="00F253FD" w:rsidRPr="00D145CF">
        <w:t xml:space="preserve">Whether or not </w:t>
      </w:r>
      <w:r w:rsidR="00F253FD" w:rsidRPr="00D145CF">
        <w:rPr>
          <w:i/>
        </w:rPr>
        <w:t>parate executie</w:t>
      </w:r>
      <w:r w:rsidR="00F253FD" w:rsidRPr="00D145CF">
        <w:t xml:space="preserve"> offends the “access to the courts” provision in the Constitution, namely s 69(3) of the </w:t>
      </w:r>
      <w:r w:rsidR="00956910" w:rsidRPr="00D145CF">
        <w:t>C</w:t>
      </w:r>
      <w:r w:rsidR="00F253FD" w:rsidRPr="00D145CF">
        <w:t>onstitution; and</w:t>
      </w:r>
    </w:p>
    <w:p w:rsidR="00F253FD" w:rsidRPr="00D145CF" w:rsidRDefault="00F253FD" w:rsidP="00F253FD">
      <w:pPr>
        <w:pStyle w:val="NoSpacing"/>
        <w:ind w:left="1440" w:hanging="720"/>
        <w:jc w:val="both"/>
      </w:pPr>
    </w:p>
    <w:p w:rsidR="00F253FD" w:rsidRPr="00D145CF" w:rsidRDefault="00F253FD" w:rsidP="00F253FD">
      <w:pPr>
        <w:pStyle w:val="NoSpacing"/>
        <w:spacing w:line="480" w:lineRule="auto"/>
        <w:ind w:left="1440" w:hanging="720"/>
        <w:jc w:val="both"/>
      </w:pPr>
      <w:r w:rsidRPr="00D145CF">
        <w:t>(3)</w:t>
      </w:r>
      <w:r w:rsidRPr="00D145CF">
        <w:tab/>
      </w:r>
      <w:r w:rsidR="000442B3" w:rsidRPr="00D145CF">
        <w:t>I</w:t>
      </w:r>
      <w:r w:rsidRPr="00D145CF">
        <w:t xml:space="preserve">f </w:t>
      </w:r>
      <w:r w:rsidRPr="00D145CF">
        <w:rPr>
          <w:i/>
        </w:rPr>
        <w:t>parate executie</w:t>
      </w:r>
      <w:r w:rsidRPr="00D145CF">
        <w:t xml:space="preserve"> </w:t>
      </w:r>
      <w:r w:rsidR="000442B3" w:rsidRPr="00D145CF">
        <w:t>is</w:t>
      </w:r>
      <w:r w:rsidRPr="00D145CF">
        <w:t xml:space="preserve"> compliant with </w:t>
      </w:r>
      <w:r w:rsidR="000442B3" w:rsidRPr="00D145CF">
        <w:t xml:space="preserve">the provisions </w:t>
      </w:r>
      <w:r w:rsidR="00FD0F3F" w:rsidRPr="00D145CF">
        <w:t xml:space="preserve">of </w:t>
      </w:r>
      <w:r w:rsidR="000442B3" w:rsidRPr="00D145CF">
        <w:t xml:space="preserve">both </w:t>
      </w:r>
      <w:r w:rsidRPr="00D145CF">
        <w:t>the former Constitution and the</w:t>
      </w:r>
      <w:r w:rsidR="00956910" w:rsidRPr="00D145CF">
        <w:t xml:space="preserve"> </w:t>
      </w:r>
      <w:r w:rsidRPr="00D145CF">
        <w:t xml:space="preserve">Constitution, </w:t>
      </w:r>
      <w:r w:rsidR="00FD0F3F" w:rsidRPr="00D145CF">
        <w:t xml:space="preserve">what is its extent and whether this </w:t>
      </w:r>
      <w:r w:rsidR="002C63BD" w:rsidRPr="00D145CF">
        <w:t>C</w:t>
      </w:r>
      <w:r w:rsidR="00FD0F3F" w:rsidRPr="00D145CF">
        <w:t xml:space="preserve">ourt, </w:t>
      </w:r>
      <w:r w:rsidRPr="00D145CF">
        <w:t xml:space="preserve">using its powers in terms of s 176 of the Constitution, </w:t>
      </w:r>
      <w:r w:rsidR="00FF5CA3" w:rsidRPr="00D145CF">
        <w:t xml:space="preserve">should outlaw </w:t>
      </w:r>
      <w:r w:rsidR="00FF5CA3" w:rsidRPr="00D145CF">
        <w:rPr>
          <w:i/>
        </w:rPr>
        <w:t>parate executie</w:t>
      </w:r>
      <w:r w:rsidR="00FF5CA3" w:rsidRPr="00D145CF">
        <w:t xml:space="preserve"> on the grounds</w:t>
      </w:r>
      <w:r w:rsidR="00FD0F3F" w:rsidRPr="00D145CF">
        <w:t xml:space="preserve"> that it has no place</w:t>
      </w:r>
      <w:r w:rsidR="00FF5CA3" w:rsidRPr="00D145CF">
        <w:t xml:space="preserve"> </w:t>
      </w:r>
      <w:r w:rsidR="00FD0F3F" w:rsidRPr="00D145CF">
        <w:t xml:space="preserve">in modern jurisprudence, </w:t>
      </w:r>
      <w:r w:rsidR="00956910" w:rsidRPr="00D145CF">
        <w:t xml:space="preserve">on the ground that </w:t>
      </w:r>
      <w:r w:rsidR="000E479B" w:rsidRPr="00D145CF">
        <w:t xml:space="preserve">it </w:t>
      </w:r>
      <w:r w:rsidR="00956910" w:rsidRPr="00D145CF">
        <w:t xml:space="preserve">is </w:t>
      </w:r>
      <w:r w:rsidR="009624C8" w:rsidRPr="00D145CF">
        <w:t>a</w:t>
      </w:r>
      <w:r w:rsidR="00956910" w:rsidRPr="00D145CF">
        <w:t>gainst</w:t>
      </w:r>
      <w:r w:rsidR="00FD0F3F" w:rsidRPr="00D145CF">
        <w:t xml:space="preserve"> </w:t>
      </w:r>
      <w:r w:rsidR="00FF5CA3" w:rsidRPr="00D145CF">
        <w:t>public policy</w:t>
      </w:r>
      <w:r w:rsidR="000E479B" w:rsidRPr="00D145CF">
        <w:t>.</w:t>
      </w:r>
    </w:p>
    <w:p w:rsidR="00FF5CA3" w:rsidRPr="00D145CF" w:rsidRDefault="00FF5CA3" w:rsidP="00FF5CA3">
      <w:pPr>
        <w:pStyle w:val="NoSpacing"/>
        <w:spacing w:line="480" w:lineRule="auto"/>
        <w:jc w:val="both"/>
      </w:pPr>
    </w:p>
    <w:p w:rsidR="00FF5CA3" w:rsidRPr="00D145CF" w:rsidRDefault="00B86E72" w:rsidP="00FF5CA3">
      <w:pPr>
        <w:pStyle w:val="NoSpacing"/>
        <w:spacing w:line="480" w:lineRule="auto"/>
        <w:jc w:val="both"/>
      </w:pPr>
      <w:r w:rsidRPr="00D145CF">
        <w:rPr>
          <w:b/>
          <w:u w:val="single"/>
        </w:rPr>
        <w:lastRenderedPageBreak/>
        <w:t xml:space="preserve">IS </w:t>
      </w:r>
      <w:r w:rsidRPr="00D145CF">
        <w:rPr>
          <w:b/>
          <w:i/>
          <w:u w:val="single"/>
        </w:rPr>
        <w:t>PARATE EXECUTIE</w:t>
      </w:r>
      <w:r w:rsidRPr="00D145CF">
        <w:rPr>
          <w:b/>
          <w:u w:val="single"/>
        </w:rPr>
        <w:t xml:space="preserve"> COMPLIANT WITH THE PROVISIONS OF THE </w:t>
      </w:r>
      <w:r w:rsidR="00D56E2F" w:rsidRPr="00D145CF">
        <w:rPr>
          <w:b/>
          <w:u w:val="single"/>
        </w:rPr>
        <w:t>FORMER</w:t>
      </w:r>
      <w:r w:rsidRPr="00D145CF">
        <w:rPr>
          <w:b/>
          <w:u w:val="single"/>
        </w:rPr>
        <w:t xml:space="preserve"> CONSTITUTION, NAMELY S 18(9), AS READ WITH S 16(</w:t>
      </w:r>
      <w:r w:rsidR="005A44E1" w:rsidRPr="00D145CF">
        <w:rPr>
          <w:b/>
          <w:u w:val="single"/>
        </w:rPr>
        <w:t>7</w:t>
      </w:r>
      <w:r w:rsidRPr="00D145CF">
        <w:rPr>
          <w:b/>
          <w:u w:val="single"/>
        </w:rPr>
        <w:t>)?</w:t>
      </w:r>
    </w:p>
    <w:p w:rsidR="00B86E72" w:rsidRPr="00D145CF" w:rsidRDefault="00B86E72" w:rsidP="00B86E72">
      <w:pPr>
        <w:pStyle w:val="NoSpacing"/>
        <w:jc w:val="both"/>
      </w:pPr>
    </w:p>
    <w:p w:rsidR="004A5445" w:rsidRPr="00D145CF" w:rsidRDefault="00BE0D9F" w:rsidP="00FF5CA3">
      <w:pPr>
        <w:pStyle w:val="NoSpacing"/>
        <w:spacing w:line="480" w:lineRule="auto"/>
        <w:jc w:val="both"/>
      </w:pPr>
      <w:r w:rsidRPr="00D145CF">
        <w:tab/>
        <w:t>The issue of whether</w:t>
      </w:r>
      <w:r w:rsidR="00FB7DCA" w:rsidRPr="00D145CF">
        <w:t xml:space="preserve"> or not</w:t>
      </w:r>
      <w:r w:rsidRPr="00D145CF">
        <w:t xml:space="preserve"> </w:t>
      </w:r>
      <w:r w:rsidRPr="00D145CF">
        <w:rPr>
          <w:i/>
        </w:rPr>
        <w:t>parate executie</w:t>
      </w:r>
      <w:r w:rsidRPr="00D145CF">
        <w:t xml:space="preserve"> complied with the </w:t>
      </w:r>
      <w:r w:rsidR="009624C8" w:rsidRPr="00D145CF">
        <w:t>former</w:t>
      </w:r>
      <w:r w:rsidRPr="00D145CF">
        <w:t xml:space="preserve"> Constitution is not</w:t>
      </w:r>
      <w:r w:rsidR="00684CE7" w:rsidRPr="00D145CF">
        <w:t>, as Ms </w:t>
      </w:r>
      <w:r w:rsidR="00684CE7" w:rsidRPr="00D145CF">
        <w:rPr>
          <w:i/>
        </w:rPr>
        <w:t>Mahere</w:t>
      </w:r>
      <w:r w:rsidR="00684CE7" w:rsidRPr="00D145CF">
        <w:t xml:space="preserve"> correctly submitted, a new issue. The issue was raised in the case of </w:t>
      </w:r>
      <w:r w:rsidR="00684CE7" w:rsidRPr="00D145CF">
        <w:rPr>
          <w:i/>
        </w:rPr>
        <w:t>Nyamukusa</w:t>
      </w:r>
      <w:r w:rsidR="00684CE7" w:rsidRPr="00D145CF">
        <w:t xml:space="preserve"> v </w:t>
      </w:r>
      <w:r w:rsidR="00684CE7" w:rsidRPr="00D145CF">
        <w:rPr>
          <w:i/>
        </w:rPr>
        <w:t>Agricultural Finance Corporation</w:t>
      </w:r>
      <w:r w:rsidR="00684CE7" w:rsidRPr="00D145CF">
        <w:t xml:space="preserve"> SC 174/94. </w:t>
      </w:r>
      <w:r w:rsidR="00BD2E27" w:rsidRPr="00D145CF">
        <w:t>The facts of the</w:t>
      </w:r>
      <w:r w:rsidR="00BD2E27" w:rsidRPr="00D145CF">
        <w:rPr>
          <w:i/>
        </w:rPr>
        <w:t xml:space="preserve"> Nyamukusa</w:t>
      </w:r>
      <w:r w:rsidR="00BD2E27" w:rsidRPr="00D145CF">
        <w:t xml:space="preserve"> case </w:t>
      </w:r>
      <w:r w:rsidR="00BD2E27" w:rsidRPr="00D145CF">
        <w:rPr>
          <w:i/>
        </w:rPr>
        <w:t>supra</w:t>
      </w:r>
      <w:r w:rsidR="00BD2E27" w:rsidRPr="00D145CF">
        <w:t xml:space="preserve"> </w:t>
      </w:r>
      <w:r w:rsidR="00A843EA" w:rsidRPr="00D145CF">
        <w:t>are that the appellant’s farm had been seized and sold because the appellant had failed to repay a loan. The respondent in the matter acted pursuant to a contractual clause, which read as follows:</w:t>
      </w:r>
    </w:p>
    <w:p w:rsidR="00A843EA" w:rsidRPr="00D145CF" w:rsidRDefault="00A843EA" w:rsidP="00A843EA">
      <w:pPr>
        <w:pStyle w:val="NoSpacing"/>
        <w:jc w:val="both"/>
      </w:pPr>
    </w:p>
    <w:p w:rsidR="00525D89" w:rsidRPr="00D145CF" w:rsidRDefault="00A843EA" w:rsidP="00525D89">
      <w:pPr>
        <w:pStyle w:val="NoSpacing"/>
        <w:ind w:left="720"/>
        <w:jc w:val="both"/>
      </w:pPr>
      <w:r w:rsidRPr="00D145CF">
        <w:t xml:space="preserve">“Should the borrower commit or be in breach of any of the terms and conditions of this agreement the Corporation specifically stipulates, as provided in section 40 of the Act, that it shall have the right in terms of that section of the Act, after demand by registered letter addressed to the borrower at his last known address or to the address given by him in his application for this loan, and without recourse to a court of law, to enter upon the property hypothecated and to take possession thereof and sell and dispose of the same </w:t>
      </w:r>
      <w:r w:rsidR="00525D89" w:rsidRPr="00D145CF">
        <w:t>in whole or in part as the Corporation may determine always in terms of and subject to the provisions of the Act.”</w:t>
      </w:r>
    </w:p>
    <w:p w:rsidR="00525D89" w:rsidRPr="00D145CF" w:rsidRDefault="00525D89" w:rsidP="00525D89">
      <w:pPr>
        <w:pStyle w:val="NoSpacing"/>
        <w:spacing w:line="480" w:lineRule="auto"/>
        <w:jc w:val="both"/>
      </w:pPr>
    </w:p>
    <w:p w:rsidR="00525D89" w:rsidRPr="00D145CF" w:rsidRDefault="00525D89" w:rsidP="00525D89">
      <w:pPr>
        <w:pStyle w:val="NoSpacing"/>
        <w:spacing w:line="480" w:lineRule="auto"/>
        <w:jc w:val="both"/>
      </w:pPr>
      <w:r w:rsidRPr="00D145CF">
        <w:t xml:space="preserve">The appellant in that matter challenged the above clause on the basis that it offended the provisions of </w:t>
      </w:r>
      <w:r w:rsidR="00D05328" w:rsidRPr="00D145CF">
        <w:t>s 18(9) of the former Constitution.</w:t>
      </w:r>
      <w:r w:rsidR="00FA2361" w:rsidRPr="00D145CF">
        <w:t xml:space="preserve"> The court held that the </w:t>
      </w:r>
      <w:r w:rsidR="00FA2361" w:rsidRPr="00D145CF">
        <w:rPr>
          <w:i/>
        </w:rPr>
        <w:t>parate executie</w:t>
      </w:r>
      <w:r w:rsidR="00FA2361" w:rsidRPr="00D145CF">
        <w:t xml:space="preserve"> clause in </w:t>
      </w:r>
      <w:r w:rsidR="00FA2361" w:rsidRPr="00D145CF">
        <w:rPr>
          <w:i/>
        </w:rPr>
        <w:t>Nyamukusa’s</w:t>
      </w:r>
      <w:r w:rsidR="00FA2361" w:rsidRPr="00D145CF">
        <w:t xml:space="preserve"> case </w:t>
      </w:r>
      <w:r w:rsidR="00FA2361" w:rsidRPr="00D145CF">
        <w:rPr>
          <w:i/>
        </w:rPr>
        <w:t>supra</w:t>
      </w:r>
      <w:r w:rsidR="00FA2361" w:rsidRPr="00D145CF">
        <w:t xml:space="preserve"> was lawful and permissible in terms of </w:t>
      </w:r>
      <w:r w:rsidR="00C3286E" w:rsidRPr="00D145CF">
        <w:t xml:space="preserve">s 18(9), as read with s 16(7), of </w:t>
      </w:r>
      <w:r w:rsidR="00FA2361" w:rsidRPr="00D145CF">
        <w:t>the former Constitution.</w:t>
      </w:r>
    </w:p>
    <w:p w:rsidR="00D05328" w:rsidRPr="00D145CF" w:rsidRDefault="00D05328" w:rsidP="00525D89">
      <w:pPr>
        <w:pStyle w:val="NoSpacing"/>
        <w:spacing w:line="480" w:lineRule="auto"/>
        <w:jc w:val="both"/>
      </w:pPr>
    </w:p>
    <w:p w:rsidR="00D05328" w:rsidRPr="00D145CF" w:rsidRDefault="00D05328" w:rsidP="00525D89">
      <w:pPr>
        <w:pStyle w:val="NoSpacing"/>
        <w:spacing w:line="480" w:lineRule="auto"/>
        <w:jc w:val="both"/>
      </w:pPr>
      <w:r w:rsidRPr="00D145CF">
        <w:tab/>
        <w:t xml:space="preserve">The </w:t>
      </w:r>
      <w:r w:rsidR="008E45FB" w:rsidRPr="00D145CF">
        <w:t>plaintiff</w:t>
      </w:r>
      <w:r w:rsidRPr="00D145CF">
        <w:t xml:space="preserve"> </w:t>
      </w:r>
      <w:r w:rsidRPr="00D145CF">
        <w:rPr>
          <w:i/>
        </w:rPr>
        <w:t>in casu</w:t>
      </w:r>
      <w:r w:rsidR="00C3286E" w:rsidRPr="00D145CF">
        <w:t>, as in</w:t>
      </w:r>
      <w:r w:rsidR="00C3286E" w:rsidRPr="00D145CF">
        <w:rPr>
          <w:i/>
        </w:rPr>
        <w:t xml:space="preserve"> Nyamukusa’s</w:t>
      </w:r>
      <w:r w:rsidR="00C3286E" w:rsidRPr="00D145CF">
        <w:t xml:space="preserve"> case </w:t>
      </w:r>
      <w:r w:rsidR="00C3286E" w:rsidRPr="00D145CF">
        <w:rPr>
          <w:i/>
        </w:rPr>
        <w:t>supra</w:t>
      </w:r>
      <w:r w:rsidR="00C3286E" w:rsidRPr="00D145CF">
        <w:t>,</w:t>
      </w:r>
      <w:r w:rsidRPr="00D145CF">
        <w:t xml:space="preserve"> seeks to rely on the “access to the courts” provision set out in s 18(9) of the former Constitution</w:t>
      </w:r>
      <w:r w:rsidR="00C3286E" w:rsidRPr="00D145CF">
        <w:t>, which</w:t>
      </w:r>
      <w:r w:rsidRPr="00D145CF">
        <w:t xml:space="preserve"> provide</w:t>
      </w:r>
      <w:r w:rsidR="00C3286E" w:rsidRPr="00D145CF">
        <w:t>d</w:t>
      </w:r>
      <w:r w:rsidRPr="00D145CF">
        <w:t>:</w:t>
      </w:r>
    </w:p>
    <w:p w:rsidR="00D05328" w:rsidRPr="00D145CF" w:rsidRDefault="00D05328" w:rsidP="00D05328">
      <w:pPr>
        <w:pStyle w:val="NoSpacing"/>
        <w:jc w:val="both"/>
      </w:pPr>
    </w:p>
    <w:p w:rsidR="00D05328" w:rsidRPr="00D145CF" w:rsidRDefault="00F331CC" w:rsidP="00F331CC">
      <w:pPr>
        <w:pStyle w:val="NoSpacing"/>
        <w:ind w:left="720"/>
        <w:jc w:val="both"/>
        <w:rPr>
          <w:b/>
          <w:bCs/>
        </w:rPr>
      </w:pPr>
      <w:r w:rsidRPr="00D145CF">
        <w:t>“</w:t>
      </w:r>
      <w:r w:rsidRPr="00D145CF">
        <w:rPr>
          <w:b/>
          <w:bCs/>
        </w:rPr>
        <w:t>18 Provisions to secure protection of law</w:t>
      </w:r>
    </w:p>
    <w:p w:rsidR="00F331CC" w:rsidRPr="00D145CF" w:rsidRDefault="00F331CC" w:rsidP="00F331CC">
      <w:pPr>
        <w:pStyle w:val="NoSpacing"/>
        <w:ind w:left="720"/>
        <w:jc w:val="both"/>
        <w:rPr>
          <w:b/>
          <w:bCs/>
        </w:rPr>
      </w:pPr>
    </w:p>
    <w:p w:rsidR="00F331CC" w:rsidRPr="00D145CF" w:rsidRDefault="00F331CC" w:rsidP="00F331CC">
      <w:pPr>
        <w:autoSpaceDE w:val="0"/>
        <w:autoSpaceDN w:val="0"/>
        <w:adjustRightInd w:val="0"/>
        <w:spacing w:after="0" w:line="240" w:lineRule="auto"/>
        <w:ind w:left="720"/>
        <w:jc w:val="both"/>
        <w:rPr>
          <w:rFonts w:ascii="Times New Roman" w:hAnsi="Times New Roman" w:cs="Times New Roman"/>
          <w:sz w:val="24"/>
          <w:szCs w:val="24"/>
        </w:rPr>
      </w:pPr>
      <w:r w:rsidRPr="00D145CF">
        <w:rPr>
          <w:rFonts w:ascii="Times New Roman" w:hAnsi="Times New Roman" w:cs="Times New Roman"/>
          <w:sz w:val="24"/>
          <w:szCs w:val="24"/>
        </w:rPr>
        <w:t>(9) Subject to the provisions of this Constitution, every person is entitled to be afforded a fair hearing within a reasonable time by an independent and impartial court or other adjudicating authority established by law in the determination of the existence or extent of his civil rights or obligations.”</w:t>
      </w:r>
    </w:p>
    <w:p w:rsidR="00F331CC" w:rsidRPr="00D145CF" w:rsidRDefault="00F331CC" w:rsidP="00F331CC">
      <w:pPr>
        <w:autoSpaceDE w:val="0"/>
        <w:autoSpaceDN w:val="0"/>
        <w:adjustRightInd w:val="0"/>
        <w:spacing w:after="0" w:line="480" w:lineRule="auto"/>
        <w:jc w:val="both"/>
        <w:rPr>
          <w:rFonts w:ascii="Times New Roman" w:hAnsi="Times New Roman" w:cs="Times New Roman"/>
          <w:sz w:val="24"/>
          <w:szCs w:val="24"/>
        </w:rPr>
      </w:pPr>
    </w:p>
    <w:p w:rsidR="00655A79" w:rsidRPr="00D145CF" w:rsidRDefault="00350AD9" w:rsidP="00F331CC">
      <w:pPr>
        <w:autoSpaceDE w:val="0"/>
        <w:autoSpaceDN w:val="0"/>
        <w:adjustRightInd w:val="0"/>
        <w:spacing w:after="0" w:line="480" w:lineRule="auto"/>
        <w:jc w:val="both"/>
        <w:rPr>
          <w:rFonts w:ascii="Times New Roman" w:hAnsi="Times New Roman" w:cs="Times New Roman"/>
          <w:sz w:val="24"/>
          <w:szCs w:val="24"/>
        </w:rPr>
      </w:pPr>
      <w:r w:rsidRPr="00D145CF">
        <w:rPr>
          <w:rFonts w:ascii="Times New Roman" w:hAnsi="Times New Roman" w:cs="Times New Roman"/>
          <w:sz w:val="24"/>
          <w:szCs w:val="24"/>
        </w:rPr>
        <w:lastRenderedPageBreak/>
        <w:t>The import of the words “subject to” is to render this access to the courts provision subservient to other provisions of the former Constitution.</w:t>
      </w:r>
    </w:p>
    <w:p w:rsidR="00655A79" w:rsidRPr="00D145CF" w:rsidRDefault="00655A79" w:rsidP="00F331CC">
      <w:pPr>
        <w:autoSpaceDE w:val="0"/>
        <w:autoSpaceDN w:val="0"/>
        <w:adjustRightInd w:val="0"/>
        <w:spacing w:after="0" w:line="480" w:lineRule="auto"/>
        <w:jc w:val="both"/>
        <w:rPr>
          <w:rFonts w:ascii="Times New Roman" w:hAnsi="Times New Roman" w:cs="Times New Roman"/>
          <w:sz w:val="24"/>
          <w:szCs w:val="24"/>
        </w:rPr>
      </w:pPr>
    </w:p>
    <w:p w:rsidR="00F331CC" w:rsidRPr="00D145CF" w:rsidRDefault="001D6592" w:rsidP="00655A79">
      <w:pPr>
        <w:autoSpaceDE w:val="0"/>
        <w:autoSpaceDN w:val="0"/>
        <w:adjustRightInd w:val="0"/>
        <w:spacing w:after="0" w:line="480" w:lineRule="auto"/>
        <w:ind w:firstLine="720"/>
        <w:jc w:val="both"/>
        <w:rPr>
          <w:rFonts w:ascii="Times New Roman" w:hAnsi="Times New Roman" w:cs="Times New Roman"/>
          <w:sz w:val="24"/>
          <w:szCs w:val="24"/>
        </w:rPr>
      </w:pPr>
      <w:r w:rsidRPr="00D145CF">
        <w:rPr>
          <w:rFonts w:ascii="Times New Roman" w:hAnsi="Times New Roman" w:cs="Times New Roman"/>
          <w:sz w:val="24"/>
          <w:szCs w:val="24"/>
        </w:rPr>
        <w:t xml:space="preserve">In </w:t>
      </w:r>
      <w:r w:rsidRPr="00D145CF">
        <w:rPr>
          <w:rFonts w:ascii="Times New Roman" w:hAnsi="Times New Roman" w:cs="Times New Roman"/>
          <w:i/>
          <w:sz w:val="24"/>
          <w:szCs w:val="24"/>
        </w:rPr>
        <w:t>S</w:t>
      </w:r>
      <w:r w:rsidRPr="00D145CF">
        <w:rPr>
          <w:rFonts w:ascii="Times New Roman" w:hAnsi="Times New Roman" w:cs="Times New Roman"/>
          <w:sz w:val="24"/>
          <w:szCs w:val="24"/>
        </w:rPr>
        <w:t xml:space="preserve"> v </w:t>
      </w:r>
      <w:r w:rsidRPr="00D145CF">
        <w:rPr>
          <w:rFonts w:ascii="Times New Roman" w:hAnsi="Times New Roman" w:cs="Times New Roman"/>
          <w:i/>
          <w:sz w:val="24"/>
          <w:szCs w:val="24"/>
        </w:rPr>
        <w:t>Pillay</w:t>
      </w:r>
      <w:r w:rsidR="00D9429A" w:rsidRPr="00D145CF">
        <w:rPr>
          <w:rFonts w:ascii="Times New Roman" w:hAnsi="Times New Roman" w:cs="Times New Roman"/>
          <w:sz w:val="24"/>
          <w:szCs w:val="24"/>
        </w:rPr>
        <w:t xml:space="preserve"> 1995 (2) ZLR 313 (H) at 315H</w:t>
      </w:r>
      <w:r w:rsidR="00F56D2E" w:rsidRPr="00D145CF">
        <w:rPr>
          <w:rFonts w:ascii="Times New Roman" w:hAnsi="Times New Roman" w:cs="Times New Roman"/>
          <w:sz w:val="24"/>
          <w:szCs w:val="24"/>
        </w:rPr>
        <w:t xml:space="preserve"> </w:t>
      </w:r>
      <w:r w:rsidR="00F56D2E" w:rsidRPr="00D145CF">
        <w:rPr>
          <w:rFonts w:ascii="Times New Roman" w:hAnsi="Times New Roman" w:cs="Times New Roman"/>
          <w:smallCaps/>
          <w:sz w:val="24"/>
          <w:szCs w:val="24"/>
        </w:rPr>
        <w:t>Chatikobo</w:t>
      </w:r>
      <w:r w:rsidR="00F56D2E" w:rsidRPr="00D145CF">
        <w:rPr>
          <w:rFonts w:ascii="Times New Roman" w:hAnsi="Times New Roman" w:cs="Times New Roman"/>
          <w:sz w:val="24"/>
          <w:szCs w:val="24"/>
        </w:rPr>
        <w:t xml:space="preserve"> J </w:t>
      </w:r>
      <w:r w:rsidR="00D9429A" w:rsidRPr="00D145CF">
        <w:rPr>
          <w:rFonts w:ascii="Times New Roman" w:hAnsi="Times New Roman" w:cs="Times New Roman"/>
          <w:sz w:val="24"/>
          <w:szCs w:val="24"/>
        </w:rPr>
        <w:t>interpreted the meaning of the phrase “subject to” in the following manner:</w:t>
      </w:r>
    </w:p>
    <w:p w:rsidR="00D9429A" w:rsidRPr="00D145CF" w:rsidRDefault="00D9429A" w:rsidP="00D9429A">
      <w:pPr>
        <w:autoSpaceDE w:val="0"/>
        <w:autoSpaceDN w:val="0"/>
        <w:adjustRightInd w:val="0"/>
        <w:spacing w:after="0" w:line="240" w:lineRule="auto"/>
        <w:jc w:val="both"/>
        <w:rPr>
          <w:rFonts w:ascii="Times New Roman" w:hAnsi="Times New Roman" w:cs="Times New Roman"/>
          <w:sz w:val="24"/>
          <w:szCs w:val="24"/>
        </w:rPr>
      </w:pPr>
    </w:p>
    <w:p w:rsidR="00D9429A" w:rsidRPr="00D145CF" w:rsidRDefault="00D9429A" w:rsidP="00D9429A">
      <w:pPr>
        <w:autoSpaceDE w:val="0"/>
        <w:autoSpaceDN w:val="0"/>
        <w:adjustRightInd w:val="0"/>
        <w:spacing w:after="0" w:line="240" w:lineRule="auto"/>
        <w:ind w:left="720"/>
        <w:jc w:val="both"/>
        <w:rPr>
          <w:rFonts w:ascii="Times New Roman" w:hAnsi="Times New Roman" w:cs="Times New Roman"/>
          <w:sz w:val="24"/>
          <w:szCs w:val="24"/>
        </w:rPr>
      </w:pPr>
      <w:r w:rsidRPr="00D145CF">
        <w:rPr>
          <w:rFonts w:ascii="Times New Roman" w:hAnsi="Times New Roman" w:cs="Times New Roman"/>
          <w:sz w:val="24"/>
          <w:szCs w:val="24"/>
        </w:rPr>
        <w:t>“</w:t>
      </w:r>
      <w:r w:rsidR="007E6AD7" w:rsidRPr="00D145CF">
        <w:rPr>
          <w:rFonts w:ascii="Times New Roman" w:hAnsi="Times New Roman" w:cs="Times New Roman"/>
          <w:sz w:val="24"/>
          <w:szCs w:val="24"/>
        </w:rPr>
        <w:t>The phrase ‘subject to’ has been interpreted to mean ‘except as curtailed by’.”</w:t>
      </w:r>
    </w:p>
    <w:p w:rsidR="007E6AD7" w:rsidRPr="00D145CF" w:rsidRDefault="007E6AD7" w:rsidP="007E6AD7">
      <w:pPr>
        <w:autoSpaceDE w:val="0"/>
        <w:autoSpaceDN w:val="0"/>
        <w:adjustRightInd w:val="0"/>
        <w:spacing w:after="0" w:line="480" w:lineRule="auto"/>
        <w:jc w:val="both"/>
        <w:rPr>
          <w:rFonts w:ascii="Times New Roman" w:hAnsi="Times New Roman" w:cs="Times New Roman"/>
          <w:sz w:val="24"/>
          <w:szCs w:val="24"/>
        </w:rPr>
      </w:pPr>
    </w:p>
    <w:p w:rsidR="007E6AD7" w:rsidRPr="00D145CF" w:rsidRDefault="00655A79" w:rsidP="007E6AD7">
      <w:pPr>
        <w:autoSpaceDE w:val="0"/>
        <w:autoSpaceDN w:val="0"/>
        <w:adjustRightInd w:val="0"/>
        <w:spacing w:after="0" w:line="480" w:lineRule="auto"/>
        <w:jc w:val="both"/>
        <w:rPr>
          <w:rFonts w:ascii="Times New Roman" w:hAnsi="Times New Roman" w:cs="Times New Roman"/>
          <w:sz w:val="24"/>
          <w:szCs w:val="24"/>
        </w:rPr>
      </w:pPr>
      <w:r w:rsidRPr="00D145CF">
        <w:rPr>
          <w:rFonts w:ascii="Times New Roman" w:hAnsi="Times New Roman" w:cs="Times New Roman"/>
          <w:sz w:val="24"/>
          <w:szCs w:val="24"/>
        </w:rPr>
        <w:t xml:space="preserve">See also </w:t>
      </w:r>
      <w:r w:rsidRPr="00D145CF">
        <w:rPr>
          <w:rFonts w:ascii="Times New Roman" w:hAnsi="Times New Roman" w:cs="Times New Roman"/>
          <w:i/>
          <w:sz w:val="24"/>
          <w:szCs w:val="24"/>
        </w:rPr>
        <w:t>Commissioner of Police v Wilson</w:t>
      </w:r>
      <w:r w:rsidRPr="00D145CF">
        <w:rPr>
          <w:rFonts w:ascii="Times New Roman" w:hAnsi="Times New Roman" w:cs="Times New Roman"/>
          <w:sz w:val="24"/>
          <w:szCs w:val="24"/>
        </w:rPr>
        <w:t xml:space="preserve"> 1981 ZLR 451.</w:t>
      </w:r>
    </w:p>
    <w:p w:rsidR="00655A79" w:rsidRPr="00D145CF" w:rsidRDefault="00655A79" w:rsidP="007E6AD7">
      <w:pPr>
        <w:autoSpaceDE w:val="0"/>
        <w:autoSpaceDN w:val="0"/>
        <w:adjustRightInd w:val="0"/>
        <w:spacing w:after="0" w:line="480" w:lineRule="auto"/>
        <w:jc w:val="both"/>
        <w:rPr>
          <w:rFonts w:ascii="Times New Roman" w:hAnsi="Times New Roman" w:cs="Times New Roman"/>
          <w:sz w:val="24"/>
          <w:szCs w:val="24"/>
        </w:rPr>
      </w:pPr>
    </w:p>
    <w:p w:rsidR="00655A79" w:rsidRPr="00D145CF" w:rsidRDefault="00655A79" w:rsidP="007E6AD7">
      <w:pPr>
        <w:autoSpaceDE w:val="0"/>
        <w:autoSpaceDN w:val="0"/>
        <w:adjustRightInd w:val="0"/>
        <w:spacing w:after="0" w:line="480" w:lineRule="auto"/>
        <w:jc w:val="both"/>
        <w:rPr>
          <w:rFonts w:ascii="Times New Roman" w:hAnsi="Times New Roman" w:cs="Times New Roman"/>
          <w:sz w:val="24"/>
          <w:szCs w:val="24"/>
        </w:rPr>
      </w:pPr>
      <w:r w:rsidRPr="00D145CF">
        <w:rPr>
          <w:rFonts w:ascii="Times New Roman" w:hAnsi="Times New Roman" w:cs="Times New Roman"/>
          <w:sz w:val="24"/>
          <w:szCs w:val="24"/>
        </w:rPr>
        <w:tab/>
        <w:t>It follows therefore, as Ms </w:t>
      </w:r>
      <w:r w:rsidRPr="00D145CF">
        <w:rPr>
          <w:rFonts w:ascii="Times New Roman" w:hAnsi="Times New Roman" w:cs="Times New Roman"/>
          <w:i/>
          <w:sz w:val="24"/>
          <w:szCs w:val="24"/>
        </w:rPr>
        <w:t>Mahere</w:t>
      </w:r>
      <w:r w:rsidRPr="00D145CF">
        <w:rPr>
          <w:rFonts w:ascii="Times New Roman" w:hAnsi="Times New Roman" w:cs="Times New Roman"/>
          <w:sz w:val="24"/>
          <w:szCs w:val="24"/>
        </w:rPr>
        <w:t xml:space="preserve"> correctly submitted, that the “access to the courts” provision set out in s 18(9) of the former Constitution is applicable except as curtailed by other provisions of that Constitution. </w:t>
      </w:r>
      <w:r w:rsidR="007A2060" w:rsidRPr="00D145CF">
        <w:rPr>
          <w:rFonts w:ascii="Times New Roman" w:hAnsi="Times New Roman" w:cs="Times New Roman"/>
          <w:sz w:val="24"/>
          <w:szCs w:val="24"/>
        </w:rPr>
        <w:t>In the former Constitution</w:t>
      </w:r>
      <w:r w:rsidR="00BA2254" w:rsidRPr="00D145CF">
        <w:rPr>
          <w:rFonts w:ascii="Times New Roman" w:hAnsi="Times New Roman" w:cs="Times New Roman"/>
          <w:sz w:val="24"/>
          <w:szCs w:val="24"/>
        </w:rPr>
        <w:t>,</w:t>
      </w:r>
      <w:r w:rsidR="007A2060" w:rsidRPr="00D145CF">
        <w:rPr>
          <w:rFonts w:ascii="Times New Roman" w:hAnsi="Times New Roman" w:cs="Times New Roman"/>
          <w:sz w:val="24"/>
          <w:szCs w:val="24"/>
        </w:rPr>
        <w:t xml:space="preserve"> s 16(7) curtailed s 18(9)</w:t>
      </w:r>
      <w:r w:rsidR="00E14588" w:rsidRPr="00D145CF">
        <w:rPr>
          <w:rFonts w:ascii="Times New Roman" w:hAnsi="Times New Roman" w:cs="Times New Roman"/>
          <w:sz w:val="24"/>
          <w:szCs w:val="24"/>
        </w:rPr>
        <w:t xml:space="preserve"> in the</w:t>
      </w:r>
      <w:r w:rsidR="007A2060" w:rsidRPr="00D145CF">
        <w:rPr>
          <w:rFonts w:ascii="Times New Roman" w:hAnsi="Times New Roman" w:cs="Times New Roman"/>
          <w:sz w:val="24"/>
          <w:szCs w:val="24"/>
        </w:rPr>
        <w:t xml:space="preserve"> follow</w:t>
      </w:r>
      <w:r w:rsidR="00E14588" w:rsidRPr="00D145CF">
        <w:rPr>
          <w:rFonts w:ascii="Times New Roman" w:hAnsi="Times New Roman" w:cs="Times New Roman"/>
          <w:sz w:val="24"/>
          <w:szCs w:val="24"/>
        </w:rPr>
        <w:t>ing terms</w:t>
      </w:r>
      <w:r w:rsidR="007A2060" w:rsidRPr="00D145CF">
        <w:rPr>
          <w:rFonts w:ascii="Times New Roman" w:hAnsi="Times New Roman" w:cs="Times New Roman"/>
          <w:sz w:val="24"/>
          <w:szCs w:val="24"/>
        </w:rPr>
        <w:t>:</w:t>
      </w:r>
    </w:p>
    <w:p w:rsidR="007A2060" w:rsidRPr="00D145CF" w:rsidRDefault="007A2060" w:rsidP="007A2060">
      <w:pPr>
        <w:autoSpaceDE w:val="0"/>
        <w:autoSpaceDN w:val="0"/>
        <w:adjustRightInd w:val="0"/>
        <w:spacing w:after="0" w:line="240" w:lineRule="auto"/>
        <w:jc w:val="both"/>
        <w:rPr>
          <w:rFonts w:ascii="Times New Roman" w:hAnsi="Times New Roman" w:cs="Times New Roman"/>
          <w:sz w:val="24"/>
          <w:szCs w:val="24"/>
        </w:rPr>
      </w:pPr>
    </w:p>
    <w:p w:rsidR="007A2060" w:rsidRPr="00D145CF" w:rsidRDefault="00634993" w:rsidP="007A2060">
      <w:pPr>
        <w:autoSpaceDE w:val="0"/>
        <w:autoSpaceDN w:val="0"/>
        <w:adjustRightInd w:val="0"/>
        <w:spacing w:after="0" w:line="240" w:lineRule="auto"/>
        <w:ind w:left="720"/>
        <w:jc w:val="both"/>
        <w:rPr>
          <w:rFonts w:ascii="Times New Roman" w:hAnsi="Times New Roman" w:cs="Times New Roman"/>
          <w:b/>
          <w:bCs/>
          <w:sz w:val="24"/>
          <w:szCs w:val="24"/>
        </w:rPr>
      </w:pPr>
      <w:r w:rsidRPr="00D145CF">
        <w:rPr>
          <w:rFonts w:ascii="Times New Roman" w:hAnsi="Times New Roman" w:cs="Times New Roman"/>
          <w:b/>
          <w:bCs/>
          <w:sz w:val="24"/>
          <w:szCs w:val="24"/>
        </w:rPr>
        <w:t>“</w:t>
      </w:r>
      <w:r w:rsidR="00241CF8" w:rsidRPr="00D145CF">
        <w:rPr>
          <w:rFonts w:ascii="Times New Roman" w:hAnsi="Times New Roman" w:cs="Times New Roman"/>
          <w:b/>
          <w:bCs/>
          <w:sz w:val="24"/>
          <w:szCs w:val="24"/>
        </w:rPr>
        <w:t>16 Protection from deprivation of property</w:t>
      </w:r>
    </w:p>
    <w:p w:rsidR="00241CF8" w:rsidRPr="00D145CF" w:rsidRDefault="00241CF8" w:rsidP="007A2060">
      <w:pPr>
        <w:autoSpaceDE w:val="0"/>
        <w:autoSpaceDN w:val="0"/>
        <w:adjustRightInd w:val="0"/>
        <w:spacing w:after="0" w:line="240" w:lineRule="auto"/>
        <w:ind w:left="720"/>
        <w:jc w:val="both"/>
        <w:rPr>
          <w:rFonts w:ascii="Times New Roman" w:hAnsi="Times New Roman" w:cs="Times New Roman"/>
          <w:b/>
          <w:bCs/>
          <w:sz w:val="24"/>
          <w:szCs w:val="24"/>
        </w:rPr>
      </w:pPr>
    </w:p>
    <w:p w:rsidR="00241CF8" w:rsidRPr="00D145CF" w:rsidRDefault="00241CF8" w:rsidP="00241CF8">
      <w:pPr>
        <w:pStyle w:val="NoSpacing"/>
        <w:ind w:left="720"/>
        <w:jc w:val="both"/>
      </w:pPr>
      <w:r w:rsidRPr="00D145CF">
        <w:t>(7) Nothing contained in or done under the authority of any law shall be held to be in contravention of subsection (1) to the extent that the law in question makes provision for the acquisition of any property or any interest or right therein in any of the following cases —</w:t>
      </w:r>
    </w:p>
    <w:p w:rsidR="00241CF8" w:rsidRPr="00D145CF" w:rsidRDefault="00241CF8" w:rsidP="00241CF8">
      <w:pPr>
        <w:pStyle w:val="NoSpacing"/>
        <w:ind w:left="720"/>
        <w:jc w:val="both"/>
      </w:pPr>
    </w:p>
    <w:p w:rsidR="00241CF8" w:rsidRPr="00D145CF" w:rsidRDefault="00241CF8" w:rsidP="00241CF8">
      <w:pPr>
        <w:pStyle w:val="NoSpacing"/>
        <w:ind w:left="720"/>
        <w:jc w:val="both"/>
      </w:pPr>
      <w:r w:rsidRPr="00D145CF">
        <w:t>(</w:t>
      </w:r>
      <w:r w:rsidRPr="00D145CF">
        <w:rPr>
          <w:i/>
          <w:iCs/>
        </w:rPr>
        <w:t>a</w:t>
      </w:r>
      <w:r w:rsidRPr="00D145CF">
        <w:t>) - (</w:t>
      </w:r>
      <w:r w:rsidRPr="00D145CF">
        <w:rPr>
          <w:i/>
          <w:iCs/>
        </w:rPr>
        <w:t>c</w:t>
      </w:r>
      <w:r w:rsidRPr="00D145CF">
        <w:t xml:space="preserve">) … </w:t>
      </w:r>
    </w:p>
    <w:p w:rsidR="00241CF8" w:rsidRPr="00D145CF" w:rsidRDefault="00241CF8" w:rsidP="00241CF8">
      <w:pPr>
        <w:pStyle w:val="NoSpacing"/>
        <w:ind w:left="720"/>
        <w:jc w:val="both"/>
      </w:pPr>
    </w:p>
    <w:p w:rsidR="00241CF8" w:rsidRPr="00D145CF" w:rsidRDefault="00241CF8" w:rsidP="00241CF8">
      <w:pPr>
        <w:pStyle w:val="NoSpacing"/>
        <w:ind w:left="1440" w:hanging="720"/>
        <w:jc w:val="both"/>
      </w:pPr>
      <w:r w:rsidRPr="00D145CF">
        <w:t>(</w:t>
      </w:r>
      <w:r w:rsidRPr="00D145CF">
        <w:rPr>
          <w:i/>
          <w:iCs/>
        </w:rPr>
        <w:t>d</w:t>
      </w:r>
      <w:r w:rsidRPr="00D145CF">
        <w:t>)</w:t>
      </w:r>
      <w:r w:rsidRPr="00D145CF">
        <w:tab/>
        <w:t>as an incident of a contract, including a lease or mortgage, which has been agreed between the parties to the contract, or of a title deed to land fixed at the time of the grant or transfer thereof or at any other time with the consent of the owner of the land;</w:t>
      </w:r>
      <w:r w:rsidR="00B63913" w:rsidRPr="00D145CF">
        <w:t xml:space="preserve"> …</w:t>
      </w:r>
    </w:p>
    <w:p w:rsidR="00B63913" w:rsidRPr="00D145CF" w:rsidRDefault="00B63913" w:rsidP="00241CF8">
      <w:pPr>
        <w:pStyle w:val="NoSpacing"/>
        <w:ind w:left="1440" w:hanging="720"/>
        <w:jc w:val="both"/>
      </w:pPr>
    </w:p>
    <w:p w:rsidR="00B63913" w:rsidRPr="00D145CF" w:rsidRDefault="00B63913" w:rsidP="00B63913">
      <w:pPr>
        <w:autoSpaceDE w:val="0"/>
        <w:autoSpaceDN w:val="0"/>
        <w:adjustRightInd w:val="0"/>
        <w:spacing w:after="0" w:line="240" w:lineRule="auto"/>
        <w:ind w:left="720"/>
        <w:jc w:val="both"/>
        <w:rPr>
          <w:rFonts w:ascii="Times New Roman" w:hAnsi="Times New Roman" w:cs="Times New Roman"/>
          <w:sz w:val="24"/>
          <w:szCs w:val="24"/>
        </w:rPr>
      </w:pPr>
      <w:r w:rsidRPr="00D145CF">
        <w:rPr>
          <w:rFonts w:ascii="Times New Roman" w:hAnsi="Times New Roman" w:cs="Times New Roman"/>
          <w:sz w:val="24"/>
          <w:szCs w:val="24"/>
        </w:rPr>
        <w:t>except so far as that provision or, as the case may be, the thing done under the authority thereof is shown not to be reasonably justifiable in a democratic society.”</w:t>
      </w:r>
    </w:p>
    <w:p w:rsidR="00634993" w:rsidRPr="00D145CF" w:rsidRDefault="00634993" w:rsidP="00634993">
      <w:pPr>
        <w:pStyle w:val="NoSpacing"/>
        <w:jc w:val="both"/>
      </w:pPr>
    </w:p>
    <w:p w:rsidR="00EC2E0C" w:rsidRPr="00D145CF" w:rsidRDefault="00EC2E0C" w:rsidP="00634993">
      <w:pPr>
        <w:pStyle w:val="NoSpacing"/>
        <w:jc w:val="both"/>
      </w:pPr>
    </w:p>
    <w:p w:rsidR="00AE40C6" w:rsidRPr="00D145CF" w:rsidRDefault="00AE40C6" w:rsidP="000C20C5">
      <w:pPr>
        <w:pStyle w:val="NoSpacing"/>
        <w:spacing w:line="480" w:lineRule="auto"/>
        <w:jc w:val="both"/>
      </w:pPr>
      <w:r w:rsidRPr="00D145CF">
        <w:t>Thus, q</w:t>
      </w:r>
      <w:r w:rsidR="000C20C5" w:rsidRPr="00D145CF">
        <w:t xml:space="preserve">uite clearly, </w:t>
      </w:r>
      <w:r w:rsidR="000C20C5" w:rsidRPr="00D145CF">
        <w:rPr>
          <w:i/>
        </w:rPr>
        <w:t>parate executie</w:t>
      </w:r>
      <w:r w:rsidR="000C20C5" w:rsidRPr="00D145CF">
        <w:t xml:space="preserve"> was permissible in terms of s 16(7) of the former Constitution.</w:t>
      </w:r>
    </w:p>
    <w:p w:rsidR="000C20C5" w:rsidRPr="00D145CF" w:rsidRDefault="00AE40C6" w:rsidP="000C20C5">
      <w:pPr>
        <w:pStyle w:val="NoSpacing"/>
        <w:spacing w:line="480" w:lineRule="auto"/>
        <w:jc w:val="both"/>
      </w:pPr>
      <w:r w:rsidRPr="00D145CF">
        <w:t xml:space="preserve"> </w:t>
      </w:r>
    </w:p>
    <w:p w:rsidR="0061451C" w:rsidRPr="00D145CF" w:rsidRDefault="00532D74" w:rsidP="00572287">
      <w:pPr>
        <w:pStyle w:val="NoSpacing"/>
        <w:spacing w:line="480" w:lineRule="auto"/>
        <w:ind w:firstLine="720"/>
        <w:jc w:val="both"/>
      </w:pPr>
      <w:r w:rsidRPr="00D145CF">
        <w:lastRenderedPageBreak/>
        <w:t xml:space="preserve">It is apparent, therefore, </w:t>
      </w:r>
      <w:r w:rsidR="00226A76" w:rsidRPr="00D145CF">
        <w:t xml:space="preserve">that the “access to the courts” provision enshrined in s 18(9) of the former Constitution applies, except as curtailed by s 16(7) of the former Constitution which sanctions </w:t>
      </w:r>
      <w:r w:rsidR="00226A76" w:rsidRPr="00D145CF">
        <w:rPr>
          <w:i/>
        </w:rPr>
        <w:t>parate executie</w:t>
      </w:r>
      <w:r w:rsidR="00226A76" w:rsidRPr="00D145CF">
        <w:t>.</w:t>
      </w:r>
    </w:p>
    <w:p w:rsidR="00226A76" w:rsidRPr="00D145CF" w:rsidRDefault="00226A76" w:rsidP="0061451C">
      <w:pPr>
        <w:pStyle w:val="NoSpacing"/>
        <w:spacing w:line="480" w:lineRule="auto"/>
        <w:jc w:val="both"/>
      </w:pPr>
    </w:p>
    <w:p w:rsidR="00226A76" w:rsidRPr="00D145CF" w:rsidRDefault="00226A76" w:rsidP="0061451C">
      <w:pPr>
        <w:pStyle w:val="NoSpacing"/>
        <w:spacing w:line="480" w:lineRule="auto"/>
        <w:jc w:val="both"/>
      </w:pPr>
      <w:r w:rsidRPr="00D145CF">
        <w:tab/>
      </w:r>
      <w:r w:rsidR="00DA34AF" w:rsidRPr="00D145CF">
        <w:t>In the result, I am satisfied</w:t>
      </w:r>
      <w:r w:rsidRPr="00D145CF">
        <w:t xml:space="preserve"> that</w:t>
      </w:r>
      <w:r w:rsidR="00F63A34" w:rsidRPr="00D145CF">
        <w:t xml:space="preserve"> the “access to the courts” provision enshrined in s 18(9) of the former Constitution applies, except as curtailed by s 16(7) of the former Constitution which sanctions </w:t>
      </w:r>
      <w:r w:rsidR="00F63A34" w:rsidRPr="00D145CF">
        <w:rPr>
          <w:i/>
        </w:rPr>
        <w:t>parate executie</w:t>
      </w:r>
      <w:r w:rsidR="00F63A34" w:rsidRPr="00D145CF">
        <w:t xml:space="preserve">. </w:t>
      </w:r>
      <w:r w:rsidR="00DF4A52" w:rsidRPr="00D145CF">
        <w:t>T</w:t>
      </w:r>
      <w:r w:rsidR="00F63A34" w:rsidRPr="00D145CF">
        <w:t>he former Constitution d</w:t>
      </w:r>
      <w:r w:rsidR="00DF4A52" w:rsidRPr="00D145CF">
        <w:t>id</w:t>
      </w:r>
      <w:r w:rsidR="00F63A34" w:rsidRPr="00D145CF">
        <w:t xml:space="preserve"> not outlaw </w:t>
      </w:r>
      <w:r w:rsidR="00F63A34" w:rsidRPr="00D145CF">
        <w:rPr>
          <w:i/>
        </w:rPr>
        <w:t>parate executie</w:t>
      </w:r>
      <w:r w:rsidR="0098677D" w:rsidRPr="00D145CF">
        <w:rPr>
          <w:i/>
        </w:rPr>
        <w:t xml:space="preserve"> per se</w:t>
      </w:r>
      <w:r w:rsidR="00F63A34" w:rsidRPr="00D145CF">
        <w:t>.</w:t>
      </w:r>
      <w:r w:rsidR="0098677D" w:rsidRPr="00D145CF">
        <w:t xml:space="preserve"> It </w:t>
      </w:r>
      <w:r w:rsidR="00854C69" w:rsidRPr="00D145CF">
        <w:t>was</w:t>
      </w:r>
      <w:r w:rsidR="0098677D" w:rsidRPr="00D145CF">
        <w:t xml:space="preserve"> lawful to the extent allowed by s 16(7) of the former Constitution, which exception cover</w:t>
      </w:r>
      <w:r w:rsidR="00854C69" w:rsidRPr="00D145CF">
        <w:t>ed</w:t>
      </w:r>
      <w:r w:rsidR="0098677D" w:rsidRPr="00D145CF">
        <w:t xml:space="preserve"> the facts of this case.</w:t>
      </w:r>
    </w:p>
    <w:p w:rsidR="00F63A34" w:rsidRPr="00D145CF" w:rsidRDefault="00F63A34" w:rsidP="00F63A34">
      <w:pPr>
        <w:pStyle w:val="NoSpacing"/>
        <w:jc w:val="both"/>
      </w:pPr>
    </w:p>
    <w:p w:rsidR="00F63A34" w:rsidRPr="00D145CF" w:rsidRDefault="00AD77B8" w:rsidP="0061451C">
      <w:pPr>
        <w:pStyle w:val="NoSpacing"/>
        <w:spacing w:line="480" w:lineRule="auto"/>
        <w:jc w:val="both"/>
        <w:rPr>
          <w:b/>
        </w:rPr>
      </w:pPr>
      <w:r w:rsidRPr="00D145CF">
        <w:rPr>
          <w:b/>
          <w:u w:val="single"/>
        </w:rPr>
        <w:t xml:space="preserve">DOES SECTION 69(3) OF THE CONSTITUTION RENDER UNCONSTITUTIONAL </w:t>
      </w:r>
      <w:r w:rsidRPr="00D145CF">
        <w:rPr>
          <w:b/>
          <w:i/>
          <w:u w:val="single"/>
        </w:rPr>
        <w:t>PARATE EXECUTIE</w:t>
      </w:r>
      <w:r w:rsidRPr="00D145CF">
        <w:rPr>
          <w:b/>
          <w:u w:val="single"/>
        </w:rPr>
        <w:t>?</w:t>
      </w:r>
    </w:p>
    <w:p w:rsidR="00AD77B8" w:rsidRPr="00D145CF" w:rsidRDefault="00AD77B8" w:rsidP="00AD77B8">
      <w:pPr>
        <w:pStyle w:val="NoSpacing"/>
        <w:jc w:val="both"/>
      </w:pPr>
    </w:p>
    <w:p w:rsidR="00AD77B8" w:rsidRPr="00D145CF" w:rsidRDefault="00AD77B8" w:rsidP="0061451C">
      <w:pPr>
        <w:pStyle w:val="NoSpacing"/>
        <w:spacing w:line="480" w:lineRule="auto"/>
        <w:jc w:val="both"/>
      </w:pPr>
      <w:r w:rsidRPr="00D145CF">
        <w:tab/>
      </w:r>
      <w:r w:rsidR="007221D8" w:rsidRPr="00D145CF">
        <w:t>T</w:t>
      </w:r>
      <w:r w:rsidRPr="00D145CF">
        <w:t xml:space="preserve">he issue of whether s 69(3) of the Constitution renders </w:t>
      </w:r>
      <w:r w:rsidRPr="00D145CF">
        <w:rPr>
          <w:i/>
        </w:rPr>
        <w:t>parate executie</w:t>
      </w:r>
      <w:r w:rsidRPr="00D145CF">
        <w:t xml:space="preserve"> unconstitutional, </w:t>
      </w:r>
      <w:r w:rsidR="007221D8" w:rsidRPr="00D145CF">
        <w:t>of</w:t>
      </w:r>
      <w:r w:rsidRPr="00D145CF">
        <w:t xml:space="preserve"> necess</w:t>
      </w:r>
      <w:r w:rsidR="007221D8" w:rsidRPr="00D145CF">
        <w:t>it</w:t>
      </w:r>
      <w:r w:rsidRPr="00D145CF">
        <w:t xml:space="preserve">y </w:t>
      </w:r>
      <w:r w:rsidR="007221D8" w:rsidRPr="00D145CF">
        <w:t>raises</w:t>
      </w:r>
      <w:r w:rsidRPr="00D145CF">
        <w:t xml:space="preserve"> the issue of whether </w:t>
      </w:r>
      <w:r w:rsidR="007221D8" w:rsidRPr="00D145CF">
        <w:t>or not s 69(3) of the</w:t>
      </w:r>
      <w:r w:rsidRPr="00D145CF">
        <w:t xml:space="preserve"> Constitution </w:t>
      </w:r>
      <w:r w:rsidR="007221D8" w:rsidRPr="00D145CF">
        <w:t>has retro</w:t>
      </w:r>
      <w:r w:rsidR="007B1392" w:rsidRPr="00D145CF">
        <w:t>a</w:t>
      </w:r>
      <w:r w:rsidR="007221D8" w:rsidRPr="00D145CF">
        <w:t xml:space="preserve">ctive effect and </w:t>
      </w:r>
      <w:r w:rsidRPr="00D145CF">
        <w:t xml:space="preserve">applies to the clause of </w:t>
      </w:r>
      <w:r w:rsidRPr="00D145CF">
        <w:rPr>
          <w:i/>
        </w:rPr>
        <w:t>parate executie</w:t>
      </w:r>
      <w:r w:rsidRPr="00D145CF">
        <w:t xml:space="preserve"> that was entered into, executed and adjudicated upon by the High Court before the Constitution came into operation. </w:t>
      </w:r>
      <w:r w:rsidR="007B1392" w:rsidRPr="00D145CF">
        <w:t>Put differently</w:t>
      </w:r>
      <w:r w:rsidR="0015069C" w:rsidRPr="00D145CF">
        <w:t xml:space="preserve">, does s 69(3) of </w:t>
      </w:r>
      <w:r w:rsidR="00FB1A90" w:rsidRPr="00D145CF">
        <w:t>the Constitution</w:t>
      </w:r>
      <w:r w:rsidR="0015069C" w:rsidRPr="00D145CF">
        <w:t xml:space="preserve"> have retroactive effect?</w:t>
      </w:r>
    </w:p>
    <w:p w:rsidR="0015069C" w:rsidRPr="00D145CF" w:rsidRDefault="0015069C" w:rsidP="0061451C">
      <w:pPr>
        <w:pStyle w:val="NoSpacing"/>
        <w:spacing w:line="480" w:lineRule="auto"/>
        <w:jc w:val="both"/>
      </w:pPr>
    </w:p>
    <w:p w:rsidR="0015069C" w:rsidRPr="00D145CF" w:rsidRDefault="0015069C" w:rsidP="0061451C">
      <w:pPr>
        <w:pStyle w:val="NoSpacing"/>
        <w:spacing w:line="480" w:lineRule="auto"/>
        <w:jc w:val="both"/>
      </w:pPr>
      <w:r w:rsidRPr="00D145CF">
        <w:tab/>
        <w:t xml:space="preserve">I have no doubt in my mind that s 69(3) of </w:t>
      </w:r>
      <w:r w:rsidR="00FB1A90" w:rsidRPr="00D145CF">
        <w:t>the Constitution</w:t>
      </w:r>
      <w:r w:rsidRPr="00D145CF">
        <w:t xml:space="preserve"> has no retroactive effect.</w:t>
      </w:r>
    </w:p>
    <w:p w:rsidR="008162A5" w:rsidRPr="00D145CF" w:rsidRDefault="008162A5" w:rsidP="004F7DE6">
      <w:pPr>
        <w:pStyle w:val="ListParagraph"/>
        <w:spacing w:line="480" w:lineRule="auto"/>
        <w:ind w:left="405" w:firstLine="315"/>
        <w:jc w:val="both"/>
        <w:rPr>
          <w:rFonts w:ascii="Times New Roman" w:hAnsi="Times New Roman" w:cs="Times New Roman"/>
          <w:sz w:val="24"/>
          <w:szCs w:val="24"/>
        </w:rPr>
      </w:pPr>
    </w:p>
    <w:p w:rsidR="00777F56" w:rsidRPr="00D145CF" w:rsidRDefault="008162A5" w:rsidP="004F7DE6">
      <w:pPr>
        <w:pStyle w:val="ListParagraph"/>
        <w:spacing w:line="480" w:lineRule="auto"/>
        <w:ind w:left="0" w:firstLine="720"/>
        <w:jc w:val="both"/>
        <w:rPr>
          <w:rFonts w:ascii="Times New Roman" w:hAnsi="Times New Roman" w:cs="Times New Roman"/>
          <w:sz w:val="24"/>
          <w:szCs w:val="24"/>
        </w:rPr>
      </w:pPr>
      <w:r w:rsidRPr="00D145CF">
        <w:rPr>
          <w:rFonts w:ascii="Times New Roman" w:hAnsi="Times New Roman" w:cs="Times New Roman"/>
          <w:sz w:val="24"/>
          <w:szCs w:val="24"/>
        </w:rPr>
        <w:t>In common law countries, one of the fundamental rules of const</w:t>
      </w:r>
      <w:r w:rsidR="00777F56" w:rsidRPr="00D145CF">
        <w:rPr>
          <w:rFonts w:ascii="Times New Roman" w:hAnsi="Times New Roman" w:cs="Times New Roman"/>
          <w:sz w:val="24"/>
          <w:szCs w:val="24"/>
        </w:rPr>
        <w:t>ruction of S</w:t>
      </w:r>
      <w:r w:rsidRPr="00D145CF">
        <w:rPr>
          <w:rFonts w:ascii="Times New Roman" w:hAnsi="Times New Roman" w:cs="Times New Roman"/>
          <w:sz w:val="24"/>
          <w:szCs w:val="24"/>
        </w:rPr>
        <w:t>tatutes is the presumption against retrospectivity. The right o</w:t>
      </w:r>
      <w:r w:rsidR="004F7DE6" w:rsidRPr="00D145CF">
        <w:rPr>
          <w:rFonts w:ascii="Times New Roman" w:hAnsi="Times New Roman" w:cs="Times New Roman"/>
          <w:sz w:val="24"/>
          <w:szCs w:val="24"/>
        </w:rPr>
        <w:t>f</w:t>
      </w:r>
      <w:r w:rsidRPr="00D145CF">
        <w:rPr>
          <w:rFonts w:ascii="Times New Roman" w:hAnsi="Times New Roman" w:cs="Times New Roman"/>
          <w:sz w:val="24"/>
          <w:szCs w:val="24"/>
        </w:rPr>
        <w:t xml:space="preserve"> access to courts or other lawful tribunals for the resolution of disputes is a substantive right and can only apply retrospectively where the legislation in question clearly provides for such a construction.</w:t>
      </w:r>
    </w:p>
    <w:p w:rsidR="00777F56" w:rsidRPr="00D145CF" w:rsidRDefault="00777F56" w:rsidP="00777F56">
      <w:pPr>
        <w:pStyle w:val="ListParagraph"/>
        <w:spacing w:line="480" w:lineRule="auto"/>
        <w:ind w:left="0" w:firstLine="720"/>
        <w:jc w:val="both"/>
        <w:rPr>
          <w:rFonts w:ascii="Times New Roman" w:hAnsi="Times New Roman" w:cs="Times New Roman"/>
          <w:sz w:val="24"/>
          <w:szCs w:val="24"/>
        </w:rPr>
      </w:pPr>
    </w:p>
    <w:p w:rsidR="008162A5" w:rsidRPr="00D145CF" w:rsidRDefault="00777F56" w:rsidP="00AB14FD">
      <w:pPr>
        <w:pStyle w:val="ListParagraph"/>
        <w:spacing w:line="480" w:lineRule="auto"/>
        <w:ind w:left="0" w:firstLine="720"/>
        <w:jc w:val="both"/>
        <w:rPr>
          <w:rFonts w:ascii="Times New Roman" w:hAnsi="Times New Roman" w:cs="Times New Roman"/>
          <w:sz w:val="24"/>
          <w:szCs w:val="24"/>
        </w:rPr>
      </w:pPr>
      <w:r w:rsidRPr="00D145CF">
        <w:rPr>
          <w:rFonts w:ascii="Times New Roman" w:hAnsi="Times New Roman" w:cs="Times New Roman"/>
          <w:sz w:val="24"/>
          <w:szCs w:val="24"/>
        </w:rPr>
        <w:lastRenderedPageBreak/>
        <w:t>Ms </w:t>
      </w:r>
      <w:r w:rsidRPr="00D145CF">
        <w:rPr>
          <w:rFonts w:ascii="Times New Roman" w:hAnsi="Times New Roman" w:cs="Times New Roman"/>
          <w:i/>
          <w:sz w:val="24"/>
          <w:szCs w:val="24"/>
        </w:rPr>
        <w:t xml:space="preserve">Mahere </w:t>
      </w:r>
      <w:r w:rsidR="008162A5" w:rsidRPr="00D145CF">
        <w:rPr>
          <w:rFonts w:ascii="Times New Roman" w:hAnsi="Times New Roman" w:cs="Times New Roman"/>
          <w:sz w:val="24"/>
          <w:szCs w:val="24"/>
        </w:rPr>
        <w:t xml:space="preserve">argued that </w:t>
      </w:r>
      <w:r w:rsidR="0070511C" w:rsidRPr="00D145CF">
        <w:rPr>
          <w:rFonts w:ascii="Times New Roman" w:hAnsi="Times New Roman" w:cs="Times New Roman"/>
          <w:sz w:val="24"/>
          <w:szCs w:val="24"/>
        </w:rPr>
        <w:t>s</w:t>
      </w:r>
      <w:r w:rsidR="008162A5" w:rsidRPr="00D145CF">
        <w:rPr>
          <w:rFonts w:ascii="Times New Roman" w:hAnsi="Times New Roman" w:cs="Times New Roman"/>
          <w:sz w:val="24"/>
          <w:szCs w:val="24"/>
        </w:rPr>
        <w:t>tatutes must be presumed not to prohibit or to prevent what has been done in the past</w:t>
      </w:r>
      <w:r w:rsidRPr="00D145CF">
        <w:rPr>
          <w:rFonts w:ascii="Times New Roman" w:hAnsi="Times New Roman" w:cs="Times New Roman"/>
          <w:sz w:val="24"/>
          <w:szCs w:val="24"/>
        </w:rPr>
        <w:t xml:space="preserve">. In support of this submission </w:t>
      </w:r>
      <w:r w:rsidR="007B1392" w:rsidRPr="00D145CF">
        <w:rPr>
          <w:rFonts w:ascii="Times New Roman" w:hAnsi="Times New Roman" w:cs="Times New Roman"/>
          <w:sz w:val="24"/>
          <w:szCs w:val="24"/>
        </w:rPr>
        <w:t xml:space="preserve">she </w:t>
      </w:r>
      <w:r w:rsidRPr="00D145CF">
        <w:rPr>
          <w:rFonts w:ascii="Times New Roman" w:hAnsi="Times New Roman" w:cs="Times New Roman"/>
          <w:sz w:val="24"/>
          <w:szCs w:val="24"/>
        </w:rPr>
        <w:t>cited the case of</w:t>
      </w:r>
      <w:r w:rsidR="008162A5" w:rsidRPr="00D145CF">
        <w:rPr>
          <w:rFonts w:ascii="Times New Roman" w:hAnsi="Times New Roman" w:cs="Times New Roman"/>
          <w:sz w:val="24"/>
          <w:szCs w:val="24"/>
        </w:rPr>
        <w:t xml:space="preserve"> </w:t>
      </w:r>
      <w:r w:rsidR="008162A5" w:rsidRPr="00D145CF">
        <w:rPr>
          <w:rFonts w:ascii="Times New Roman" w:hAnsi="Times New Roman" w:cs="Times New Roman"/>
          <w:i/>
          <w:sz w:val="24"/>
          <w:szCs w:val="24"/>
        </w:rPr>
        <w:t>Jockey Club of South Africa v Transvaal Racing Club</w:t>
      </w:r>
      <w:r w:rsidRPr="00D145CF">
        <w:rPr>
          <w:rFonts w:ascii="Times New Roman" w:hAnsi="Times New Roman" w:cs="Times New Roman"/>
          <w:sz w:val="24"/>
          <w:szCs w:val="24"/>
        </w:rPr>
        <w:t xml:space="preserve"> 1959 (1) SA 441 (A) a</w:t>
      </w:r>
      <w:r w:rsidR="00B5607A" w:rsidRPr="00D145CF">
        <w:rPr>
          <w:rFonts w:ascii="Times New Roman" w:hAnsi="Times New Roman" w:cs="Times New Roman"/>
          <w:sz w:val="24"/>
          <w:szCs w:val="24"/>
        </w:rPr>
        <w:t xml:space="preserve">nd the case of </w:t>
      </w:r>
      <w:r w:rsidR="00AB14FD" w:rsidRPr="00D145CF">
        <w:rPr>
          <w:rFonts w:ascii="Times New Roman" w:hAnsi="Times New Roman" w:cs="Times New Roman"/>
          <w:i/>
          <w:sz w:val="24"/>
          <w:szCs w:val="24"/>
        </w:rPr>
        <w:t>Phillips v Eyre</w:t>
      </w:r>
      <w:r w:rsidR="00AB14FD" w:rsidRPr="00D145CF">
        <w:rPr>
          <w:rFonts w:ascii="Times New Roman" w:hAnsi="Times New Roman" w:cs="Times New Roman"/>
          <w:sz w:val="24"/>
          <w:szCs w:val="24"/>
        </w:rPr>
        <w:t xml:space="preserve"> [1870] LR 6 QB 1 at 23 (as quoted from Francis Bennion </w:t>
      </w:r>
      <w:r w:rsidR="00AB14FD" w:rsidRPr="00D145CF">
        <w:rPr>
          <w:rFonts w:ascii="Times New Roman" w:hAnsi="Times New Roman" w:cs="Times New Roman"/>
          <w:i/>
          <w:sz w:val="24"/>
          <w:szCs w:val="24"/>
        </w:rPr>
        <w:t>Statutory Interpretation</w:t>
      </w:r>
      <w:r w:rsidR="00AB14FD" w:rsidRPr="00D145CF">
        <w:rPr>
          <w:rFonts w:ascii="Times New Roman" w:hAnsi="Times New Roman" w:cs="Times New Roman"/>
          <w:sz w:val="24"/>
          <w:szCs w:val="24"/>
        </w:rPr>
        <w:t xml:space="preserve"> (1984) 444</w:t>
      </w:r>
      <w:r w:rsidR="003C6706" w:rsidRPr="00D145CF">
        <w:rPr>
          <w:rFonts w:ascii="Times New Roman" w:hAnsi="Times New Roman" w:cs="Times New Roman"/>
          <w:sz w:val="24"/>
          <w:szCs w:val="24"/>
        </w:rPr>
        <w:t>)</w:t>
      </w:r>
      <w:r w:rsidR="00B5607A" w:rsidRPr="00D145CF">
        <w:rPr>
          <w:rFonts w:ascii="Times New Roman" w:hAnsi="Times New Roman" w:cs="Times New Roman"/>
          <w:sz w:val="24"/>
          <w:szCs w:val="24"/>
        </w:rPr>
        <w:t>, wherein</w:t>
      </w:r>
      <w:r w:rsidR="00AB14FD" w:rsidRPr="00D145CF">
        <w:rPr>
          <w:rFonts w:ascii="Times New Roman" w:hAnsi="Times New Roman" w:cs="Times New Roman"/>
          <w:sz w:val="24"/>
          <w:szCs w:val="24"/>
        </w:rPr>
        <w:t xml:space="preserve"> </w:t>
      </w:r>
      <w:r w:rsidR="008162A5" w:rsidRPr="00D145CF">
        <w:rPr>
          <w:rFonts w:ascii="Times New Roman" w:hAnsi="Times New Roman" w:cs="Times New Roman"/>
          <w:smallCaps/>
          <w:sz w:val="24"/>
          <w:szCs w:val="24"/>
        </w:rPr>
        <w:t>Willes</w:t>
      </w:r>
      <w:r w:rsidR="00AB14FD" w:rsidRPr="00D145CF">
        <w:rPr>
          <w:rFonts w:ascii="Times New Roman" w:hAnsi="Times New Roman" w:cs="Times New Roman"/>
          <w:smallCaps/>
          <w:sz w:val="24"/>
          <w:szCs w:val="24"/>
        </w:rPr>
        <w:t> </w:t>
      </w:r>
      <w:r w:rsidR="008162A5" w:rsidRPr="00D145CF">
        <w:rPr>
          <w:rFonts w:ascii="Times New Roman" w:hAnsi="Times New Roman" w:cs="Times New Roman"/>
          <w:smallCaps/>
          <w:sz w:val="24"/>
          <w:szCs w:val="24"/>
        </w:rPr>
        <w:t>J</w:t>
      </w:r>
      <w:r w:rsidR="008162A5" w:rsidRPr="00D145CF">
        <w:rPr>
          <w:rFonts w:ascii="Times New Roman" w:hAnsi="Times New Roman" w:cs="Times New Roman"/>
          <w:sz w:val="24"/>
          <w:szCs w:val="24"/>
        </w:rPr>
        <w:t xml:space="preserve"> </w:t>
      </w:r>
      <w:r w:rsidR="00967668" w:rsidRPr="00D145CF">
        <w:rPr>
          <w:rFonts w:ascii="Times New Roman" w:hAnsi="Times New Roman" w:cs="Times New Roman"/>
          <w:sz w:val="24"/>
          <w:szCs w:val="24"/>
        </w:rPr>
        <w:t>made t</w:t>
      </w:r>
      <w:r w:rsidR="00B5607A" w:rsidRPr="00D145CF">
        <w:rPr>
          <w:rFonts w:ascii="Times New Roman" w:hAnsi="Times New Roman" w:cs="Times New Roman"/>
          <w:sz w:val="24"/>
          <w:szCs w:val="24"/>
        </w:rPr>
        <w:t>he following remarks</w:t>
      </w:r>
      <w:r w:rsidR="008162A5" w:rsidRPr="00D145CF">
        <w:rPr>
          <w:rFonts w:ascii="Times New Roman" w:hAnsi="Times New Roman" w:cs="Times New Roman"/>
          <w:sz w:val="24"/>
          <w:szCs w:val="24"/>
        </w:rPr>
        <w:t>:</w:t>
      </w:r>
    </w:p>
    <w:p w:rsidR="008162A5" w:rsidRPr="00D145CF" w:rsidRDefault="008162A5" w:rsidP="008162A5">
      <w:pPr>
        <w:pStyle w:val="ListParagraph"/>
        <w:spacing w:line="240" w:lineRule="auto"/>
        <w:ind w:left="405"/>
        <w:jc w:val="both"/>
        <w:rPr>
          <w:rFonts w:ascii="Times New Roman" w:hAnsi="Times New Roman" w:cs="Times New Roman"/>
          <w:sz w:val="24"/>
          <w:szCs w:val="24"/>
        </w:rPr>
      </w:pPr>
    </w:p>
    <w:p w:rsidR="008162A5" w:rsidRPr="00D145CF" w:rsidRDefault="003C6706" w:rsidP="003C6706">
      <w:pPr>
        <w:pStyle w:val="ListParagraph"/>
        <w:spacing w:line="240" w:lineRule="auto"/>
        <w:jc w:val="both"/>
        <w:rPr>
          <w:rFonts w:ascii="Times New Roman" w:hAnsi="Times New Roman" w:cs="Times New Roman"/>
          <w:sz w:val="24"/>
          <w:szCs w:val="24"/>
        </w:rPr>
      </w:pPr>
      <w:r w:rsidRPr="00D145CF">
        <w:rPr>
          <w:rFonts w:ascii="Times New Roman" w:hAnsi="Times New Roman" w:cs="Times New Roman"/>
          <w:sz w:val="24"/>
          <w:szCs w:val="24"/>
        </w:rPr>
        <w:t xml:space="preserve">“… </w:t>
      </w:r>
      <w:r w:rsidR="00FC3FE7" w:rsidRPr="00D145CF">
        <w:rPr>
          <w:rFonts w:ascii="Times New Roman" w:hAnsi="Times New Roman" w:cs="Times New Roman"/>
          <w:sz w:val="24"/>
          <w:szCs w:val="24"/>
        </w:rPr>
        <w:t xml:space="preserve"> </w:t>
      </w:r>
      <w:r w:rsidR="008162A5" w:rsidRPr="00D145CF">
        <w:rPr>
          <w:rFonts w:ascii="Times New Roman" w:hAnsi="Times New Roman" w:cs="Times New Roman"/>
          <w:sz w:val="24"/>
          <w:szCs w:val="24"/>
        </w:rPr>
        <w:t>the general principle that legislation by which the conduct of mankind is to be regulated ought, when introduced for the first time, to deal with future acts, and ought not to change the character of past transactions carried on upon the faith of the then existing law</w:t>
      </w:r>
      <w:r w:rsidR="00600354" w:rsidRPr="00D145CF">
        <w:rPr>
          <w:rFonts w:ascii="Times New Roman" w:hAnsi="Times New Roman" w:cs="Times New Roman"/>
          <w:sz w:val="24"/>
          <w:szCs w:val="24"/>
        </w:rPr>
        <w:t>.”</w:t>
      </w:r>
    </w:p>
    <w:p w:rsidR="00FC3FE7" w:rsidRPr="00D145CF" w:rsidRDefault="00FC3FE7" w:rsidP="00FC3FE7">
      <w:pPr>
        <w:pStyle w:val="western"/>
        <w:spacing w:after="0" w:afterAutospacing="0"/>
        <w:jc w:val="both"/>
      </w:pPr>
    </w:p>
    <w:p w:rsidR="008162A5" w:rsidRPr="00D145CF" w:rsidRDefault="00AB14FD" w:rsidP="00590604">
      <w:pPr>
        <w:pStyle w:val="western"/>
        <w:spacing w:after="0" w:afterAutospacing="0" w:line="480" w:lineRule="auto"/>
        <w:ind w:firstLine="720"/>
        <w:jc w:val="both"/>
      </w:pPr>
      <w:r w:rsidRPr="00D145CF">
        <w:t>The</w:t>
      </w:r>
      <w:r w:rsidR="00FC3FE7" w:rsidRPr="00D145CF">
        <w:t>se</w:t>
      </w:r>
      <w:r w:rsidRPr="00D145CF">
        <w:t xml:space="preserve"> </w:t>
      </w:r>
      <w:r w:rsidR="007B1392" w:rsidRPr="00D145CF">
        <w:t>authoritie</w:t>
      </w:r>
      <w:r w:rsidR="00FC3FE7" w:rsidRPr="00D145CF">
        <w:t xml:space="preserve">s are in line with </w:t>
      </w:r>
      <w:r w:rsidRPr="00D145CF">
        <w:t xml:space="preserve">the maxim </w:t>
      </w:r>
      <w:r w:rsidRPr="00D145CF">
        <w:rPr>
          <w:i/>
        </w:rPr>
        <w:t>lex prospicit non respicit</w:t>
      </w:r>
      <w:r w:rsidR="00FC3FE7" w:rsidRPr="00D145CF">
        <w:t xml:space="preserve"> (law looks forward and not back). </w:t>
      </w:r>
      <w:r w:rsidR="008162A5" w:rsidRPr="00D145CF">
        <w:t>The rationale for this presumption under</w:t>
      </w:r>
      <w:r w:rsidR="0094279B" w:rsidRPr="00D145CF">
        <w:t xml:space="preserve"> the</w:t>
      </w:r>
      <w:r w:rsidR="008162A5" w:rsidRPr="00D145CF">
        <w:t xml:space="preserve"> common law is that new legislation must not be used to limit the enjoyment of fruits of legal agreements entered into on the basis of an existing law. To allow </w:t>
      </w:r>
      <w:r w:rsidR="0070511C" w:rsidRPr="00D145CF">
        <w:t>s</w:t>
      </w:r>
      <w:r w:rsidR="008162A5" w:rsidRPr="00D145CF">
        <w:t>tatutes to be interpreted and applied retrospectively would be tantamount to second</w:t>
      </w:r>
      <w:r w:rsidR="00590604" w:rsidRPr="00D145CF">
        <w:t>-</w:t>
      </w:r>
      <w:r w:rsidR="008162A5" w:rsidRPr="00D145CF">
        <w:t xml:space="preserve">guessing contracts entered into in good faith between two agreeing parties. Therefore, whenever there is a substantive </w:t>
      </w:r>
      <w:r w:rsidR="0070511C" w:rsidRPr="00D145CF">
        <w:t>s</w:t>
      </w:r>
      <w:r w:rsidR="008162A5" w:rsidRPr="00D145CF">
        <w:t>tatute which seeks to limit the rights</w:t>
      </w:r>
      <w:r w:rsidR="00967668" w:rsidRPr="00D145CF">
        <w:t xml:space="preserve"> that</w:t>
      </w:r>
      <w:r w:rsidR="008162A5" w:rsidRPr="00D145CF">
        <w:t xml:space="preserve"> parties already have under a concluded contract, the presumption should be applied in order to safeguard the legitimate interests of contracting parties unless this is impossible</w:t>
      </w:r>
      <w:r w:rsidR="00590604" w:rsidRPr="00D145CF">
        <w:t>,</w:t>
      </w:r>
      <w:r w:rsidR="008162A5" w:rsidRPr="00D145CF">
        <w:t xml:space="preserve"> regard being had to the language used in the legislation. </w:t>
      </w:r>
      <w:r w:rsidR="00590604" w:rsidRPr="00D145CF">
        <w:t>In this regard</w:t>
      </w:r>
      <w:r w:rsidR="008162A5" w:rsidRPr="00D145CF">
        <w:t xml:space="preserve"> </w:t>
      </w:r>
      <w:r w:rsidR="008162A5" w:rsidRPr="00D145CF">
        <w:rPr>
          <w:smallCaps/>
        </w:rPr>
        <w:t>Gubbay CJ</w:t>
      </w:r>
      <w:r w:rsidR="008162A5" w:rsidRPr="00D145CF">
        <w:t xml:space="preserve"> </w:t>
      </w:r>
      <w:r w:rsidR="00590604" w:rsidRPr="00D145CF">
        <w:t>had this to say in the case of</w:t>
      </w:r>
      <w:r w:rsidR="008162A5" w:rsidRPr="00D145CF">
        <w:t xml:space="preserve"> </w:t>
      </w:r>
      <w:r w:rsidR="008162A5" w:rsidRPr="00D145CF">
        <w:rPr>
          <w:i/>
          <w:iCs/>
        </w:rPr>
        <w:t>Nkomo and Anor</w:t>
      </w:r>
      <w:r w:rsidR="008162A5" w:rsidRPr="00D145CF">
        <w:rPr>
          <w:iCs/>
        </w:rPr>
        <w:t xml:space="preserve"> v </w:t>
      </w:r>
      <w:r w:rsidR="008162A5" w:rsidRPr="00D145CF">
        <w:rPr>
          <w:i/>
          <w:iCs/>
        </w:rPr>
        <w:t>Attorney-General and Others</w:t>
      </w:r>
      <w:r w:rsidR="00590604" w:rsidRPr="00D145CF">
        <w:rPr>
          <w:iCs/>
        </w:rPr>
        <w:t xml:space="preserve"> 1993 (2) ZLR 422 (S) at 428H-429C:</w:t>
      </w:r>
      <w:r w:rsidR="008162A5" w:rsidRPr="00D145CF">
        <w:rPr>
          <w:i/>
          <w:iCs/>
        </w:rPr>
        <w:t xml:space="preserve"> </w:t>
      </w:r>
    </w:p>
    <w:p w:rsidR="008162A5" w:rsidRPr="00D145CF" w:rsidRDefault="008162A5" w:rsidP="006E14D9">
      <w:pPr>
        <w:pStyle w:val="western"/>
        <w:spacing w:after="0" w:afterAutospacing="0"/>
        <w:ind w:left="720"/>
        <w:jc w:val="both"/>
      </w:pPr>
      <w:r w:rsidRPr="00D145CF">
        <w:t xml:space="preserve">“It is a cardinal rule in our law, dating probably from </w:t>
      </w:r>
      <w:r w:rsidR="006E14D9" w:rsidRPr="00D145CF">
        <w:rPr>
          <w:i/>
        </w:rPr>
        <w:t>C</w:t>
      </w:r>
      <w:r w:rsidRPr="00D145CF">
        <w:rPr>
          <w:i/>
        </w:rPr>
        <w:t>odex</w:t>
      </w:r>
      <w:r w:rsidR="006E14D9" w:rsidRPr="00D145CF">
        <w:rPr>
          <w:i/>
        </w:rPr>
        <w:t> </w:t>
      </w:r>
      <w:r w:rsidRPr="00D145CF">
        <w:rPr>
          <w:i/>
        </w:rPr>
        <w:t>1:14:7</w:t>
      </w:r>
      <w:r w:rsidRPr="00D145CF">
        <w:t xml:space="preserve">, that there is a strong presumption against a retrospective construction. See </w:t>
      </w:r>
      <w:r w:rsidRPr="00D145CF">
        <w:rPr>
          <w:i/>
          <w:iCs/>
        </w:rPr>
        <w:t>Agere</w:t>
      </w:r>
      <w:r w:rsidRPr="00D145CF">
        <w:rPr>
          <w:iCs/>
        </w:rPr>
        <w:t xml:space="preserve"> v </w:t>
      </w:r>
      <w:r w:rsidRPr="00D145CF">
        <w:rPr>
          <w:i/>
          <w:iCs/>
        </w:rPr>
        <w:t>Nyambuya</w:t>
      </w:r>
      <w:r w:rsidRPr="00D145CF">
        <w:t xml:space="preserve"> 1985 (2) ZLR 336 (S) at 338G-339G. Even where a statutory provision is expressly stated to be retrospective in its operation, it is not to be treated as in any</w:t>
      </w:r>
      <w:r w:rsidR="006E14D9" w:rsidRPr="00D145CF">
        <w:t xml:space="preserve"> </w:t>
      </w:r>
      <w:r w:rsidRPr="00D145CF">
        <w:t xml:space="preserve">way affecting acts and transactions which have already been completed, or which stand to be completed shortly, or in respect of which action is pending or has been instituted but not yet decided, unless such a construction appears clearly from the language used or arises by necessary implication. See </w:t>
      </w:r>
      <w:r w:rsidRPr="00D145CF">
        <w:rPr>
          <w:i/>
          <w:iCs/>
        </w:rPr>
        <w:t>Bell</w:t>
      </w:r>
      <w:r w:rsidRPr="00D145CF">
        <w:rPr>
          <w:iCs/>
        </w:rPr>
        <w:t xml:space="preserve"> v </w:t>
      </w:r>
      <w:r w:rsidRPr="00D145CF">
        <w:rPr>
          <w:i/>
          <w:iCs/>
        </w:rPr>
        <w:t>Voorsitter van die Rasklassifikasieraad en Andere</w:t>
      </w:r>
      <w:r w:rsidRPr="00D145CF">
        <w:t xml:space="preserve"> 1968 (2) SA 678 (A) at 684E-F;</w:t>
      </w:r>
      <w:r w:rsidR="00AF573F" w:rsidRPr="00D145CF">
        <w:t xml:space="preserve"> …”</w:t>
      </w:r>
      <w:r w:rsidRPr="00D145CF">
        <w:t xml:space="preserve"> </w:t>
      </w:r>
      <w:r w:rsidR="00E61E3A" w:rsidRPr="00D145CF">
        <w:t>.</w:t>
      </w:r>
    </w:p>
    <w:p w:rsidR="00AF573F" w:rsidRPr="00D145CF" w:rsidRDefault="00AF573F" w:rsidP="00AF573F">
      <w:pPr>
        <w:pStyle w:val="western"/>
        <w:spacing w:after="0" w:afterAutospacing="0"/>
        <w:ind w:left="720"/>
        <w:jc w:val="both"/>
        <w:rPr>
          <w:i/>
        </w:rPr>
      </w:pPr>
    </w:p>
    <w:p w:rsidR="008162A5" w:rsidRPr="00D145CF" w:rsidRDefault="00AF573F" w:rsidP="00AF573F">
      <w:pPr>
        <w:pStyle w:val="western"/>
        <w:spacing w:after="0" w:afterAutospacing="0" w:line="480" w:lineRule="auto"/>
        <w:ind w:firstLine="720"/>
        <w:jc w:val="both"/>
      </w:pPr>
      <w:r w:rsidRPr="00D145CF">
        <w:t>In England t</w:t>
      </w:r>
      <w:r w:rsidR="008162A5" w:rsidRPr="00D145CF">
        <w:t xml:space="preserve">he presumption against retrospective application of substantive law enjoys an almost hegemonic position in the </w:t>
      </w:r>
      <w:r w:rsidR="008162A5" w:rsidRPr="00D145CF">
        <w:rPr>
          <w:i/>
        </w:rPr>
        <w:t>corpus</w:t>
      </w:r>
      <w:r w:rsidR="008162A5" w:rsidRPr="00D145CF">
        <w:t xml:space="preserve"> of the law.</w:t>
      </w:r>
      <w:r w:rsidRPr="00D145CF">
        <w:t xml:space="preserve"> In</w:t>
      </w:r>
      <w:r w:rsidR="008162A5" w:rsidRPr="00D145CF">
        <w:t xml:space="preserve"> </w:t>
      </w:r>
      <w:r w:rsidR="008162A5" w:rsidRPr="00D145CF">
        <w:rPr>
          <w:i/>
        </w:rPr>
        <w:t>In Re Athlumney</w:t>
      </w:r>
      <w:r w:rsidRPr="00D145CF">
        <w:t xml:space="preserve"> [1898] 2 QB 547 at 551 (as quoted from Bell and Engle (eds) </w:t>
      </w:r>
      <w:r w:rsidRPr="00D145CF">
        <w:rPr>
          <w:i/>
        </w:rPr>
        <w:t>Cross on Statutory Interpretation</w:t>
      </w:r>
      <w:r w:rsidRPr="00D145CF">
        <w:t xml:space="preserve"> 2 ed (1987))</w:t>
      </w:r>
      <w:r w:rsidR="008162A5" w:rsidRPr="00D145CF">
        <w:t xml:space="preserve"> </w:t>
      </w:r>
      <w:r w:rsidR="008162A5" w:rsidRPr="00D145CF">
        <w:rPr>
          <w:smallCaps/>
        </w:rPr>
        <w:t>R</w:t>
      </w:r>
      <w:r w:rsidRPr="00D145CF">
        <w:rPr>
          <w:smallCaps/>
        </w:rPr>
        <w:t> </w:t>
      </w:r>
      <w:r w:rsidR="008162A5" w:rsidRPr="00D145CF">
        <w:rPr>
          <w:smallCaps/>
        </w:rPr>
        <w:t>S</w:t>
      </w:r>
      <w:r w:rsidRPr="00D145CF">
        <w:rPr>
          <w:smallCaps/>
        </w:rPr>
        <w:t> </w:t>
      </w:r>
      <w:r w:rsidR="008162A5" w:rsidRPr="00D145CF">
        <w:rPr>
          <w:smallCaps/>
        </w:rPr>
        <w:t>Wright</w:t>
      </w:r>
      <w:r w:rsidRPr="00D145CF">
        <w:rPr>
          <w:smallCaps/>
        </w:rPr>
        <w:t> </w:t>
      </w:r>
      <w:r w:rsidR="008162A5" w:rsidRPr="00D145CF">
        <w:rPr>
          <w:smallCaps/>
        </w:rPr>
        <w:t>J</w:t>
      </w:r>
      <w:r w:rsidR="008162A5" w:rsidRPr="00D145CF">
        <w:t xml:space="preserve"> explained </w:t>
      </w:r>
      <w:r w:rsidRPr="00D145CF">
        <w:t>the law in the following words:</w:t>
      </w:r>
    </w:p>
    <w:p w:rsidR="008162A5" w:rsidRPr="00D145CF" w:rsidRDefault="00AF573F" w:rsidP="008162A5">
      <w:pPr>
        <w:pStyle w:val="western"/>
        <w:spacing w:after="0" w:afterAutospacing="0"/>
        <w:ind w:left="720"/>
        <w:jc w:val="both"/>
      </w:pPr>
      <w:r w:rsidRPr="00D145CF">
        <w:t>“</w:t>
      </w:r>
      <w:r w:rsidR="008162A5" w:rsidRPr="00D145CF">
        <w:t>Perhaps no rule of construction is more firmly established than this - that a retrospective operation is not to be given to a statute so as to impair an existing right or obligation, otherwise than as regards matter</w:t>
      </w:r>
      <w:r w:rsidR="00E61E3A" w:rsidRPr="00D145CF">
        <w:t>(s)</w:t>
      </w:r>
      <w:r w:rsidR="008162A5" w:rsidRPr="00D145CF">
        <w:t xml:space="preserve"> of procedure, unless that effect cannot be avoided without doing violence to the language of the enactment. If the enactment is expressed in language which is fairly capable of either interpretation, it ought to be</w:t>
      </w:r>
      <w:r w:rsidRPr="00D145CF">
        <w:t xml:space="preserve"> construed as prospective only.”</w:t>
      </w:r>
    </w:p>
    <w:p w:rsidR="00AF573F" w:rsidRPr="00D145CF" w:rsidRDefault="00AF573F" w:rsidP="00AF573F">
      <w:pPr>
        <w:pStyle w:val="NoSpacing"/>
        <w:spacing w:line="480" w:lineRule="auto"/>
        <w:jc w:val="both"/>
      </w:pPr>
    </w:p>
    <w:p w:rsidR="00AF573F" w:rsidRPr="00D145CF" w:rsidRDefault="003209A5" w:rsidP="00CE58CC">
      <w:pPr>
        <w:autoSpaceDE w:val="0"/>
        <w:autoSpaceDN w:val="0"/>
        <w:adjustRightInd w:val="0"/>
        <w:spacing w:after="0" w:line="480" w:lineRule="auto"/>
        <w:ind w:firstLine="720"/>
        <w:jc w:val="both"/>
        <w:rPr>
          <w:rFonts w:ascii="Times New Roman" w:hAnsi="Times New Roman" w:cs="Times New Roman"/>
          <w:sz w:val="24"/>
          <w:szCs w:val="24"/>
        </w:rPr>
      </w:pPr>
      <w:r w:rsidRPr="00D145CF">
        <w:rPr>
          <w:rFonts w:ascii="Times New Roman" w:hAnsi="Times New Roman" w:cs="Times New Roman"/>
          <w:sz w:val="24"/>
          <w:szCs w:val="24"/>
        </w:rPr>
        <w:t>Similarly, t</w:t>
      </w:r>
      <w:r w:rsidR="00AF573F" w:rsidRPr="00D145CF">
        <w:rPr>
          <w:rFonts w:ascii="Times New Roman" w:hAnsi="Times New Roman" w:cs="Times New Roman"/>
          <w:sz w:val="24"/>
          <w:szCs w:val="24"/>
        </w:rPr>
        <w:t>he Canadian approach with regard to the presumption against retrospective construction and application of the law is summarised as follows by Professor P</w:t>
      </w:r>
      <w:r w:rsidRPr="00D145CF">
        <w:rPr>
          <w:rFonts w:ascii="Times New Roman" w:hAnsi="Times New Roman" w:cs="Times New Roman"/>
          <w:sz w:val="24"/>
          <w:szCs w:val="24"/>
        </w:rPr>
        <w:t> </w:t>
      </w:r>
      <w:r w:rsidR="00AF573F" w:rsidRPr="00D145CF">
        <w:rPr>
          <w:rFonts w:ascii="Times New Roman" w:hAnsi="Times New Roman" w:cs="Times New Roman"/>
          <w:sz w:val="24"/>
          <w:szCs w:val="24"/>
        </w:rPr>
        <w:t>W</w:t>
      </w:r>
      <w:r w:rsidRPr="00D145CF">
        <w:rPr>
          <w:rFonts w:ascii="Times New Roman" w:hAnsi="Times New Roman" w:cs="Times New Roman"/>
          <w:sz w:val="24"/>
          <w:szCs w:val="24"/>
        </w:rPr>
        <w:t> </w:t>
      </w:r>
      <w:r w:rsidR="00AF573F" w:rsidRPr="00D145CF">
        <w:rPr>
          <w:rFonts w:ascii="Times New Roman" w:hAnsi="Times New Roman" w:cs="Times New Roman"/>
          <w:sz w:val="24"/>
          <w:szCs w:val="24"/>
        </w:rPr>
        <w:t>Hogg</w:t>
      </w:r>
      <w:r w:rsidRPr="00D145CF">
        <w:rPr>
          <w:rFonts w:ascii="Times New Roman" w:hAnsi="Times New Roman" w:cs="Times New Roman"/>
          <w:sz w:val="24"/>
          <w:szCs w:val="24"/>
        </w:rPr>
        <w:t xml:space="preserve"> in </w:t>
      </w:r>
      <w:r w:rsidRPr="00D145CF">
        <w:rPr>
          <w:rFonts w:ascii="Times New Roman" w:hAnsi="Times New Roman" w:cs="Times New Roman"/>
          <w:i/>
          <w:sz w:val="24"/>
          <w:szCs w:val="24"/>
        </w:rPr>
        <w:t>Constitutional Law of Canada</w:t>
      </w:r>
      <w:r w:rsidRPr="00D145CF">
        <w:rPr>
          <w:rFonts w:ascii="Times New Roman" w:hAnsi="Times New Roman" w:cs="Times New Roman"/>
          <w:sz w:val="24"/>
          <w:szCs w:val="24"/>
        </w:rPr>
        <w:t xml:space="preserve"> 3 ed (1992) </w:t>
      </w:r>
      <w:r w:rsidR="00657CD3" w:rsidRPr="00D145CF">
        <w:rPr>
          <w:rFonts w:ascii="Times New Roman" w:hAnsi="Times New Roman" w:cs="Times New Roman"/>
          <w:sz w:val="24"/>
          <w:szCs w:val="24"/>
        </w:rPr>
        <w:t>at para 33.10</w:t>
      </w:r>
      <w:r w:rsidRPr="00D145CF">
        <w:rPr>
          <w:rFonts w:ascii="Times New Roman" w:hAnsi="Times New Roman" w:cs="Times New Roman"/>
          <w:sz w:val="24"/>
          <w:szCs w:val="24"/>
        </w:rPr>
        <w:t xml:space="preserve"> as follows:</w:t>
      </w:r>
    </w:p>
    <w:p w:rsidR="00CE58CC" w:rsidRPr="00D145CF" w:rsidRDefault="00CE58CC" w:rsidP="00CE58CC">
      <w:pPr>
        <w:autoSpaceDE w:val="0"/>
        <w:autoSpaceDN w:val="0"/>
        <w:adjustRightInd w:val="0"/>
        <w:spacing w:after="0" w:line="240" w:lineRule="auto"/>
        <w:ind w:left="720"/>
        <w:jc w:val="both"/>
        <w:rPr>
          <w:rFonts w:ascii="Times New Roman" w:hAnsi="Times New Roman" w:cs="Times New Roman"/>
          <w:sz w:val="24"/>
          <w:szCs w:val="24"/>
        </w:rPr>
      </w:pPr>
    </w:p>
    <w:p w:rsidR="00AF573F" w:rsidRPr="00D145CF" w:rsidRDefault="00AF573F" w:rsidP="003209A5">
      <w:pPr>
        <w:autoSpaceDE w:val="0"/>
        <w:autoSpaceDN w:val="0"/>
        <w:adjustRightInd w:val="0"/>
        <w:spacing w:after="0" w:line="240" w:lineRule="auto"/>
        <w:ind w:left="720"/>
        <w:jc w:val="both"/>
        <w:rPr>
          <w:rFonts w:ascii="Times New Roman" w:hAnsi="Times New Roman" w:cs="Times New Roman"/>
          <w:sz w:val="24"/>
          <w:szCs w:val="24"/>
        </w:rPr>
      </w:pPr>
      <w:r w:rsidRPr="00D145CF">
        <w:rPr>
          <w:rFonts w:ascii="Times New Roman" w:hAnsi="Times New Roman" w:cs="Times New Roman"/>
          <w:sz w:val="24"/>
          <w:szCs w:val="24"/>
        </w:rPr>
        <w:t xml:space="preserve">“Section 58 of the Constitution Act, 1982 provides that the Act is to come into force on a day to be fixed by proclamation. That proclamation was issued by the Queen, who came to Canada for the purpose, at a ceremony in Ottawa on April 17, 1982; and the proclamation fixed April 17, 1982 as the day upon which the Constitution Act, 1982 was to come into force. The Charter of Rights accordingly came into force on that day, and operates only prospectively from that day. A statute (or regulation or by-law or other legislative instrument) which was enacted before April 17, 1982, and which is inconsistent with the Charter, will be rendered </w:t>
      </w:r>
      <w:r w:rsidR="00657CD3" w:rsidRPr="00D145CF">
        <w:rPr>
          <w:rFonts w:ascii="Times New Roman" w:hAnsi="Times New Roman" w:cs="Times New Roman"/>
          <w:sz w:val="24"/>
          <w:szCs w:val="24"/>
        </w:rPr>
        <w:t>‘</w:t>
      </w:r>
      <w:r w:rsidRPr="00D145CF">
        <w:rPr>
          <w:rFonts w:ascii="Times New Roman" w:hAnsi="Times New Roman" w:cs="Times New Roman"/>
          <w:sz w:val="24"/>
          <w:szCs w:val="24"/>
        </w:rPr>
        <w:t>of no force or effect</w:t>
      </w:r>
      <w:r w:rsidR="00657CD3" w:rsidRPr="00D145CF">
        <w:rPr>
          <w:rFonts w:ascii="Times New Roman" w:hAnsi="Times New Roman" w:cs="Times New Roman"/>
          <w:sz w:val="24"/>
          <w:szCs w:val="24"/>
        </w:rPr>
        <w:t>’</w:t>
      </w:r>
      <w:r w:rsidRPr="00D145CF">
        <w:rPr>
          <w:rFonts w:ascii="Times New Roman" w:hAnsi="Times New Roman" w:cs="Times New Roman"/>
          <w:sz w:val="24"/>
          <w:szCs w:val="24"/>
        </w:rPr>
        <w:t xml:space="preserve"> by the supremacy clause of the Constitution, but only as from April 17, 1982. Action of an executive or administrative kind, such as search, seizure, arrest or detention, which was taken before April 17, 1982, cannot be a violation of the Charter, because the Charter was not in force at the time of the action.”</w:t>
      </w:r>
    </w:p>
    <w:p w:rsidR="00AF573F" w:rsidRPr="00D145CF" w:rsidRDefault="00AF573F" w:rsidP="00657CD3">
      <w:pPr>
        <w:autoSpaceDE w:val="0"/>
        <w:autoSpaceDN w:val="0"/>
        <w:adjustRightInd w:val="0"/>
        <w:spacing w:after="0" w:line="240" w:lineRule="auto"/>
        <w:jc w:val="both"/>
        <w:rPr>
          <w:rFonts w:ascii="Times New Roman" w:hAnsi="Times New Roman" w:cs="Times New Roman"/>
          <w:sz w:val="24"/>
          <w:szCs w:val="24"/>
        </w:rPr>
      </w:pPr>
    </w:p>
    <w:p w:rsidR="00657CD3" w:rsidRPr="00D145CF" w:rsidRDefault="00657CD3" w:rsidP="00657CD3">
      <w:pPr>
        <w:autoSpaceDE w:val="0"/>
        <w:autoSpaceDN w:val="0"/>
        <w:adjustRightInd w:val="0"/>
        <w:spacing w:after="0" w:line="360" w:lineRule="auto"/>
        <w:jc w:val="both"/>
        <w:rPr>
          <w:rFonts w:ascii="Times New Roman" w:hAnsi="Times New Roman" w:cs="Times New Roman"/>
          <w:sz w:val="24"/>
          <w:szCs w:val="24"/>
        </w:rPr>
      </w:pPr>
    </w:p>
    <w:p w:rsidR="00AF573F" w:rsidRPr="00D145CF" w:rsidRDefault="00AF573F" w:rsidP="00CE58CC">
      <w:pPr>
        <w:autoSpaceDE w:val="0"/>
        <w:autoSpaceDN w:val="0"/>
        <w:adjustRightInd w:val="0"/>
        <w:spacing w:after="0" w:line="480" w:lineRule="auto"/>
        <w:jc w:val="both"/>
        <w:rPr>
          <w:rFonts w:ascii="Times New Roman" w:hAnsi="Times New Roman" w:cs="Times New Roman"/>
          <w:sz w:val="24"/>
          <w:szCs w:val="24"/>
        </w:rPr>
      </w:pPr>
      <w:r w:rsidRPr="00D145CF">
        <w:rPr>
          <w:rFonts w:ascii="Times New Roman" w:hAnsi="Times New Roman" w:cs="Times New Roman"/>
          <w:sz w:val="24"/>
          <w:szCs w:val="24"/>
        </w:rPr>
        <w:t>The same p</w:t>
      </w:r>
      <w:r w:rsidR="0053598E" w:rsidRPr="00D145CF">
        <w:rPr>
          <w:rFonts w:ascii="Times New Roman" w:hAnsi="Times New Roman" w:cs="Times New Roman"/>
          <w:sz w:val="24"/>
          <w:szCs w:val="24"/>
        </w:rPr>
        <w:t>r</w:t>
      </w:r>
      <w:r w:rsidRPr="00D145CF">
        <w:rPr>
          <w:rFonts w:ascii="Times New Roman" w:hAnsi="Times New Roman" w:cs="Times New Roman"/>
          <w:sz w:val="24"/>
          <w:szCs w:val="24"/>
        </w:rPr>
        <w:t>o</w:t>
      </w:r>
      <w:r w:rsidR="0053598E" w:rsidRPr="00D145CF">
        <w:rPr>
          <w:rFonts w:ascii="Times New Roman" w:hAnsi="Times New Roman" w:cs="Times New Roman"/>
          <w:sz w:val="24"/>
          <w:szCs w:val="24"/>
        </w:rPr>
        <w:t>posi</w:t>
      </w:r>
      <w:r w:rsidRPr="00D145CF">
        <w:rPr>
          <w:rFonts w:ascii="Times New Roman" w:hAnsi="Times New Roman" w:cs="Times New Roman"/>
          <w:sz w:val="24"/>
          <w:szCs w:val="24"/>
        </w:rPr>
        <w:t xml:space="preserve">tion was </w:t>
      </w:r>
      <w:r w:rsidR="0053598E" w:rsidRPr="00D145CF">
        <w:rPr>
          <w:rFonts w:ascii="Times New Roman" w:hAnsi="Times New Roman" w:cs="Times New Roman"/>
          <w:sz w:val="24"/>
          <w:szCs w:val="24"/>
        </w:rPr>
        <w:t>stat</w:t>
      </w:r>
      <w:r w:rsidRPr="00D145CF">
        <w:rPr>
          <w:rFonts w:ascii="Times New Roman" w:hAnsi="Times New Roman" w:cs="Times New Roman"/>
          <w:sz w:val="24"/>
          <w:szCs w:val="24"/>
        </w:rPr>
        <w:t xml:space="preserve">ed in </w:t>
      </w:r>
      <w:r w:rsidRPr="00D145CF">
        <w:rPr>
          <w:rFonts w:ascii="Times New Roman" w:hAnsi="Times New Roman" w:cs="Times New Roman"/>
          <w:i/>
          <w:iCs/>
          <w:sz w:val="24"/>
          <w:szCs w:val="24"/>
        </w:rPr>
        <w:t>R v James</w:t>
      </w:r>
      <w:r w:rsidRPr="00D145CF">
        <w:rPr>
          <w:rFonts w:ascii="Times New Roman" w:hAnsi="Times New Roman" w:cs="Times New Roman"/>
          <w:i/>
          <w:sz w:val="24"/>
          <w:szCs w:val="24"/>
        </w:rPr>
        <w:t xml:space="preserve">; </w:t>
      </w:r>
      <w:r w:rsidRPr="00D145CF">
        <w:rPr>
          <w:rFonts w:ascii="Times New Roman" w:hAnsi="Times New Roman" w:cs="Times New Roman"/>
          <w:i/>
          <w:iCs/>
          <w:sz w:val="24"/>
          <w:szCs w:val="24"/>
        </w:rPr>
        <w:t>R v Dzagic</w:t>
      </w:r>
      <w:r w:rsidR="00AF6FD7" w:rsidRPr="00D145CF">
        <w:rPr>
          <w:rFonts w:ascii="Times New Roman" w:hAnsi="Times New Roman" w:cs="Times New Roman"/>
          <w:iCs/>
          <w:sz w:val="24"/>
          <w:szCs w:val="24"/>
        </w:rPr>
        <w:t xml:space="preserve"> </w:t>
      </w:r>
      <w:r w:rsidR="00CE58CC" w:rsidRPr="00D145CF">
        <w:rPr>
          <w:rFonts w:ascii="Times New Roman" w:hAnsi="Times New Roman" w:cs="Times New Roman"/>
          <w:iCs/>
          <w:sz w:val="24"/>
          <w:szCs w:val="24"/>
        </w:rPr>
        <w:t xml:space="preserve">(1988) 33 CRR 107 at 131-2, </w:t>
      </w:r>
      <w:r w:rsidRPr="00D145CF">
        <w:rPr>
          <w:rFonts w:ascii="Times New Roman" w:hAnsi="Times New Roman" w:cs="Times New Roman"/>
          <w:sz w:val="24"/>
          <w:szCs w:val="24"/>
        </w:rPr>
        <w:t xml:space="preserve">wherein </w:t>
      </w:r>
      <w:r w:rsidRPr="00D145CF">
        <w:rPr>
          <w:rFonts w:ascii="Times New Roman" w:hAnsi="Times New Roman" w:cs="Times New Roman"/>
          <w:smallCaps/>
          <w:sz w:val="24"/>
          <w:szCs w:val="24"/>
        </w:rPr>
        <w:t>Tarnopolsky JA</w:t>
      </w:r>
      <w:r w:rsidR="00A55D1B" w:rsidRPr="00D145CF">
        <w:rPr>
          <w:rFonts w:ascii="Times New Roman" w:hAnsi="Times New Roman" w:cs="Times New Roman"/>
          <w:sz w:val="24"/>
          <w:szCs w:val="24"/>
        </w:rPr>
        <w:t xml:space="preserve"> opined:</w:t>
      </w:r>
    </w:p>
    <w:p w:rsidR="00521299" w:rsidRPr="00D145CF" w:rsidRDefault="00521299" w:rsidP="00521299">
      <w:pPr>
        <w:autoSpaceDE w:val="0"/>
        <w:autoSpaceDN w:val="0"/>
        <w:adjustRightInd w:val="0"/>
        <w:spacing w:after="0" w:line="240" w:lineRule="auto"/>
        <w:ind w:left="720"/>
        <w:jc w:val="both"/>
        <w:rPr>
          <w:rFonts w:ascii="Times New Roman" w:hAnsi="Times New Roman" w:cs="Times New Roman"/>
          <w:sz w:val="24"/>
          <w:szCs w:val="24"/>
        </w:rPr>
      </w:pPr>
    </w:p>
    <w:p w:rsidR="00AF573F" w:rsidRPr="00D145CF" w:rsidRDefault="00B043A3" w:rsidP="00B043A3">
      <w:pPr>
        <w:autoSpaceDE w:val="0"/>
        <w:autoSpaceDN w:val="0"/>
        <w:adjustRightInd w:val="0"/>
        <w:spacing w:after="0" w:line="240" w:lineRule="auto"/>
        <w:ind w:left="720"/>
        <w:jc w:val="both"/>
        <w:rPr>
          <w:rFonts w:ascii="Times New Roman" w:hAnsi="Times New Roman" w:cs="Times New Roman"/>
          <w:sz w:val="24"/>
          <w:szCs w:val="24"/>
        </w:rPr>
      </w:pPr>
      <w:r w:rsidRPr="00D145CF">
        <w:rPr>
          <w:rFonts w:ascii="Times New Roman" w:hAnsi="Times New Roman" w:cs="Times New Roman"/>
          <w:sz w:val="24"/>
          <w:szCs w:val="24"/>
        </w:rPr>
        <w:t>“</w:t>
      </w:r>
      <w:r w:rsidR="00AF573F" w:rsidRPr="00D145CF">
        <w:rPr>
          <w:rFonts w:ascii="Times New Roman" w:hAnsi="Times New Roman" w:cs="Times New Roman"/>
          <w:sz w:val="24"/>
          <w:szCs w:val="24"/>
        </w:rPr>
        <w:t>It is not an effective way to promote respect for Charter rights to apply new effects to actions taken before</w:t>
      </w:r>
      <w:r w:rsidR="00A6275A" w:rsidRPr="00D145CF">
        <w:rPr>
          <w:rFonts w:ascii="Times New Roman" w:hAnsi="Times New Roman" w:cs="Times New Roman"/>
          <w:sz w:val="24"/>
          <w:szCs w:val="24"/>
        </w:rPr>
        <w:t xml:space="preserve"> the Charter came into effect …</w:t>
      </w:r>
      <w:r w:rsidR="00AF573F" w:rsidRPr="00D145CF">
        <w:rPr>
          <w:rFonts w:ascii="Times New Roman" w:hAnsi="Times New Roman" w:cs="Times New Roman"/>
          <w:sz w:val="24"/>
          <w:szCs w:val="24"/>
        </w:rPr>
        <w:t xml:space="preserve"> it is important that actions be determined by the law, including the Constitution, in effect at the time of the action</w:t>
      </w:r>
      <w:r w:rsidRPr="00D145CF">
        <w:rPr>
          <w:rFonts w:ascii="Times New Roman" w:hAnsi="Times New Roman" w:cs="Times New Roman"/>
          <w:sz w:val="24"/>
          <w:szCs w:val="24"/>
        </w:rPr>
        <w:t>.”</w:t>
      </w:r>
    </w:p>
    <w:p w:rsidR="00F35F7E" w:rsidRPr="00D145CF" w:rsidRDefault="00F35F7E" w:rsidP="00F35F7E">
      <w:pPr>
        <w:spacing w:line="360" w:lineRule="auto"/>
        <w:rPr>
          <w:rFonts w:ascii="Times New Roman" w:hAnsi="Times New Roman" w:cs="Times New Roman"/>
          <w:sz w:val="24"/>
          <w:szCs w:val="24"/>
        </w:rPr>
      </w:pPr>
    </w:p>
    <w:p w:rsidR="00F35F7E" w:rsidRPr="00D145CF" w:rsidRDefault="00F35F7E" w:rsidP="00A6275A">
      <w:pPr>
        <w:spacing w:line="480" w:lineRule="auto"/>
        <w:jc w:val="both"/>
        <w:rPr>
          <w:rFonts w:ascii="Times New Roman" w:hAnsi="Times New Roman" w:cs="Times New Roman"/>
          <w:sz w:val="24"/>
          <w:szCs w:val="24"/>
        </w:rPr>
      </w:pPr>
      <w:r w:rsidRPr="00D145CF">
        <w:rPr>
          <w:rFonts w:ascii="Times New Roman" w:hAnsi="Times New Roman" w:cs="Times New Roman"/>
          <w:sz w:val="24"/>
          <w:szCs w:val="24"/>
        </w:rPr>
        <w:lastRenderedPageBreak/>
        <w:t xml:space="preserve">In </w:t>
      </w:r>
      <w:r w:rsidRPr="00D145CF">
        <w:rPr>
          <w:rFonts w:ascii="Times New Roman" w:hAnsi="Times New Roman" w:cs="Times New Roman"/>
          <w:i/>
          <w:sz w:val="24"/>
          <w:szCs w:val="24"/>
        </w:rPr>
        <w:t>Society for the Propagation of the Gospel</w:t>
      </w:r>
      <w:r w:rsidRPr="00D145CF">
        <w:rPr>
          <w:rFonts w:ascii="Times New Roman" w:hAnsi="Times New Roman" w:cs="Times New Roman"/>
          <w:sz w:val="24"/>
          <w:szCs w:val="24"/>
        </w:rPr>
        <w:t xml:space="preserve"> v </w:t>
      </w:r>
      <w:r w:rsidRPr="00D145CF">
        <w:rPr>
          <w:rFonts w:ascii="Times New Roman" w:hAnsi="Times New Roman" w:cs="Times New Roman"/>
          <w:i/>
          <w:sz w:val="24"/>
          <w:szCs w:val="24"/>
        </w:rPr>
        <w:t>Wheeler</w:t>
      </w:r>
      <w:r w:rsidRPr="00D145CF">
        <w:rPr>
          <w:rFonts w:ascii="Times New Roman" w:hAnsi="Times New Roman" w:cs="Times New Roman"/>
          <w:sz w:val="24"/>
          <w:szCs w:val="24"/>
        </w:rPr>
        <w:t xml:space="preserve"> 2 Gall. 105 at 139 (Cir. 1814)</w:t>
      </w:r>
      <w:r w:rsidR="00602756" w:rsidRPr="00D145CF">
        <w:rPr>
          <w:rFonts w:ascii="Times New Roman" w:hAnsi="Times New Roman" w:cs="Times New Roman"/>
          <w:sz w:val="24"/>
          <w:szCs w:val="24"/>
        </w:rPr>
        <w:t xml:space="preserve"> it was held:</w:t>
      </w:r>
    </w:p>
    <w:p w:rsidR="00F35F7E" w:rsidRPr="00D145CF" w:rsidRDefault="00F35F7E" w:rsidP="00602756">
      <w:pPr>
        <w:spacing w:line="240" w:lineRule="auto"/>
        <w:ind w:left="720"/>
        <w:jc w:val="both"/>
        <w:rPr>
          <w:rFonts w:ascii="Times New Roman" w:hAnsi="Times New Roman" w:cs="Times New Roman"/>
          <w:sz w:val="24"/>
          <w:szCs w:val="24"/>
        </w:rPr>
      </w:pPr>
      <w:r w:rsidRPr="00D145CF">
        <w:rPr>
          <w:rFonts w:ascii="Times New Roman" w:hAnsi="Times New Roman" w:cs="Times New Roman"/>
          <w:sz w:val="24"/>
          <w:szCs w:val="24"/>
        </w:rPr>
        <w:t xml:space="preserve">‘Upon principle, every statute, which takes away or impairs vested rights acquired under existing laws, or creates a new obligation, imposes a new duty, or attaches a new disability, in respect to transactions or considerations already past, must be deemed retrospective </w:t>
      </w:r>
      <w:r w:rsidR="00602756" w:rsidRPr="00D145CF">
        <w:rPr>
          <w:rFonts w:ascii="Times New Roman" w:hAnsi="Times New Roman" w:cs="Times New Roman"/>
          <w:sz w:val="24"/>
          <w:szCs w:val="24"/>
        </w:rPr>
        <w:t>…”.</w:t>
      </w:r>
    </w:p>
    <w:p w:rsidR="00602756" w:rsidRPr="00D145CF" w:rsidRDefault="00602756" w:rsidP="00602756">
      <w:pPr>
        <w:spacing w:line="240" w:lineRule="auto"/>
        <w:ind w:left="720"/>
        <w:jc w:val="both"/>
        <w:rPr>
          <w:rFonts w:ascii="Times New Roman" w:hAnsi="Times New Roman" w:cs="Times New Roman"/>
          <w:sz w:val="24"/>
          <w:szCs w:val="24"/>
        </w:rPr>
      </w:pPr>
    </w:p>
    <w:p w:rsidR="00AF573F" w:rsidRPr="00D145CF" w:rsidRDefault="00F35F7E" w:rsidP="00602756">
      <w:pPr>
        <w:autoSpaceDE w:val="0"/>
        <w:autoSpaceDN w:val="0"/>
        <w:adjustRightInd w:val="0"/>
        <w:spacing w:after="0" w:line="480" w:lineRule="auto"/>
        <w:ind w:firstLine="720"/>
        <w:jc w:val="both"/>
        <w:rPr>
          <w:rFonts w:ascii="Times New Roman" w:hAnsi="Times New Roman" w:cs="Times New Roman"/>
          <w:sz w:val="24"/>
          <w:szCs w:val="24"/>
        </w:rPr>
      </w:pPr>
      <w:r w:rsidRPr="00D145CF">
        <w:rPr>
          <w:rFonts w:ascii="Times New Roman" w:hAnsi="Times New Roman" w:cs="Times New Roman"/>
          <w:sz w:val="24"/>
          <w:szCs w:val="24"/>
        </w:rPr>
        <w:t>I</w:t>
      </w:r>
      <w:r w:rsidR="004C5D59" w:rsidRPr="00D145CF">
        <w:rPr>
          <w:rFonts w:ascii="Times New Roman" w:hAnsi="Times New Roman" w:cs="Times New Roman"/>
          <w:sz w:val="24"/>
          <w:szCs w:val="24"/>
        </w:rPr>
        <w:t>n my view, t</w:t>
      </w:r>
      <w:r w:rsidRPr="00D145CF">
        <w:rPr>
          <w:rFonts w:ascii="Times New Roman" w:hAnsi="Times New Roman" w:cs="Times New Roman"/>
          <w:sz w:val="24"/>
          <w:szCs w:val="24"/>
        </w:rPr>
        <w:t xml:space="preserve">he presumption against retrospectivity is a necessary safeguard against the interference </w:t>
      </w:r>
      <w:r w:rsidR="00A34514" w:rsidRPr="00D145CF">
        <w:rPr>
          <w:rFonts w:ascii="Times New Roman" w:hAnsi="Times New Roman" w:cs="Times New Roman"/>
          <w:sz w:val="24"/>
          <w:szCs w:val="24"/>
        </w:rPr>
        <w:t>with</w:t>
      </w:r>
      <w:r w:rsidRPr="00D145CF">
        <w:rPr>
          <w:rFonts w:ascii="Times New Roman" w:hAnsi="Times New Roman" w:cs="Times New Roman"/>
          <w:sz w:val="24"/>
          <w:szCs w:val="24"/>
        </w:rPr>
        <w:t xml:space="preserve"> legally obtained rights </w:t>
      </w:r>
      <w:r w:rsidRPr="00D145CF">
        <w:rPr>
          <w:rFonts w:ascii="Times New Roman" w:hAnsi="Times New Roman" w:cs="Times New Roman"/>
          <w:i/>
          <w:sz w:val="24"/>
          <w:szCs w:val="24"/>
        </w:rPr>
        <w:t>ex post facto.</w:t>
      </w:r>
      <w:r w:rsidRPr="00D145CF">
        <w:rPr>
          <w:rFonts w:ascii="Times New Roman" w:hAnsi="Times New Roman" w:cs="Times New Roman"/>
          <w:sz w:val="24"/>
          <w:szCs w:val="24"/>
        </w:rPr>
        <w:t xml:space="preserve"> This stems from the belief that at some point the </w:t>
      </w:r>
      <w:r w:rsidR="00602756" w:rsidRPr="00D145CF">
        <w:rPr>
          <w:rFonts w:ascii="Times New Roman" w:hAnsi="Times New Roman" w:cs="Times New Roman"/>
          <w:sz w:val="24"/>
          <w:szCs w:val="24"/>
        </w:rPr>
        <w:t>S</w:t>
      </w:r>
      <w:r w:rsidRPr="00D145CF">
        <w:rPr>
          <w:rFonts w:ascii="Times New Roman" w:hAnsi="Times New Roman" w:cs="Times New Roman"/>
          <w:sz w:val="24"/>
          <w:szCs w:val="24"/>
        </w:rPr>
        <w:t>tate, the parties and third parties are entitled to rely on a common understanding of the nature of the rights acquired or transactions completed.</w:t>
      </w:r>
      <w:r w:rsidR="00602756" w:rsidRPr="00D145CF">
        <w:rPr>
          <w:rFonts w:ascii="Times New Roman" w:hAnsi="Times New Roman" w:cs="Times New Roman"/>
          <w:sz w:val="24"/>
          <w:szCs w:val="24"/>
        </w:rPr>
        <w:t xml:space="preserve"> See </w:t>
      </w:r>
      <w:r w:rsidR="00602756" w:rsidRPr="00D145CF">
        <w:rPr>
          <w:rFonts w:ascii="Times New Roman" w:hAnsi="Times New Roman" w:cs="Times New Roman"/>
          <w:i/>
          <w:sz w:val="24"/>
          <w:szCs w:val="24"/>
        </w:rPr>
        <w:t>Du Toit</w:t>
      </w:r>
      <w:r w:rsidR="00602756" w:rsidRPr="00D145CF">
        <w:rPr>
          <w:rFonts w:ascii="Times New Roman" w:hAnsi="Times New Roman" w:cs="Times New Roman"/>
          <w:sz w:val="24"/>
          <w:szCs w:val="24"/>
        </w:rPr>
        <w:t xml:space="preserve"> v </w:t>
      </w:r>
      <w:r w:rsidR="00602756" w:rsidRPr="00D145CF">
        <w:rPr>
          <w:rFonts w:ascii="Times New Roman" w:hAnsi="Times New Roman" w:cs="Times New Roman"/>
          <w:i/>
          <w:sz w:val="24"/>
          <w:szCs w:val="24"/>
        </w:rPr>
        <w:t xml:space="preserve">Minister for </w:t>
      </w:r>
      <w:r w:rsidR="00B83DCB" w:rsidRPr="00D145CF">
        <w:rPr>
          <w:rFonts w:ascii="Times New Roman" w:hAnsi="Times New Roman" w:cs="Times New Roman"/>
          <w:i/>
          <w:sz w:val="24"/>
          <w:szCs w:val="24"/>
        </w:rPr>
        <w:t>Safety and</w:t>
      </w:r>
      <w:r w:rsidR="00602756" w:rsidRPr="00D145CF">
        <w:rPr>
          <w:rFonts w:ascii="Times New Roman" w:hAnsi="Times New Roman" w:cs="Times New Roman"/>
          <w:i/>
          <w:sz w:val="24"/>
          <w:szCs w:val="24"/>
        </w:rPr>
        <w:t xml:space="preserve"> Security and Anor</w:t>
      </w:r>
      <w:r w:rsidR="00602756" w:rsidRPr="00D145CF">
        <w:rPr>
          <w:rFonts w:ascii="Times New Roman" w:hAnsi="Times New Roman" w:cs="Times New Roman"/>
          <w:sz w:val="24"/>
          <w:szCs w:val="24"/>
        </w:rPr>
        <w:t xml:space="preserve"> </w:t>
      </w:r>
      <w:r w:rsidR="00052BDC" w:rsidRPr="00D145CF">
        <w:rPr>
          <w:rFonts w:ascii="Times New Roman" w:hAnsi="Times New Roman" w:cs="Times New Roman"/>
          <w:sz w:val="24"/>
          <w:szCs w:val="24"/>
        </w:rPr>
        <w:t xml:space="preserve">[2009] ZACC 22; 2010 SACR 1 (CC); 2009 (12) BCLR 1171 (CC) per </w:t>
      </w:r>
      <w:r w:rsidR="00052BDC" w:rsidRPr="00D145CF">
        <w:rPr>
          <w:rFonts w:ascii="Times New Roman" w:hAnsi="Times New Roman" w:cs="Times New Roman"/>
          <w:smallCaps/>
          <w:sz w:val="24"/>
          <w:szCs w:val="24"/>
        </w:rPr>
        <w:t>Langa CJ</w:t>
      </w:r>
      <w:r w:rsidR="00602756" w:rsidRPr="00D145CF">
        <w:rPr>
          <w:rFonts w:ascii="Times New Roman" w:hAnsi="Times New Roman" w:cs="Times New Roman"/>
          <w:i/>
          <w:sz w:val="24"/>
          <w:szCs w:val="24"/>
        </w:rPr>
        <w:t xml:space="preserve"> </w:t>
      </w:r>
      <w:r w:rsidR="00052BDC" w:rsidRPr="00D145CF">
        <w:rPr>
          <w:rFonts w:ascii="Times New Roman" w:hAnsi="Times New Roman" w:cs="Times New Roman"/>
          <w:sz w:val="24"/>
          <w:szCs w:val="24"/>
        </w:rPr>
        <w:t xml:space="preserve">at para 36. </w:t>
      </w:r>
      <w:r w:rsidRPr="00D145CF">
        <w:rPr>
          <w:rFonts w:ascii="Times New Roman" w:hAnsi="Times New Roman" w:cs="Times New Roman"/>
          <w:sz w:val="24"/>
          <w:szCs w:val="24"/>
        </w:rPr>
        <w:t>The question which inevitably follows is whether s</w:t>
      </w:r>
      <w:r w:rsidR="000D7850" w:rsidRPr="00D145CF">
        <w:rPr>
          <w:rFonts w:ascii="Times New Roman" w:hAnsi="Times New Roman" w:cs="Times New Roman"/>
          <w:sz w:val="24"/>
          <w:szCs w:val="24"/>
        </w:rPr>
        <w:t> </w:t>
      </w:r>
      <w:r w:rsidRPr="00D145CF">
        <w:rPr>
          <w:rFonts w:ascii="Times New Roman" w:hAnsi="Times New Roman" w:cs="Times New Roman"/>
          <w:sz w:val="24"/>
          <w:szCs w:val="24"/>
        </w:rPr>
        <w:t>69(3) of the Constitution takes away or impairs vested rights acquired under existing laws, or creates new obligations, imposes a new duty or attaches a new disability in respect of already completed transaction</w:t>
      </w:r>
      <w:r w:rsidR="0070511C" w:rsidRPr="00D145CF">
        <w:rPr>
          <w:rFonts w:ascii="Times New Roman" w:hAnsi="Times New Roman" w:cs="Times New Roman"/>
          <w:sz w:val="24"/>
          <w:szCs w:val="24"/>
        </w:rPr>
        <w:t>s</w:t>
      </w:r>
      <w:r w:rsidRPr="00D145CF">
        <w:rPr>
          <w:rFonts w:ascii="Times New Roman" w:hAnsi="Times New Roman" w:cs="Times New Roman"/>
          <w:sz w:val="24"/>
          <w:szCs w:val="24"/>
        </w:rPr>
        <w:t>.</w:t>
      </w:r>
    </w:p>
    <w:p w:rsidR="00F35F7E" w:rsidRPr="00D145CF" w:rsidRDefault="00521299" w:rsidP="00521299">
      <w:pPr>
        <w:autoSpaceDE w:val="0"/>
        <w:autoSpaceDN w:val="0"/>
        <w:adjustRightInd w:val="0"/>
        <w:spacing w:after="0" w:line="480" w:lineRule="auto"/>
        <w:jc w:val="both"/>
        <w:rPr>
          <w:rFonts w:ascii="Times New Roman" w:hAnsi="Times New Roman" w:cs="Times New Roman"/>
          <w:sz w:val="24"/>
          <w:szCs w:val="24"/>
        </w:rPr>
      </w:pPr>
      <w:r w:rsidRPr="00D145CF">
        <w:rPr>
          <w:rFonts w:ascii="Times New Roman" w:hAnsi="Times New Roman" w:cs="Times New Roman"/>
          <w:sz w:val="24"/>
          <w:szCs w:val="24"/>
        </w:rPr>
        <w:tab/>
      </w:r>
    </w:p>
    <w:p w:rsidR="00521299" w:rsidRPr="00D145CF" w:rsidRDefault="00521299" w:rsidP="00F35F7E">
      <w:pPr>
        <w:autoSpaceDE w:val="0"/>
        <w:autoSpaceDN w:val="0"/>
        <w:adjustRightInd w:val="0"/>
        <w:spacing w:after="0" w:line="480" w:lineRule="auto"/>
        <w:ind w:firstLine="720"/>
        <w:jc w:val="both"/>
        <w:rPr>
          <w:rFonts w:ascii="Times New Roman" w:hAnsi="Times New Roman" w:cs="Times New Roman"/>
          <w:sz w:val="24"/>
          <w:szCs w:val="24"/>
        </w:rPr>
      </w:pPr>
      <w:r w:rsidRPr="00D145CF">
        <w:rPr>
          <w:rFonts w:ascii="Times New Roman" w:hAnsi="Times New Roman" w:cs="Times New Roman"/>
          <w:sz w:val="24"/>
          <w:szCs w:val="24"/>
        </w:rPr>
        <w:t>On the authority of the above cited cases</w:t>
      </w:r>
      <w:r w:rsidR="00DF4A52" w:rsidRPr="00D145CF">
        <w:rPr>
          <w:rFonts w:ascii="Times New Roman" w:hAnsi="Times New Roman" w:cs="Times New Roman"/>
          <w:sz w:val="24"/>
          <w:szCs w:val="24"/>
        </w:rPr>
        <w:t xml:space="preserve"> and the wording of</w:t>
      </w:r>
      <w:r w:rsidR="000D7850" w:rsidRPr="00D145CF">
        <w:rPr>
          <w:rFonts w:ascii="Times New Roman" w:hAnsi="Times New Roman" w:cs="Times New Roman"/>
          <w:sz w:val="24"/>
          <w:szCs w:val="24"/>
        </w:rPr>
        <w:t xml:space="preserve"> s 69(3) of the Constitution</w:t>
      </w:r>
      <w:r w:rsidR="00151987" w:rsidRPr="00D145CF">
        <w:rPr>
          <w:rFonts w:ascii="Times New Roman" w:hAnsi="Times New Roman" w:cs="Times New Roman"/>
          <w:sz w:val="24"/>
          <w:szCs w:val="24"/>
        </w:rPr>
        <w:t>, s 69(3)</w:t>
      </w:r>
      <w:r w:rsidR="000D7850" w:rsidRPr="00D145CF">
        <w:rPr>
          <w:rFonts w:ascii="Times New Roman" w:hAnsi="Times New Roman" w:cs="Times New Roman"/>
          <w:sz w:val="24"/>
          <w:szCs w:val="24"/>
        </w:rPr>
        <w:t xml:space="preserve"> </w:t>
      </w:r>
      <w:r w:rsidR="004C5D59" w:rsidRPr="00D145CF">
        <w:rPr>
          <w:rFonts w:ascii="Times New Roman" w:hAnsi="Times New Roman" w:cs="Times New Roman"/>
          <w:sz w:val="24"/>
          <w:szCs w:val="24"/>
        </w:rPr>
        <w:t>must be presumed to have</w:t>
      </w:r>
      <w:r w:rsidR="000D7850" w:rsidRPr="00D145CF">
        <w:rPr>
          <w:rFonts w:ascii="Times New Roman" w:hAnsi="Times New Roman" w:cs="Times New Roman"/>
          <w:sz w:val="24"/>
          <w:szCs w:val="24"/>
        </w:rPr>
        <w:t xml:space="preserve"> no retrospective effect. Section 69(3) provides as follows:</w:t>
      </w:r>
    </w:p>
    <w:p w:rsidR="000D7850" w:rsidRPr="00D145CF" w:rsidRDefault="000D7850" w:rsidP="000D7850">
      <w:pPr>
        <w:autoSpaceDE w:val="0"/>
        <w:autoSpaceDN w:val="0"/>
        <w:adjustRightInd w:val="0"/>
        <w:spacing w:after="0" w:line="240" w:lineRule="auto"/>
        <w:jc w:val="both"/>
        <w:rPr>
          <w:rFonts w:ascii="Times New Roman" w:hAnsi="Times New Roman" w:cs="Times New Roman"/>
          <w:sz w:val="24"/>
          <w:szCs w:val="24"/>
        </w:rPr>
      </w:pPr>
    </w:p>
    <w:p w:rsidR="000D7850" w:rsidRPr="00D145CF" w:rsidRDefault="00A97F56" w:rsidP="00A97F56">
      <w:pPr>
        <w:pStyle w:val="NoSpacing"/>
        <w:ind w:left="720"/>
        <w:jc w:val="both"/>
        <w:rPr>
          <w:b/>
        </w:rPr>
      </w:pPr>
      <w:r w:rsidRPr="00D145CF">
        <w:t>“</w:t>
      </w:r>
      <w:r w:rsidRPr="00D145CF">
        <w:rPr>
          <w:b/>
        </w:rPr>
        <w:t>69 Right to a fair hearing</w:t>
      </w:r>
    </w:p>
    <w:p w:rsidR="00A97F56" w:rsidRPr="00D145CF" w:rsidRDefault="00A97F56" w:rsidP="00A97F56">
      <w:pPr>
        <w:pStyle w:val="NoSpacing"/>
        <w:ind w:left="720"/>
        <w:jc w:val="both"/>
      </w:pPr>
    </w:p>
    <w:p w:rsidR="00A97F56" w:rsidRPr="00D145CF" w:rsidRDefault="00A97F56" w:rsidP="00A97F56">
      <w:pPr>
        <w:pStyle w:val="NoSpacing"/>
        <w:ind w:left="720"/>
        <w:jc w:val="both"/>
      </w:pPr>
      <w:r w:rsidRPr="00D145CF">
        <w:t>(3) Every person has the right of access to the courts, or to some other tribunal or forum established by law for the resolution of any dispute.”</w:t>
      </w:r>
    </w:p>
    <w:p w:rsidR="00A97F56" w:rsidRPr="00D145CF" w:rsidRDefault="00A97F56" w:rsidP="00A97F56">
      <w:pPr>
        <w:pStyle w:val="NoSpacing"/>
        <w:spacing w:line="480" w:lineRule="auto"/>
        <w:jc w:val="both"/>
      </w:pPr>
    </w:p>
    <w:p w:rsidR="00A97F56" w:rsidRPr="00D145CF" w:rsidRDefault="0098677D" w:rsidP="00A97F56">
      <w:pPr>
        <w:pStyle w:val="NoSpacing"/>
        <w:spacing w:line="480" w:lineRule="auto"/>
        <w:jc w:val="both"/>
      </w:pPr>
      <w:r w:rsidRPr="00D145CF">
        <w:t>T</w:t>
      </w:r>
      <w:r w:rsidR="003754B1" w:rsidRPr="00D145CF">
        <w:t xml:space="preserve">here is nothing in the language of s 69(3) of </w:t>
      </w:r>
      <w:r w:rsidR="00FB1A90" w:rsidRPr="00D145CF">
        <w:t>the Constitution</w:t>
      </w:r>
      <w:r w:rsidR="003754B1" w:rsidRPr="00D145CF">
        <w:t xml:space="preserve"> which suggests that it is to be applied retrospectively</w:t>
      </w:r>
      <w:r w:rsidR="004C5D59" w:rsidRPr="00D145CF">
        <w:t>, thus overriding the presumption</w:t>
      </w:r>
      <w:r w:rsidR="003754B1" w:rsidRPr="00D145CF">
        <w:t>.</w:t>
      </w:r>
    </w:p>
    <w:p w:rsidR="003754B1" w:rsidRPr="00D145CF" w:rsidRDefault="003754B1" w:rsidP="00A97F56">
      <w:pPr>
        <w:pStyle w:val="NoSpacing"/>
        <w:spacing w:line="480" w:lineRule="auto"/>
        <w:jc w:val="both"/>
      </w:pPr>
    </w:p>
    <w:p w:rsidR="003754B1" w:rsidRPr="00D145CF" w:rsidRDefault="003754B1" w:rsidP="00A97F56">
      <w:pPr>
        <w:pStyle w:val="NoSpacing"/>
        <w:spacing w:line="480" w:lineRule="auto"/>
        <w:jc w:val="both"/>
      </w:pPr>
      <w:r w:rsidRPr="00D145CF">
        <w:lastRenderedPageBreak/>
        <w:tab/>
        <w:t xml:space="preserve">Since s 69(3) of </w:t>
      </w:r>
      <w:r w:rsidR="00FB1A90" w:rsidRPr="00D145CF">
        <w:t>the Constitution</w:t>
      </w:r>
      <w:r w:rsidRPr="00D145CF">
        <w:t xml:space="preserve"> is not </w:t>
      </w:r>
      <w:r w:rsidR="004C5D59" w:rsidRPr="00D145CF">
        <w:t>retroactive, it does not apply</w:t>
      </w:r>
      <w:r w:rsidRPr="00D145CF">
        <w:t xml:space="preserve"> to th</w:t>
      </w:r>
      <w:r w:rsidR="004C5D59" w:rsidRPr="00D145CF">
        <w:t xml:space="preserve">e contract between the </w:t>
      </w:r>
      <w:r w:rsidR="00B5607A" w:rsidRPr="00D145CF">
        <w:t xml:space="preserve">defendant </w:t>
      </w:r>
      <w:r w:rsidR="004C5D59" w:rsidRPr="00D145CF">
        <w:t xml:space="preserve">and the </w:t>
      </w:r>
      <w:r w:rsidR="00B5607A" w:rsidRPr="00D145CF">
        <w:t>plaintiff</w:t>
      </w:r>
      <w:r w:rsidR="00151987" w:rsidRPr="00D145CF">
        <w:t>, which was concluded before the Constitution came into operation</w:t>
      </w:r>
      <w:r w:rsidR="004C5D59" w:rsidRPr="00D145CF">
        <w:t>. Therefore</w:t>
      </w:r>
      <w:r w:rsidRPr="00D145CF">
        <w:t xml:space="preserve"> the constitutional </w:t>
      </w:r>
      <w:r w:rsidR="004C5D59" w:rsidRPr="00D145CF">
        <w:t>issue</w:t>
      </w:r>
      <w:r w:rsidRPr="00D145CF">
        <w:t xml:space="preserve"> </w:t>
      </w:r>
      <w:r w:rsidR="004C5D59" w:rsidRPr="00D145CF">
        <w:t xml:space="preserve">is determined in favour of the </w:t>
      </w:r>
      <w:r w:rsidR="00B5607A" w:rsidRPr="00D145CF">
        <w:t>defendant</w:t>
      </w:r>
      <w:r w:rsidR="004C5D59" w:rsidRPr="00D145CF">
        <w:t>.</w:t>
      </w:r>
    </w:p>
    <w:p w:rsidR="003754B1" w:rsidRPr="00D145CF" w:rsidRDefault="003754B1" w:rsidP="00A97F56">
      <w:pPr>
        <w:pStyle w:val="NoSpacing"/>
        <w:spacing w:line="480" w:lineRule="auto"/>
        <w:jc w:val="both"/>
      </w:pPr>
    </w:p>
    <w:p w:rsidR="003754B1" w:rsidRPr="00D145CF" w:rsidRDefault="003754B1" w:rsidP="00A97F56">
      <w:pPr>
        <w:pStyle w:val="NoSpacing"/>
        <w:spacing w:line="480" w:lineRule="auto"/>
        <w:jc w:val="both"/>
        <w:rPr>
          <w:b/>
        </w:rPr>
      </w:pPr>
      <w:r w:rsidRPr="00D145CF">
        <w:rPr>
          <w:b/>
          <w:u w:val="single"/>
        </w:rPr>
        <w:t xml:space="preserve">SHOULD THIS COURT OUTLAW </w:t>
      </w:r>
      <w:r w:rsidRPr="00D145CF">
        <w:rPr>
          <w:b/>
          <w:i/>
          <w:u w:val="single"/>
        </w:rPr>
        <w:t>PARATE EXECUTIE</w:t>
      </w:r>
      <w:r w:rsidRPr="00D145CF">
        <w:rPr>
          <w:b/>
          <w:u w:val="single"/>
        </w:rPr>
        <w:t xml:space="preserve"> ON THE GROUNDS OF PUBLIC POLICY</w:t>
      </w:r>
      <w:r w:rsidRPr="00D145CF">
        <w:rPr>
          <w:b/>
        </w:rPr>
        <w:t>?</w:t>
      </w:r>
    </w:p>
    <w:p w:rsidR="003754B1" w:rsidRPr="00D145CF" w:rsidRDefault="003754B1" w:rsidP="00A97F56">
      <w:pPr>
        <w:pStyle w:val="NoSpacing"/>
        <w:spacing w:line="480" w:lineRule="auto"/>
        <w:jc w:val="both"/>
      </w:pPr>
    </w:p>
    <w:p w:rsidR="003754B1" w:rsidRPr="00D145CF" w:rsidRDefault="003754B1" w:rsidP="00A97F56">
      <w:pPr>
        <w:pStyle w:val="NoSpacing"/>
        <w:spacing w:line="480" w:lineRule="auto"/>
        <w:jc w:val="both"/>
      </w:pPr>
      <w:r w:rsidRPr="00D145CF">
        <w:tab/>
        <w:t>Finally, Mr </w:t>
      </w:r>
      <w:r w:rsidRPr="00D145CF">
        <w:rPr>
          <w:i/>
        </w:rPr>
        <w:t>Matinenga</w:t>
      </w:r>
      <w:r w:rsidRPr="00D145CF">
        <w:t xml:space="preserve"> submitted that </w:t>
      </w:r>
      <w:r w:rsidRPr="00D145CF">
        <w:rPr>
          <w:i/>
        </w:rPr>
        <w:t>parate executie</w:t>
      </w:r>
      <w:r w:rsidRPr="00D145CF">
        <w:t xml:space="preserve"> should be abolished as part of our common law on </w:t>
      </w:r>
      <w:r w:rsidR="00A56852" w:rsidRPr="00D145CF">
        <w:t xml:space="preserve">the </w:t>
      </w:r>
      <w:r w:rsidRPr="00D145CF">
        <w:t xml:space="preserve">grounds </w:t>
      </w:r>
      <w:r w:rsidR="003C0516" w:rsidRPr="00D145CF">
        <w:t xml:space="preserve">that it offends </w:t>
      </w:r>
      <w:r w:rsidRPr="00D145CF">
        <w:t>public policy. I am not persuaded by this argument for the following reasons.</w:t>
      </w:r>
    </w:p>
    <w:p w:rsidR="00A56852" w:rsidRPr="00D145CF" w:rsidRDefault="00A56852" w:rsidP="00A97F56">
      <w:pPr>
        <w:pStyle w:val="NoSpacing"/>
        <w:spacing w:line="480" w:lineRule="auto"/>
        <w:jc w:val="both"/>
      </w:pPr>
    </w:p>
    <w:p w:rsidR="00A56852" w:rsidRPr="00D145CF" w:rsidRDefault="00B530B1" w:rsidP="00A97F56">
      <w:pPr>
        <w:pStyle w:val="NoSpacing"/>
        <w:spacing w:line="480" w:lineRule="auto"/>
        <w:jc w:val="both"/>
      </w:pPr>
      <w:r w:rsidRPr="00D145CF">
        <w:tab/>
        <w:t>Mr </w:t>
      </w:r>
      <w:r w:rsidRPr="00D145CF">
        <w:rPr>
          <w:i/>
        </w:rPr>
        <w:t>Matinenga</w:t>
      </w:r>
      <w:r w:rsidRPr="00D145CF">
        <w:t xml:space="preserve"> submitted that this court should reconsider the cases of </w:t>
      </w:r>
      <w:r w:rsidRPr="00D145CF">
        <w:rPr>
          <w:i/>
        </w:rPr>
        <w:t xml:space="preserve">Aitken </w:t>
      </w:r>
      <w:r w:rsidRPr="00D145CF">
        <w:t xml:space="preserve">v </w:t>
      </w:r>
      <w:r w:rsidRPr="00D145CF">
        <w:rPr>
          <w:i/>
        </w:rPr>
        <w:t>Miller</w:t>
      </w:r>
      <w:r w:rsidRPr="00D145CF">
        <w:t xml:space="preserve"> 1950 SR 227; 1951 (1) SA 153 (SR) </w:t>
      </w:r>
      <w:r w:rsidR="00A1448A" w:rsidRPr="00D145CF">
        <w:t xml:space="preserve">and </w:t>
      </w:r>
      <w:r w:rsidR="00A1448A" w:rsidRPr="00D145CF">
        <w:rPr>
          <w:i/>
        </w:rPr>
        <w:t>Changa</w:t>
      </w:r>
      <w:r w:rsidR="00A1448A" w:rsidRPr="00D145CF">
        <w:t xml:space="preserve"> v </w:t>
      </w:r>
      <w:r w:rsidR="00A1448A" w:rsidRPr="00D145CF">
        <w:rPr>
          <w:i/>
        </w:rPr>
        <w:t>Standard Finance Ltd</w:t>
      </w:r>
      <w:r w:rsidR="00A1448A" w:rsidRPr="00D145CF">
        <w:t xml:space="preserve"> 1990 (2) ZLR 412 (SC)</w:t>
      </w:r>
      <w:r w:rsidR="00854C69" w:rsidRPr="00D145CF">
        <w:t>, which cases</w:t>
      </w:r>
      <w:r w:rsidR="0098677D" w:rsidRPr="00D145CF">
        <w:t xml:space="preserve"> are to the effect that </w:t>
      </w:r>
      <w:r w:rsidR="0098677D" w:rsidRPr="00D145CF">
        <w:rPr>
          <w:i/>
        </w:rPr>
        <w:t>parate executie</w:t>
      </w:r>
      <w:r w:rsidR="0098677D" w:rsidRPr="00D145CF">
        <w:t xml:space="preserve"> is both lawful and constitutional.</w:t>
      </w:r>
    </w:p>
    <w:p w:rsidR="00F01BD4" w:rsidRPr="00D145CF" w:rsidRDefault="00F01BD4" w:rsidP="00A97F56">
      <w:pPr>
        <w:pStyle w:val="NoSpacing"/>
        <w:spacing w:line="480" w:lineRule="auto"/>
        <w:jc w:val="both"/>
      </w:pPr>
    </w:p>
    <w:p w:rsidR="00F01BD4" w:rsidRPr="00D145CF" w:rsidRDefault="00F01BD4" w:rsidP="00A97F56">
      <w:pPr>
        <w:pStyle w:val="NoSpacing"/>
        <w:spacing w:line="480" w:lineRule="auto"/>
        <w:jc w:val="both"/>
      </w:pPr>
      <w:r w:rsidRPr="00D145CF">
        <w:tab/>
        <w:t>Mr </w:t>
      </w:r>
      <w:r w:rsidRPr="00D145CF">
        <w:rPr>
          <w:i/>
        </w:rPr>
        <w:t>Matinenga</w:t>
      </w:r>
      <w:r w:rsidRPr="00D145CF">
        <w:t xml:space="preserve"> </w:t>
      </w:r>
      <w:r w:rsidR="005D4D96" w:rsidRPr="00D145CF">
        <w:t>urged the court to follow the approach adopted by</w:t>
      </w:r>
      <w:r w:rsidRPr="00D145CF">
        <w:t xml:space="preserve"> </w:t>
      </w:r>
      <w:r w:rsidR="0098677D" w:rsidRPr="00D145CF">
        <w:t>South African</w:t>
      </w:r>
      <w:r w:rsidR="005D4D96" w:rsidRPr="00D145CF">
        <w:t xml:space="preserve"> courts in the</w:t>
      </w:r>
      <w:r w:rsidR="0098677D" w:rsidRPr="00D145CF">
        <w:t xml:space="preserve"> </w:t>
      </w:r>
      <w:r w:rsidRPr="00D145CF">
        <w:t>cases</w:t>
      </w:r>
      <w:r w:rsidR="005D4D96" w:rsidRPr="00D145CF">
        <w:t xml:space="preserve"> of</w:t>
      </w:r>
      <w:r w:rsidR="00925646" w:rsidRPr="00D145CF">
        <w:t xml:space="preserve"> </w:t>
      </w:r>
      <w:r w:rsidR="00925646" w:rsidRPr="00D145CF">
        <w:rPr>
          <w:i/>
        </w:rPr>
        <w:t>Chief Les</w:t>
      </w:r>
      <w:r w:rsidR="0098677D" w:rsidRPr="00D145CF">
        <w:rPr>
          <w:i/>
        </w:rPr>
        <w:t>a</w:t>
      </w:r>
      <w:r w:rsidR="00925646" w:rsidRPr="00D145CF">
        <w:rPr>
          <w:i/>
        </w:rPr>
        <w:t>po</w:t>
      </w:r>
      <w:r w:rsidR="00925646" w:rsidRPr="00D145CF">
        <w:t xml:space="preserve"> v </w:t>
      </w:r>
      <w:r w:rsidR="00925646" w:rsidRPr="00D145CF">
        <w:rPr>
          <w:i/>
        </w:rPr>
        <w:t>North West Agricultural Bank and Anor</w:t>
      </w:r>
      <w:r w:rsidR="00925646" w:rsidRPr="00D145CF">
        <w:t xml:space="preserve"> 2000 (1) SA 409 (CC) and </w:t>
      </w:r>
      <w:r w:rsidR="00925646" w:rsidRPr="00D145CF">
        <w:rPr>
          <w:i/>
        </w:rPr>
        <w:t>Findevco (Pty) Ltd</w:t>
      </w:r>
      <w:r w:rsidR="00925646" w:rsidRPr="00D145CF">
        <w:t xml:space="preserve"> v </w:t>
      </w:r>
      <w:r w:rsidR="00925646" w:rsidRPr="00D145CF">
        <w:rPr>
          <w:i/>
        </w:rPr>
        <w:t xml:space="preserve">Faceformat </w:t>
      </w:r>
      <w:r w:rsidR="00930333" w:rsidRPr="00D145CF">
        <w:rPr>
          <w:i/>
        </w:rPr>
        <w:t xml:space="preserve">SA </w:t>
      </w:r>
      <w:r w:rsidR="00925646" w:rsidRPr="00D145CF">
        <w:rPr>
          <w:i/>
        </w:rPr>
        <w:t>(Pty) Ltd</w:t>
      </w:r>
      <w:r w:rsidR="00925646" w:rsidRPr="00D145CF">
        <w:t xml:space="preserve"> 2001 (1) SA 251 (NPD)</w:t>
      </w:r>
      <w:r w:rsidR="00854C69" w:rsidRPr="00D145CF">
        <w:t xml:space="preserve">, in which cases </w:t>
      </w:r>
      <w:r w:rsidR="00854C69" w:rsidRPr="00D145CF">
        <w:rPr>
          <w:i/>
        </w:rPr>
        <w:t>parate executie</w:t>
      </w:r>
      <w:r w:rsidR="00854C69" w:rsidRPr="00D145CF">
        <w:t xml:space="preserve"> was held to be both unlawful and unconstitutional</w:t>
      </w:r>
      <w:r w:rsidR="00925646" w:rsidRPr="00D145CF">
        <w:t>.</w:t>
      </w:r>
    </w:p>
    <w:p w:rsidR="00925646" w:rsidRPr="00D145CF" w:rsidRDefault="00925646" w:rsidP="00A97F56">
      <w:pPr>
        <w:pStyle w:val="NoSpacing"/>
        <w:spacing w:line="480" w:lineRule="auto"/>
        <w:jc w:val="both"/>
      </w:pPr>
    </w:p>
    <w:p w:rsidR="00925646" w:rsidRPr="00D145CF" w:rsidRDefault="00FA6BA8" w:rsidP="00A97F56">
      <w:pPr>
        <w:pStyle w:val="NoSpacing"/>
        <w:spacing w:line="480" w:lineRule="auto"/>
        <w:jc w:val="both"/>
      </w:pPr>
      <w:r w:rsidRPr="00D145CF">
        <w:tab/>
        <w:t xml:space="preserve">In </w:t>
      </w:r>
      <w:r w:rsidRPr="00D145CF">
        <w:rPr>
          <w:i/>
        </w:rPr>
        <w:t>Chief Les</w:t>
      </w:r>
      <w:r w:rsidR="00930333" w:rsidRPr="00D145CF">
        <w:rPr>
          <w:i/>
        </w:rPr>
        <w:t>a</w:t>
      </w:r>
      <w:r w:rsidRPr="00D145CF">
        <w:rPr>
          <w:i/>
        </w:rPr>
        <w:t>po v North West Agricultural Bank supra</w:t>
      </w:r>
      <w:r w:rsidRPr="00D145CF">
        <w:t xml:space="preserve"> the </w:t>
      </w:r>
      <w:r w:rsidR="002E2F72" w:rsidRPr="00D145CF">
        <w:t>Constitutional C</w:t>
      </w:r>
      <w:r w:rsidRPr="00D145CF">
        <w:t>ourt</w:t>
      </w:r>
      <w:r w:rsidR="002E2F72" w:rsidRPr="00D145CF">
        <w:t xml:space="preserve"> of South Africa</w:t>
      </w:r>
      <w:r w:rsidRPr="00D145CF">
        <w:t xml:space="preserve"> had this to say at p 416C:</w:t>
      </w:r>
    </w:p>
    <w:p w:rsidR="00FA6BA8" w:rsidRPr="00D145CF" w:rsidRDefault="00FA6BA8" w:rsidP="00FA6BA8">
      <w:pPr>
        <w:pStyle w:val="NoSpacing"/>
        <w:jc w:val="both"/>
      </w:pPr>
    </w:p>
    <w:p w:rsidR="00FA6BA8" w:rsidRPr="00D145CF" w:rsidRDefault="00FA6BA8" w:rsidP="00FA6BA8">
      <w:pPr>
        <w:pStyle w:val="NoSpacing"/>
        <w:ind w:left="720"/>
        <w:jc w:val="both"/>
      </w:pPr>
      <w:r w:rsidRPr="00D145CF">
        <w:t xml:space="preserve">“The judicial process, guaranteed by s 34, also protects the attachment and sale of a debtor’s property, even where there is no dispute concerning the underlying obligation of the debtor on the strength of which </w:t>
      </w:r>
      <w:r w:rsidR="00890DF0" w:rsidRPr="00D145CF">
        <w:t>the attachment and execution takes place. That protection extends to the circumstances in which property may be seized and sold in execution and includes the control that is exercised over sales in execution.”</w:t>
      </w:r>
    </w:p>
    <w:p w:rsidR="00890DF0" w:rsidRPr="00D145CF" w:rsidRDefault="00890DF0" w:rsidP="00890DF0">
      <w:pPr>
        <w:pStyle w:val="NoSpacing"/>
        <w:spacing w:line="480" w:lineRule="auto"/>
        <w:jc w:val="both"/>
      </w:pPr>
    </w:p>
    <w:p w:rsidR="005D4D96" w:rsidRPr="00D145CF" w:rsidRDefault="00854C69" w:rsidP="00890DF0">
      <w:pPr>
        <w:pStyle w:val="NoSpacing"/>
        <w:spacing w:line="480" w:lineRule="auto"/>
        <w:jc w:val="both"/>
      </w:pPr>
      <w:r w:rsidRPr="00D145CF">
        <w:t xml:space="preserve">Thus, </w:t>
      </w:r>
      <w:r w:rsidR="005D4D96" w:rsidRPr="00D145CF">
        <w:rPr>
          <w:i/>
        </w:rPr>
        <w:t>Chief Lesapo’s</w:t>
      </w:r>
      <w:r w:rsidR="005D4D96" w:rsidRPr="00D145CF">
        <w:t xml:space="preserve"> case </w:t>
      </w:r>
      <w:r w:rsidR="005D4D96" w:rsidRPr="00D145CF">
        <w:rPr>
          <w:i/>
        </w:rPr>
        <w:t>supra</w:t>
      </w:r>
      <w:r w:rsidR="005D4D96" w:rsidRPr="00D145CF">
        <w:t xml:space="preserve"> is authority for the proposition that </w:t>
      </w:r>
      <w:r w:rsidR="005D4D96" w:rsidRPr="00D145CF">
        <w:rPr>
          <w:i/>
        </w:rPr>
        <w:t>parate executie</w:t>
      </w:r>
      <w:r w:rsidR="005D4D96" w:rsidRPr="00D145CF">
        <w:t xml:space="preserve"> is not only unlawful but unconstitutional, in that it violated the access to courts right guaranteed by s 34 of the South African Constitution.</w:t>
      </w:r>
    </w:p>
    <w:p w:rsidR="005D4D96" w:rsidRPr="00D145CF" w:rsidRDefault="005D4D96" w:rsidP="00890DF0">
      <w:pPr>
        <w:pStyle w:val="NoSpacing"/>
        <w:spacing w:line="480" w:lineRule="auto"/>
        <w:jc w:val="both"/>
      </w:pPr>
    </w:p>
    <w:p w:rsidR="00890DF0" w:rsidRPr="00D145CF" w:rsidRDefault="00617612" w:rsidP="00890DF0">
      <w:pPr>
        <w:pStyle w:val="NoSpacing"/>
        <w:spacing w:line="480" w:lineRule="auto"/>
        <w:jc w:val="both"/>
      </w:pPr>
      <w:r w:rsidRPr="00D145CF">
        <w:tab/>
      </w:r>
      <w:r w:rsidRPr="00D145CF">
        <w:rPr>
          <w:i/>
        </w:rPr>
        <w:t>Chief Les</w:t>
      </w:r>
      <w:r w:rsidR="00930333" w:rsidRPr="00D145CF">
        <w:rPr>
          <w:i/>
        </w:rPr>
        <w:t>a</w:t>
      </w:r>
      <w:r w:rsidRPr="00D145CF">
        <w:rPr>
          <w:i/>
        </w:rPr>
        <w:t>po’s</w:t>
      </w:r>
      <w:r w:rsidRPr="00D145CF">
        <w:t xml:space="preserve"> case </w:t>
      </w:r>
      <w:r w:rsidRPr="00D145CF">
        <w:rPr>
          <w:i/>
        </w:rPr>
        <w:t>supra</w:t>
      </w:r>
      <w:r w:rsidRPr="00D145CF">
        <w:t xml:space="preserve"> was followed in </w:t>
      </w:r>
      <w:r w:rsidRPr="00D145CF">
        <w:rPr>
          <w:i/>
        </w:rPr>
        <w:t>Findevco’s</w:t>
      </w:r>
      <w:r w:rsidRPr="00D145CF">
        <w:t xml:space="preserve"> case </w:t>
      </w:r>
      <w:r w:rsidRPr="00D145CF">
        <w:rPr>
          <w:i/>
        </w:rPr>
        <w:t>supra</w:t>
      </w:r>
      <w:r w:rsidRPr="00D145CF">
        <w:t xml:space="preserve">, </w:t>
      </w:r>
      <w:r w:rsidR="003108E3" w:rsidRPr="00D145CF">
        <w:t xml:space="preserve">where </w:t>
      </w:r>
      <w:r w:rsidR="00497D9D" w:rsidRPr="00D145CF">
        <w:rPr>
          <w:smallCaps/>
        </w:rPr>
        <w:t xml:space="preserve">froneman j </w:t>
      </w:r>
      <w:r w:rsidR="00497D9D" w:rsidRPr="00D145CF">
        <w:t>had this to say at 256E-G:</w:t>
      </w:r>
    </w:p>
    <w:p w:rsidR="00497D9D" w:rsidRPr="00D145CF" w:rsidRDefault="00497D9D" w:rsidP="00497D9D">
      <w:pPr>
        <w:pStyle w:val="NoSpacing"/>
        <w:jc w:val="both"/>
      </w:pPr>
    </w:p>
    <w:p w:rsidR="00497D9D" w:rsidRPr="00D145CF" w:rsidRDefault="00497D9D" w:rsidP="00497D9D">
      <w:pPr>
        <w:pStyle w:val="NoSpacing"/>
        <w:ind w:left="720"/>
        <w:jc w:val="both"/>
        <w:rPr>
          <w:smallCaps/>
        </w:rPr>
      </w:pPr>
      <w:r w:rsidRPr="00D145CF">
        <w:tab/>
        <w:t xml:space="preserve">“If legislation which allows the attachment and sale of movable goods given as security without recourse to courts is unconstitutional, even where there is no dispute about the debtor’s indebtedness, why should the common law allow it? I can see no valid reason why it should. Section 39(2) of the Constitution applies to the interpretation of both legislation and the common law. The leading case for upholding the validity of </w:t>
      </w:r>
      <w:r w:rsidRPr="00D145CF">
        <w:rPr>
          <w:i/>
        </w:rPr>
        <w:t>parate executie</w:t>
      </w:r>
      <w:r w:rsidRPr="00D145CF">
        <w:t xml:space="preserve"> clauses in respect of movables is </w:t>
      </w:r>
      <w:r w:rsidRPr="00D145CF">
        <w:rPr>
          <w:i/>
        </w:rPr>
        <w:t>Osry v Hirsch, Loubser &amp; Co Ltd</w:t>
      </w:r>
      <w:r w:rsidRPr="00D145CF">
        <w:t xml:space="preserve"> 1922 CPD 531. In that case the rule against self-help was considered unimportant (at 541, but compare </w:t>
      </w:r>
      <w:r w:rsidRPr="00D145CF">
        <w:rPr>
          <w:i/>
        </w:rPr>
        <w:t xml:space="preserve">Iscor Housing Utility Co and Anor v Chief Registrar of Deeds and Anor </w:t>
      </w:r>
      <w:r w:rsidRPr="00D145CF">
        <w:t>1971 (1) SA 613 (T) at 616H</w:t>
      </w:r>
      <w:r w:rsidR="00A34514" w:rsidRPr="00D145CF">
        <w:t>)</w:t>
      </w:r>
      <w:r w:rsidRPr="00D145CF">
        <w:t xml:space="preserve">. </w:t>
      </w:r>
      <w:r w:rsidRPr="00D145CF">
        <w:rPr>
          <w:i/>
        </w:rPr>
        <w:t>Lesapo’s</w:t>
      </w:r>
      <w:r w:rsidRPr="00D145CF">
        <w:t xml:space="preserve"> case </w:t>
      </w:r>
      <w:r w:rsidRPr="00D145CF">
        <w:rPr>
          <w:i/>
        </w:rPr>
        <w:t>supra</w:t>
      </w:r>
      <w:r w:rsidRPr="00D145CF">
        <w:t xml:space="preserve"> tells us that the rule is of fundamental importance to our Constitution. </w:t>
      </w:r>
      <w:r w:rsidR="00BC5F76" w:rsidRPr="00D145CF">
        <w:t xml:space="preserve">I consider myself bound by the </w:t>
      </w:r>
      <w:r w:rsidR="00BC5F76" w:rsidRPr="00D145CF">
        <w:rPr>
          <w:i/>
        </w:rPr>
        <w:t>ratio</w:t>
      </w:r>
      <w:r w:rsidR="00BC5F76" w:rsidRPr="00D145CF">
        <w:t xml:space="preserve"> of </w:t>
      </w:r>
      <w:r w:rsidR="00BC5F76" w:rsidRPr="00D145CF">
        <w:rPr>
          <w:i/>
        </w:rPr>
        <w:t>Lesapo’s</w:t>
      </w:r>
      <w:r w:rsidR="00BC5F76" w:rsidRPr="00D145CF">
        <w:t xml:space="preserve"> case </w:t>
      </w:r>
      <w:r w:rsidR="00BC5F76" w:rsidRPr="00D145CF">
        <w:rPr>
          <w:i/>
        </w:rPr>
        <w:t>supra</w:t>
      </w:r>
      <w:r w:rsidR="00BC5F76" w:rsidRPr="00D145CF">
        <w:t xml:space="preserve"> in the present matter.”</w:t>
      </w:r>
    </w:p>
    <w:p w:rsidR="00A56852" w:rsidRPr="00D145CF" w:rsidRDefault="00A56852" w:rsidP="00A97F56">
      <w:pPr>
        <w:pStyle w:val="NoSpacing"/>
        <w:spacing w:line="480" w:lineRule="auto"/>
        <w:jc w:val="both"/>
      </w:pPr>
    </w:p>
    <w:p w:rsidR="003108E3" w:rsidRPr="00D145CF" w:rsidRDefault="00607C04" w:rsidP="00A97F56">
      <w:pPr>
        <w:pStyle w:val="NoSpacing"/>
        <w:spacing w:line="480" w:lineRule="auto"/>
        <w:jc w:val="both"/>
      </w:pPr>
      <w:r w:rsidRPr="00D145CF">
        <w:tab/>
      </w:r>
      <w:r w:rsidR="00F6409C" w:rsidRPr="00D145CF">
        <w:t>T</w:t>
      </w:r>
      <w:r w:rsidRPr="00D145CF">
        <w:t>he above South African cases were interpreting s 34 of the South African Constitution, which provides as follows:</w:t>
      </w:r>
    </w:p>
    <w:p w:rsidR="00EF5980" w:rsidRPr="00D145CF" w:rsidRDefault="00EF5980" w:rsidP="00EF5980">
      <w:pPr>
        <w:pStyle w:val="NoSpacing"/>
        <w:jc w:val="both"/>
      </w:pPr>
    </w:p>
    <w:p w:rsidR="00EF5980" w:rsidRPr="00D145CF" w:rsidRDefault="00EF5980" w:rsidP="00EF5980">
      <w:pPr>
        <w:pStyle w:val="NoSpacing"/>
        <w:ind w:left="720"/>
        <w:jc w:val="both"/>
      </w:pPr>
      <w:r w:rsidRPr="00D145CF">
        <w:t>“</w:t>
      </w:r>
      <w:r w:rsidRPr="00D145CF">
        <w:rPr>
          <w:b/>
        </w:rPr>
        <w:t>Access to courts</w:t>
      </w:r>
    </w:p>
    <w:p w:rsidR="00EF5980" w:rsidRPr="00D145CF" w:rsidRDefault="00EF5980" w:rsidP="00EF5980">
      <w:pPr>
        <w:pStyle w:val="NoSpacing"/>
        <w:ind w:left="720"/>
        <w:jc w:val="both"/>
      </w:pPr>
    </w:p>
    <w:p w:rsidR="00EF5980" w:rsidRPr="00D145CF" w:rsidRDefault="00EF5980" w:rsidP="00EF5980">
      <w:pPr>
        <w:pStyle w:val="NoSpacing"/>
        <w:ind w:left="1440" w:hanging="720"/>
        <w:jc w:val="both"/>
      </w:pPr>
      <w:r w:rsidRPr="00D145CF">
        <w:t>34.</w:t>
      </w:r>
      <w:r w:rsidRPr="00D145CF">
        <w:tab/>
        <w:t>Everyone has the right to have any dispute that can be resolved by the application of law decided in a fair public hearing before a court or, where appropriate, another independent and impartial tribunal or forum.”</w:t>
      </w:r>
    </w:p>
    <w:p w:rsidR="00EF5980" w:rsidRPr="00D145CF" w:rsidRDefault="00EF5980" w:rsidP="00A97F56">
      <w:pPr>
        <w:pStyle w:val="NoSpacing"/>
        <w:spacing w:line="480" w:lineRule="auto"/>
        <w:jc w:val="both"/>
      </w:pPr>
    </w:p>
    <w:p w:rsidR="00607C04" w:rsidRPr="00D145CF" w:rsidRDefault="00A6691F" w:rsidP="00A97F56">
      <w:pPr>
        <w:pStyle w:val="NoSpacing"/>
        <w:spacing w:line="480" w:lineRule="auto"/>
        <w:jc w:val="both"/>
      </w:pPr>
      <w:r w:rsidRPr="00D145CF">
        <w:t>A comparison of s 34 of the South African Constitution and</w:t>
      </w:r>
      <w:r w:rsidR="00607C04" w:rsidRPr="00D145CF">
        <w:t xml:space="preserve"> s 18(9), as read with s 16(7)</w:t>
      </w:r>
      <w:r w:rsidR="00A75B91" w:rsidRPr="00D145CF">
        <w:t>,</w:t>
      </w:r>
      <w:r w:rsidR="00607C04" w:rsidRPr="00D145CF">
        <w:t xml:space="preserve"> of the </w:t>
      </w:r>
      <w:r w:rsidR="005A44E1" w:rsidRPr="00D145CF">
        <w:t>former</w:t>
      </w:r>
      <w:r w:rsidR="00607C04" w:rsidRPr="00D145CF">
        <w:t xml:space="preserve"> Constitution</w:t>
      </w:r>
      <w:r w:rsidRPr="00D145CF">
        <w:t xml:space="preserve"> reveals that the two provisions are very different.</w:t>
      </w:r>
      <w:r w:rsidR="00EF5980" w:rsidRPr="00D145CF">
        <w:t xml:space="preserve"> </w:t>
      </w:r>
      <w:r w:rsidRPr="00D145CF">
        <w:t xml:space="preserve">The South African provision is much wider than the provisions of the former Constitution. </w:t>
      </w:r>
      <w:r w:rsidR="00EF5980" w:rsidRPr="00D145CF">
        <w:t xml:space="preserve">Thus, in terms of the former Constitution, </w:t>
      </w:r>
      <w:r w:rsidR="00EF5980" w:rsidRPr="00D145CF">
        <w:rPr>
          <w:i/>
        </w:rPr>
        <w:t>parate executie</w:t>
      </w:r>
      <w:r w:rsidR="00EF5980" w:rsidRPr="00D145CF">
        <w:t xml:space="preserve"> was expressly permitted. Accordingly, the above cited </w:t>
      </w:r>
      <w:r w:rsidR="00EF5980" w:rsidRPr="00D145CF">
        <w:lastRenderedPageBreak/>
        <w:t xml:space="preserve">South African cases </w:t>
      </w:r>
      <w:r w:rsidRPr="00D145CF">
        <w:t>are of no assistance when interpreting s 18(9), as read with s 16(7) of the former Constitution</w:t>
      </w:r>
      <w:r w:rsidR="00EF5980" w:rsidRPr="00D145CF">
        <w:t>.</w:t>
      </w:r>
    </w:p>
    <w:p w:rsidR="00EF5980" w:rsidRPr="00D145CF" w:rsidRDefault="00EF5980" w:rsidP="00A97F56">
      <w:pPr>
        <w:pStyle w:val="NoSpacing"/>
        <w:spacing w:line="480" w:lineRule="auto"/>
        <w:jc w:val="both"/>
      </w:pPr>
    </w:p>
    <w:p w:rsidR="00EF5980" w:rsidRPr="00D145CF" w:rsidRDefault="006F2BDC" w:rsidP="00A97F56">
      <w:pPr>
        <w:pStyle w:val="NoSpacing"/>
        <w:spacing w:line="480" w:lineRule="auto"/>
        <w:jc w:val="both"/>
      </w:pPr>
      <w:r w:rsidRPr="00D145CF">
        <w:tab/>
      </w:r>
      <w:r w:rsidRPr="00D145CF">
        <w:rPr>
          <w:i/>
        </w:rPr>
        <w:t xml:space="preserve"> </w:t>
      </w:r>
      <w:r w:rsidRPr="00D145CF">
        <w:t>I accept, however, that s 34 of the South African Constitution is very similar to s 69(2) and (3)</w:t>
      </w:r>
      <w:r w:rsidR="00E13482" w:rsidRPr="00D145CF">
        <w:t xml:space="preserve"> </w:t>
      </w:r>
      <w:r w:rsidRPr="00D145CF">
        <w:t>of the</w:t>
      </w:r>
      <w:r w:rsidR="00BF5522" w:rsidRPr="00D145CF">
        <w:t xml:space="preserve"> </w:t>
      </w:r>
      <w:r w:rsidRPr="00D145CF">
        <w:t>Constitution, although not couched in exact</w:t>
      </w:r>
      <w:r w:rsidR="00BF5522" w:rsidRPr="00D145CF">
        <w:t>ly the same</w:t>
      </w:r>
      <w:r w:rsidRPr="00D145CF">
        <w:t xml:space="preserve"> terms. Th</w:t>
      </w:r>
      <w:r w:rsidR="00E13482" w:rsidRPr="00D145CF">
        <w:t>e</w:t>
      </w:r>
      <w:r w:rsidRPr="00D145CF">
        <w:t xml:space="preserve">y are of the same purport. </w:t>
      </w:r>
      <w:r w:rsidR="00E13482" w:rsidRPr="00D145CF">
        <w:t xml:space="preserve">I also accept that the cases of </w:t>
      </w:r>
      <w:r w:rsidR="00E13482" w:rsidRPr="00D145CF">
        <w:rPr>
          <w:i/>
        </w:rPr>
        <w:t>Chief Les</w:t>
      </w:r>
      <w:r w:rsidR="00930333" w:rsidRPr="00D145CF">
        <w:rPr>
          <w:i/>
        </w:rPr>
        <w:t>a</w:t>
      </w:r>
      <w:r w:rsidR="00E13482" w:rsidRPr="00D145CF">
        <w:rPr>
          <w:i/>
        </w:rPr>
        <w:t>po</w:t>
      </w:r>
      <w:r w:rsidR="00E13482" w:rsidRPr="00D145CF">
        <w:t xml:space="preserve"> </w:t>
      </w:r>
      <w:r w:rsidR="00F07D47" w:rsidRPr="00D145CF">
        <w:rPr>
          <w:i/>
        </w:rPr>
        <w:t xml:space="preserve">supra </w:t>
      </w:r>
      <w:r w:rsidR="00E13482" w:rsidRPr="00D145CF">
        <w:t xml:space="preserve">and </w:t>
      </w:r>
      <w:r w:rsidR="00F07D47" w:rsidRPr="00D145CF">
        <w:rPr>
          <w:i/>
        </w:rPr>
        <w:t>Findevco supra</w:t>
      </w:r>
      <w:r w:rsidR="00F07D47" w:rsidRPr="00D145CF">
        <w:t xml:space="preserve"> were interpreting s 34 of the South African Constitution</w:t>
      </w:r>
      <w:r w:rsidR="0098677D" w:rsidRPr="00D145CF">
        <w:t xml:space="preserve"> and are authorities for the proposition that </w:t>
      </w:r>
      <w:r w:rsidR="0098677D" w:rsidRPr="00D145CF">
        <w:rPr>
          <w:i/>
        </w:rPr>
        <w:t>parate executie</w:t>
      </w:r>
      <w:r w:rsidR="0098677D" w:rsidRPr="00D145CF">
        <w:t xml:space="preserve"> is unconstitutional in terms of s 34 of the South African Constitution</w:t>
      </w:r>
      <w:r w:rsidR="00F07D47" w:rsidRPr="00D145CF">
        <w:t xml:space="preserve">. </w:t>
      </w:r>
    </w:p>
    <w:p w:rsidR="00F07D47" w:rsidRPr="00D145CF" w:rsidRDefault="00F07D47" w:rsidP="00A97F56">
      <w:pPr>
        <w:pStyle w:val="NoSpacing"/>
        <w:spacing w:line="480" w:lineRule="auto"/>
        <w:jc w:val="both"/>
      </w:pPr>
    </w:p>
    <w:p w:rsidR="000603EB" w:rsidRPr="00D145CF" w:rsidRDefault="00F07D47" w:rsidP="00A97F56">
      <w:pPr>
        <w:pStyle w:val="NoSpacing"/>
        <w:spacing w:line="480" w:lineRule="auto"/>
        <w:jc w:val="both"/>
      </w:pPr>
      <w:r w:rsidRPr="00D145CF">
        <w:tab/>
        <w:t xml:space="preserve">However, these two cases have not been followed </w:t>
      </w:r>
      <w:r w:rsidR="00691770" w:rsidRPr="00D145CF">
        <w:t>in a number of other</w:t>
      </w:r>
      <w:r w:rsidRPr="00D145CF">
        <w:t xml:space="preserve"> South African cases. </w:t>
      </w:r>
      <w:r w:rsidR="00691770" w:rsidRPr="00D145CF">
        <w:t>In some instances it was held that they were wrongly decided.</w:t>
      </w:r>
    </w:p>
    <w:p w:rsidR="000603EB" w:rsidRPr="00D145CF" w:rsidRDefault="000603EB" w:rsidP="00A97F56">
      <w:pPr>
        <w:pStyle w:val="NoSpacing"/>
        <w:spacing w:line="480" w:lineRule="auto"/>
        <w:jc w:val="both"/>
      </w:pPr>
    </w:p>
    <w:p w:rsidR="00F07D47" w:rsidRPr="00D145CF" w:rsidRDefault="00F07D47" w:rsidP="000603EB">
      <w:pPr>
        <w:pStyle w:val="NoSpacing"/>
        <w:spacing w:line="480" w:lineRule="auto"/>
        <w:ind w:firstLine="720"/>
        <w:jc w:val="both"/>
      </w:pPr>
      <w:r w:rsidRPr="00D145CF">
        <w:t xml:space="preserve">In </w:t>
      </w:r>
      <w:r w:rsidRPr="00D145CF">
        <w:rPr>
          <w:i/>
        </w:rPr>
        <w:t>Bock</w:t>
      </w:r>
      <w:r w:rsidRPr="00D145CF">
        <w:t xml:space="preserve"> v </w:t>
      </w:r>
      <w:r w:rsidRPr="00D145CF">
        <w:rPr>
          <w:i/>
        </w:rPr>
        <w:t>Duburoro Investments (Pty) Ltd</w:t>
      </w:r>
      <w:r w:rsidR="00915311" w:rsidRPr="00D145CF">
        <w:t xml:space="preserve"> 2004 (2) SA 242 (SCA)</w:t>
      </w:r>
      <w:r w:rsidR="003C7B53" w:rsidRPr="00D145CF">
        <w:rPr>
          <w:smallCaps/>
        </w:rPr>
        <w:t xml:space="preserve"> </w:t>
      </w:r>
      <w:r w:rsidR="00915311" w:rsidRPr="00D145CF">
        <w:rPr>
          <w:smallCaps/>
        </w:rPr>
        <w:t>HARMS JA</w:t>
      </w:r>
      <w:r w:rsidRPr="00D145CF">
        <w:t xml:space="preserve"> was led to state the following in relation to the constitutionality of </w:t>
      </w:r>
      <w:r w:rsidRPr="00D145CF">
        <w:rPr>
          <w:i/>
        </w:rPr>
        <w:t>parate executie</w:t>
      </w:r>
      <w:r w:rsidRPr="00D145CF">
        <w:t xml:space="preserve"> clauses:</w:t>
      </w:r>
    </w:p>
    <w:p w:rsidR="00F07D47" w:rsidRPr="00D145CF" w:rsidRDefault="00F07D47" w:rsidP="00F07D47">
      <w:pPr>
        <w:pStyle w:val="NoSpacing"/>
        <w:jc w:val="both"/>
      </w:pPr>
    </w:p>
    <w:p w:rsidR="00F07D47" w:rsidRPr="00D145CF" w:rsidRDefault="00F07D47" w:rsidP="00F07D47">
      <w:pPr>
        <w:pStyle w:val="NoSpacing"/>
        <w:ind w:left="720"/>
        <w:jc w:val="both"/>
      </w:pPr>
      <w:r w:rsidRPr="00D145CF">
        <w:t xml:space="preserve">“… I find it difficult to extend the prescription of these statutory provisions by the Constitutional Court to </w:t>
      </w:r>
      <w:r w:rsidRPr="00D145CF">
        <w:rPr>
          <w:i/>
        </w:rPr>
        <w:t>parate executi</w:t>
      </w:r>
      <w:r w:rsidR="000B700F" w:rsidRPr="00D145CF">
        <w:rPr>
          <w:i/>
        </w:rPr>
        <w:t>e</w:t>
      </w:r>
      <w:r w:rsidRPr="00D145CF">
        <w:t xml:space="preserve"> of movables which are lawfully in the possession of the credit</w:t>
      </w:r>
      <w:r w:rsidR="000B700F" w:rsidRPr="00D145CF">
        <w:t>or. … s</w:t>
      </w:r>
      <w:r w:rsidRPr="00D145CF">
        <w:t xml:space="preserve">ince the </w:t>
      </w:r>
      <w:r w:rsidR="000B700F" w:rsidRPr="00D145CF">
        <w:t>deb</w:t>
      </w:r>
      <w:r w:rsidRPr="00D145CF">
        <w:t>tor may seek the protection of the court if, on any just ground, he can show that</w:t>
      </w:r>
      <w:r w:rsidR="000B700F" w:rsidRPr="00D145CF">
        <w:t>,</w:t>
      </w:r>
      <w:r w:rsidRPr="00D145CF">
        <w:t xml:space="preserve"> in carrying out the agreement and effecting a sale, the creditor acted in a manner which prejudiced him in his rights, the creditor cannot be said to be </w:t>
      </w:r>
      <w:r w:rsidR="000B700F" w:rsidRPr="00D145CF">
        <w:t>the</w:t>
      </w:r>
      <w:r w:rsidR="001C5921" w:rsidRPr="00D145CF">
        <w:t xml:space="preserve"> </w:t>
      </w:r>
      <w:r w:rsidRPr="00D145CF">
        <w:t>judge in his own cause.”</w:t>
      </w:r>
    </w:p>
    <w:p w:rsidR="00F07D47" w:rsidRPr="00D145CF" w:rsidRDefault="00F07D47" w:rsidP="00F07D47">
      <w:pPr>
        <w:pStyle w:val="NoSpacing"/>
        <w:spacing w:line="480" w:lineRule="auto"/>
        <w:jc w:val="both"/>
      </w:pPr>
    </w:p>
    <w:p w:rsidR="00F07D47" w:rsidRPr="00D145CF" w:rsidRDefault="00F07D47" w:rsidP="00F07D47">
      <w:pPr>
        <w:pStyle w:val="NoSpacing"/>
        <w:spacing w:line="480" w:lineRule="auto"/>
        <w:jc w:val="both"/>
      </w:pPr>
      <w:r w:rsidRPr="00D145CF">
        <w:t xml:space="preserve">In that case the court came to the conclusion that the judgment in the </w:t>
      </w:r>
      <w:r w:rsidRPr="00D145CF">
        <w:rPr>
          <w:i/>
        </w:rPr>
        <w:t>Findevco</w:t>
      </w:r>
      <w:r w:rsidRPr="00D145CF">
        <w:t xml:space="preserve"> case </w:t>
      </w:r>
      <w:r w:rsidRPr="00D145CF">
        <w:rPr>
          <w:i/>
        </w:rPr>
        <w:t>supra</w:t>
      </w:r>
      <w:r w:rsidRPr="00D145CF">
        <w:t xml:space="preserve"> finding that the law relating to </w:t>
      </w:r>
      <w:r w:rsidRPr="00D145CF">
        <w:rPr>
          <w:i/>
        </w:rPr>
        <w:t>parate executie</w:t>
      </w:r>
      <w:r w:rsidRPr="00D145CF">
        <w:t xml:space="preserve"> of movables is unconstitutional was wrong. </w:t>
      </w:r>
    </w:p>
    <w:p w:rsidR="000603EB" w:rsidRPr="00D145CF" w:rsidRDefault="000603EB" w:rsidP="00F07D47">
      <w:pPr>
        <w:pStyle w:val="NoSpacing"/>
        <w:spacing w:line="480" w:lineRule="auto"/>
        <w:jc w:val="both"/>
      </w:pPr>
    </w:p>
    <w:p w:rsidR="000603EB" w:rsidRPr="00D145CF" w:rsidRDefault="000603EB" w:rsidP="00F07D47">
      <w:pPr>
        <w:pStyle w:val="NoSpacing"/>
        <w:spacing w:line="480" w:lineRule="auto"/>
        <w:jc w:val="both"/>
      </w:pPr>
      <w:r w:rsidRPr="00D145CF">
        <w:tab/>
        <w:t xml:space="preserve">Similarly, in </w:t>
      </w:r>
      <w:r w:rsidRPr="00D145CF">
        <w:rPr>
          <w:i/>
        </w:rPr>
        <w:t>Juglal</w:t>
      </w:r>
      <w:r w:rsidRPr="00D145CF">
        <w:t xml:space="preserve"> v </w:t>
      </w:r>
      <w:r w:rsidRPr="00D145CF">
        <w:rPr>
          <w:i/>
        </w:rPr>
        <w:t>Shoprite Checkers (Pty) Ltd</w:t>
      </w:r>
      <w:r w:rsidRPr="00D145CF">
        <w:t xml:space="preserve"> 2004 (5) SA 248 (SCA) the Supreme Court of Appeal upheld the validity of a notarial covering bond which entitled the creditor, in the event of default on the part of the debtor, to take possession of the debtor’s </w:t>
      </w:r>
      <w:r w:rsidRPr="00D145CF">
        <w:lastRenderedPageBreak/>
        <w:t xml:space="preserve">business and assets as security for the debt, to sell the assets and to apply the proceeds in settlement of the debt as </w:t>
      </w:r>
      <w:r w:rsidRPr="00D145CF">
        <w:rPr>
          <w:i/>
        </w:rPr>
        <w:t>parate executie</w:t>
      </w:r>
      <w:r w:rsidRPr="00D145CF">
        <w:t xml:space="preserve">. </w:t>
      </w:r>
      <w:r w:rsidR="003C7B53" w:rsidRPr="00D145CF">
        <w:t xml:space="preserve">The court </w:t>
      </w:r>
      <w:r w:rsidR="003C7B53" w:rsidRPr="00D145CF">
        <w:rPr>
          <w:i/>
        </w:rPr>
        <w:t>a quo</w:t>
      </w:r>
      <w:r w:rsidR="003C7B53" w:rsidRPr="00D145CF">
        <w:t xml:space="preserve"> had granted an order perfecting its security. The judge had expressly declined to follow the </w:t>
      </w:r>
      <w:r w:rsidR="003C7B53" w:rsidRPr="00D145CF">
        <w:rPr>
          <w:i/>
        </w:rPr>
        <w:t>Findevco</w:t>
      </w:r>
      <w:r w:rsidR="003C7B53" w:rsidRPr="00D145CF">
        <w:t xml:space="preserve"> case </w:t>
      </w:r>
      <w:r w:rsidR="003C7B53" w:rsidRPr="00D145CF">
        <w:rPr>
          <w:i/>
        </w:rPr>
        <w:t>supra</w:t>
      </w:r>
      <w:r w:rsidR="003C7B53" w:rsidRPr="00D145CF">
        <w:t xml:space="preserve">. </w:t>
      </w:r>
      <w:r w:rsidR="003C7B53" w:rsidRPr="00D145CF">
        <w:rPr>
          <w:smallCaps/>
        </w:rPr>
        <w:t>HEHER J</w:t>
      </w:r>
      <w:r w:rsidR="00915311" w:rsidRPr="00D145CF">
        <w:rPr>
          <w:smallCaps/>
        </w:rPr>
        <w:t xml:space="preserve"> </w:t>
      </w:r>
      <w:r w:rsidR="00915311" w:rsidRPr="00D145CF">
        <w:t xml:space="preserve">commented at para 9 of his judgment that the refusal was justified by the decision in </w:t>
      </w:r>
      <w:r w:rsidR="00915311" w:rsidRPr="00D145CF">
        <w:rPr>
          <w:i/>
        </w:rPr>
        <w:t>Bock supra</w:t>
      </w:r>
      <w:r w:rsidR="00915311" w:rsidRPr="00D145CF">
        <w:t xml:space="preserve">. He also declared in para 11 of his judgment that the common law in relation to </w:t>
      </w:r>
      <w:r w:rsidR="00915311" w:rsidRPr="00D145CF">
        <w:rPr>
          <w:i/>
        </w:rPr>
        <w:t>parate executie</w:t>
      </w:r>
      <w:r w:rsidR="00915311" w:rsidRPr="00D145CF">
        <w:t xml:space="preserve"> does not limit the right of access to the courts, “nor does it fall short of the spirit, purpose or the object of the Bill of Rights”.</w:t>
      </w:r>
    </w:p>
    <w:p w:rsidR="00915311" w:rsidRPr="00D145CF" w:rsidRDefault="00915311" w:rsidP="00F07D47">
      <w:pPr>
        <w:pStyle w:val="NoSpacing"/>
        <w:spacing w:line="480" w:lineRule="auto"/>
        <w:jc w:val="both"/>
      </w:pPr>
    </w:p>
    <w:p w:rsidR="00915311" w:rsidRPr="00D145CF" w:rsidRDefault="009E6C9C" w:rsidP="00F07D47">
      <w:pPr>
        <w:pStyle w:val="NoSpacing"/>
        <w:spacing w:line="480" w:lineRule="auto"/>
        <w:jc w:val="both"/>
      </w:pPr>
      <w:r w:rsidRPr="00D145CF">
        <w:tab/>
        <w:t xml:space="preserve">Again, in </w:t>
      </w:r>
      <w:r w:rsidRPr="00D145CF">
        <w:rPr>
          <w:i/>
        </w:rPr>
        <w:t>SA Bank of Athens Ltd v May van Zyl</w:t>
      </w:r>
      <w:r w:rsidRPr="00D145CF">
        <w:t xml:space="preserve"> [2006] 1 All SA 118 (SCA) the learned judge held at p 11 of the cyclostyled judgment that:</w:t>
      </w:r>
    </w:p>
    <w:p w:rsidR="009E6C9C" w:rsidRPr="00D145CF" w:rsidRDefault="009E6C9C" w:rsidP="009E6C9C">
      <w:pPr>
        <w:pStyle w:val="NoSpacing"/>
        <w:jc w:val="both"/>
      </w:pPr>
    </w:p>
    <w:p w:rsidR="009E6C9C" w:rsidRPr="00D145CF" w:rsidRDefault="009E6C9C" w:rsidP="00AF59D8">
      <w:pPr>
        <w:pStyle w:val="NoSpacing"/>
        <w:ind w:left="720"/>
        <w:jc w:val="both"/>
      </w:pPr>
      <w:r w:rsidRPr="00D145CF">
        <w:t xml:space="preserve">“I am, however, unpersuaded that </w:t>
      </w:r>
      <w:r w:rsidRPr="00D145CF">
        <w:rPr>
          <w:i/>
        </w:rPr>
        <w:t>parate</w:t>
      </w:r>
      <w:r w:rsidRPr="00D145CF">
        <w:t xml:space="preserve"> execution is </w:t>
      </w:r>
      <w:r w:rsidRPr="00D145CF">
        <w:rPr>
          <w:i/>
        </w:rPr>
        <w:t>per se</w:t>
      </w:r>
      <w:r w:rsidRPr="00D145CF">
        <w:t xml:space="preserve"> unconstitutional o</w:t>
      </w:r>
      <w:r w:rsidR="002D3755" w:rsidRPr="00D145CF">
        <w:t>r</w:t>
      </w:r>
      <w:r w:rsidRPr="00D145CF">
        <w:t xml:space="preserve"> offensive to public policy.”</w:t>
      </w:r>
    </w:p>
    <w:p w:rsidR="00AF59D8" w:rsidRPr="00D145CF" w:rsidRDefault="00AF59D8" w:rsidP="00AF59D8">
      <w:pPr>
        <w:pStyle w:val="NoSpacing"/>
        <w:spacing w:line="480" w:lineRule="auto"/>
        <w:ind w:left="720"/>
        <w:jc w:val="both"/>
      </w:pPr>
    </w:p>
    <w:p w:rsidR="00AF59D8" w:rsidRPr="00D145CF" w:rsidRDefault="00B6221E" w:rsidP="0019349C">
      <w:pPr>
        <w:pStyle w:val="NoSpacing"/>
        <w:spacing w:line="480" w:lineRule="auto"/>
        <w:jc w:val="both"/>
      </w:pPr>
      <w:r w:rsidRPr="00D145CF">
        <w:tab/>
        <w:t xml:space="preserve">Thus, </w:t>
      </w:r>
      <w:r w:rsidR="00E83F3F" w:rsidRPr="00D145CF">
        <w:t>in</w:t>
      </w:r>
      <w:r w:rsidRPr="00D145CF">
        <w:t xml:space="preserve"> South Africa</w:t>
      </w:r>
      <w:r w:rsidR="0098677D" w:rsidRPr="00D145CF">
        <w:t xml:space="preserve"> the</w:t>
      </w:r>
      <w:r w:rsidRPr="00D145CF">
        <w:t xml:space="preserve"> cases of </w:t>
      </w:r>
      <w:r w:rsidRPr="00D145CF">
        <w:rPr>
          <w:i/>
        </w:rPr>
        <w:t>Chief</w:t>
      </w:r>
      <w:r w:rsidR="00D91FDE" w:rsidRPr="00D145CF">
        <w:rPr>
          <w:i/>
        </w:rPr>
        <w:t> Les</w:t>
      </w:r>
      <w:r w:rsidR="00930333" w:rsidRPr="00D145CF">
        <w:rPr>
          <w:i/>
        </w:rPr>
        <w:t>a</w:t>
      </w:r>
      <w:r w:rsidR="00D91FDE" w:rsidRPr="00D145CF">
        <w:rPr>
          <w:i/>
        </w:rPr>
        <w:t xml:space="preserve">po </w:t>
      </w:r>
      <w:r w:rsidR="00D91FDE" w:rsidRPr="00D145CF">
        <w:t xml:space="preserve">and </w:t>
      </w:r>
      <w:r w:rsidR="00D91FDE" w:rsidRPr="00D145CF">
        <w:rPr>
          <w:i/>
        </w:rPr>
        <w:t>Findevco supra</w:t>
      </w:r>
      <w:r w:rsidR="00D91FDE" w:rsidRPr="00D145CF">
        <w:t xml:space="preserve"> </w:t>
      </w:r>
      <w:r w:rsidR="00E83F3F" w:rsidRPr="00D145CF">
        <w:t xml:space="preserve">have not been followed </w:t>
      </w:r>
      <w:r w:rsidR="0098677D" w:rsidRPr="00D145CF">
        <w:t>in a number of cases</w:t>
      </w:r>
      <w:r w:rsidR="00D91FDE" w:rsidRPr="00D145CF">
        <w:t>.</w:t>
      </w:r>
    </w:p>
    <w:p w:rsidR="00D91FDE" w:rsidRPr="00D145CF" w:rsidRDefault="00D91FDE" w:rsidP="00AF59D8">
      <w:pPr>
        <w:pStyle w:val="NoSpacing"/>
        <w:spacing w:line="480" w:lineRule="auto"/>
        <w:ind w:left="720"/>
        <w:jc w:val="both"/>
      </w:pPr>
    </w:p>
    <w:p w:rsidR="00D91FDE" w:rsidRPr="00D145CF" w:rsidRDefault="00D91FDE" w:rsidP="0019349C">
      <w:pPr>
        <w:pStyle w:val="NoSpacing"/>
        <w:spacing w:line="480" w:lineRule="auto"/>
        <w:ind w:firstLine="720"/>
        <w:jc w:val="both"/>
      </w:pPr>
      <w:r w:rsidRPr="00D145CF">
        <w:t>Section 69 of the Constitution provides as follows:</w:t>
      </w:r>
    </w:p>
    <w:p w:rsidR="0019349C" w:rsidRPr="00D145CF" w:rsidRDefault="0019349C" w:rsidP="0019349C">
      <w:pPr>
        <w:pStyle w:val="NoSpacing"/>
        <w:jc w:val="both"/>
      </w:pPr>
    </w:p>
    <w:p w:rsidR="00A55D1B" w:rsidRPr="00D145CF" w:rsidRDefault="0019349C" w:rsidP="00A55D1B">
      <w:pPr>
        <w:pStyle w:val="NoSpacing"/>
        <w:ind w:left="720"/>
        <w:rPr>
          <w:b/>
        </w:rPr>
      </w:pPr>
      <w:r w:rsidRPr="00D145CF">
        <w:rPr>
          <w:b/>
        </w:rPr>
        <w:t>“</w:t>
      </w:r>
      <w:r w:rsidR="00A55D1B" w:rsidRPr="00D145CF">
        <w:rPr>
          <w:b/>
        </w:rPr>
        <w:t>69  Right to a fair hearing</w:t>
      </w:r>
    </w:p>
    <w:p w:rsidR="00A55D1B" w:rsidRPr="00D145CF" w:rsidRDefault="00A55D1B" w:rsidP="00A55D1B">
      <w:pPr>
        <w:pStyle w:val="NoSpacing"/>
        <w:ind w:left="720"/>
      </w:pPr>
    </w:p>
    <w:p w:rsidR="00A55D1B" w:rsidRPr="00D145CF" w:rsidRDefault="00A55D1B" w:rsidP="00A55D1B">
      <w:pPr>
        <w:pStyle w:val="NoSpacing"/>
        <w:ind w:left="720"/>
        <w:jc w:val="both"/>
      </w:pPr>
      <w:r w:rsidRPr="00D145CF">
        <w:t>(1) Every person accused of an offence has the right to a fair and public trial within a reasonable time before an independent and impartial court.</w:t>
      </w:r>
    </w:p>
    <w:p w:rsidR="00A55D1B" w:rsidRPr="00D145CF" w:rsidRDefault="00A55D1B" w:rsidP="00A55D1B">
      <w:pPr>
        <w:pStyle w:val="NoSpacing"/>
        <w:ind w:left="720"/>
        <w:jc w:val="both"/>
      </w:pPr>
    </w:p>
    <w:p w:rsidR="00A55D1B" w:rsidRPr="00D145CF" w:rsidRDefault="00A55D1B" w:rsidP="00A55D1B">
      <w:pPr>
        <w:pStyle w:val="NoSpacing"/>
        <w:ind w:left="720"/>
        <w:jc w:val="both"/>
      </w:pPr>
      <w:r w:rsidRPr="00D145CF">
        <w:t>(2) In the determination of civil rights and obligations, every person has a right to a fair, speedy and public hearing within a reasonable time before an independent and impartial court, tribunal or other forum established by law.</w:t>
      </w:r>
    </w:p>
    <w:p w:rsidR="00A55D1B" w:rsidRPr="00D145CF" w:rsidRDefault="00A55D1B" w:rsidP="00A55D1B">
      <w:pPr>
        <w:pStyle w:val="NoSpacing"/>
        <w:ind w:left="720"/>
        <w:jc w:val="both"/>
      </w:pPr>
    </w:p>
    <w:p w:rsidR="00A55D1B" w:rsidRPr="00D145CF" w:rsidRDefault="00A55D1B" w:rsidP="00A55D1B">
      <w:pPr>
        <w:pStyle w:val="NoSpacing"/>
        <w:ind w:left="720"/>
        <w:jc w:val="both"/>
      </w:pPr>
      <w:r w:rsidRPr="00D145CF">
        <w:t>(3) Every person has the right of access to the courts, or to some other tribunal or forum established by law for the resolution of any dispute.</w:t>
      </w:r>
    </w:p>
    <w:p w:rsidR="00A55D1B" w:rsidRPr="00D145CF" w:rsidRDefault="00A55D1B" w:rsidP="00A55D1B">
      <w:pPr>
        <w:pStyle w:val="NoSpacing"/>
        <w:ind w:left="720"/>
        <w:jc w:val="both"/>
      </w:pPr>
    </w:p>
    <w:p w:rsidR="009E6C9C" w:rsidRPr="00D145CF" w:rsidRDefault="00A55D1B" w:rsidP="00A55D1B">
      <w:pPr>
        <w:pStyle w:val="NoSpacing"/>
        <w:ind w:left="720"/>
        <w:jc w:val="both"/>
      </w:pPr>
      <w:r w:rsidRPr="00D145CF">
        <w:t>(4) Every person has a right, at their own expense, to choose and be represented by a legal practitioner before any court, tribunal or forum.”</w:t>
      </w:r>
    </w:p>
    <w:p w:rsidR="00233026" w:rsidRPr="00D145CF" w:rsidRDefault="00233026" w:rsidP="00233026">
      <w:pPr>
        <w:pStyle w:val="NoSpacing"/>
        <w:spacing w:line="480" w:lineRule="auto"/>
        <w:jc w:val="both"/>
      </w:pPr>
    </w:p>
    <w:p w:rsidR="0019349C" w:rsidRPr="00D145CF" w:rsidRDefault="00233026" w:rsidP="00233026">
      <w:pPr>
        <w:pStyle w:val="NoSpacing"/>
        <w:spacing w:line="480" w:lineRule="auto"/>
        <w:jc w:val="both"/>
      </w:pPr>
      <w:r w:rsidRPr="00D145CF">
        <w:lastRenderedPageBreak/>
        <w:t>As I have already stated, this provision</w:t>
      </w:r>
      <w:r w:rsidR="00E83F3F" w:rsidRPr="00D145CF">
        <w:t>, although worded differently,</w:t>
      </w:r>
      <w:r w:rsidRPr="00D145CF">
        <w:t xml:space="preserve"> bears the same import </w:t>
      </w:r>
      <w:r w:rsidR="0019349C" w:rsidRPr="00D145CF">
        <w:t xml:space="preserve">as s 34 of the South African Constitution. I see nothing in the wording of </w:t>
      </w:r>
      <w:r w:rsidR="00E83F3F" w:rsidRPr="00D145CF">
        <w:t xml:space="preserve">both </w:t>
      </w:r>
      <w:r w:rsidR="0019349C" w:rsidRPr="00D145CF">
        <w:t>th</w:t>
      </w:r>
      <w:r w:rsidR="00E83F3F" w:rsidRPr="00D145CF">
        <w:t>e</w:t>
      </w:r>
      <w:r w:rsidR="0019349C" w:rsidRPr="00D145CF">
        <w:t>s</w:t>
      </w:r>
      <w:r w:rsidR="00E83F3F" w:rsidRPr="00D145CF">
        <w:t>e</w:t>
      </w:r>
      <w:r w:rsidR="0019349C" w:rsidRPr="00D145CF">
        <w:t xml:space="preserve"> provision</w:t>
      </w:r>
      <w:r w:rsidR="00E83F3F" w:rsidRPr="00D145CF">
        <w:t>s</w:t>
      </w:r>
      <w:r w:rsidR="0019349C" w:rsidRPr="00D145CF">
        <w:t xml:space="preserve"> which </w:t>
      </w:r>
      <w:r w:rsidR="0098677D" w:rsidRPr="00D145CF">
        <w:t xml:space="preserve">explicitly or by necessary implication </w:t>
      </w:r>
      <w:r w:rsidR="0019349C" w:rsidRPr="00D145CF">
        <w:t>renders</w:t>
      </w:r>
      <w:r w:rsidR="0098677D" w:rsidRPr="00D145CF">
        <w:t xml:space="preserve"> </w:t>
      </w:r>
      <w:r w:rsidR="0019349C" w:rsidRPr="00D145CF">
        <w:rPr>
          <w:i/>
        </w:rPr>
        <w:t>parate</w:t>
      </w:r>
      <w:r w:rsidR="0098677D" w:rsidRPr="00D145CF">
        <w:rPr>
          <w:i/>
        </w:rPr>
        <w:t> </w:t>
      </w:r>
      <w:r w:rsidR="0019349C" w:rsidRPr="00D145CF">
        <w:t>executie</w:t>
      </w:r>
      <w:r w:rsidR="0098677D" w:rsidRPr="00D145CF">
        <w:t xml:space="preserve"> u</w:t>
      </w:r>
      <w:r w:rsidR="0019349C" w:rsidRPr="00D145CF">
        <w:t xml:space="preserve">nconstitutional. </w:t>
      </w:r>
    </w:p>
    <w:p w:rsidR="0019349C" w:rsidRPr="00D145CF" w:rsidRDefault="0019349C" w:rsidP="00233026">
      <w:pPr>
        <w:pStyle w:val="NoSpacing"/>
        <w:spacing w:line="480" w:lineRule="auto"/>
        <w:jc w:val="both"/>
      </w:pPr>
    </w:p>
    <w:p w:rsidR="006834DE" w:rsidRPr="00D145CF" w:rsidRDefault="0019349C" w:rsidP="0019349C">
      <w:pPr>
        <w:pStyle w:val="NoSpacing"/>
        <w:spacing w:line="480" w:lineRule="auto"/>
        <w:ind w:firstLine="720"/>
        <w:jc w:val="both"/>
      </w:pPr>
      <w:r w:rsidRPr="00D145CF">
        <w:t xml:space="preserve">A party that is aggrieved by the manner in which </w:t>
      </w:r>
      <w:r w:rsidRPr="00D145CF">
        <w:rPr>
          <w:i/>
        </w:rPr>
        <w:t>parate executie</w:t>
      </w:r>
      <w:r w:rsidRPr="00D145CF">
        <w:t xml:space="preserve"> has been carried out by the </w:t>
      </w:r>
      <w:r w:rsidR="00E83F3F" w:rsidRPr="00D145CF">
        <w:t>credi</w:t>
      </w:r>
      <w:r w:rsidRPr="00D145CF">
        <w:t xml:space="preserve">tor has the right to approach the courts to complain about the manner in which he/she has been prejudiced by the application of </w:t>
      </w:r>
      <w:r w:rsidRPr="00D145CF">
        <w:rPr>
          <w:i/>
        </w:rPr>
        <w:t>parate executie</w:t>
      </w:r>
      <w:r w:rsidRPr="00D145CF">
        <w:t xml:space="preserve">. </w:t>
      </w:r>
      <w:r w:rsidR="00E83F3F" w:rsidRPr="00D145CF">
        <w:t>The debtor’s right of access to the courts remains intact and he is free to exercise it.</w:t>
      </w:r>
    </w:p>
    <w:p w:rsidR="006834DE" w:rsidRPr="00D145CF" w:rsidRDefault="006834DE" w:rsidP="0019349C">
      <w:pPr>
        <w:pStyle w:val="NoSpacing"/>
        <w:spacing w:line="480" w:lineRule="auto"/>
        <w:ind w:firstLine="720"/>
        <w:jc w:val="both"/>
      </w:pPr>
    </w:p>
    <w:p w:rsidR="00233026" w:rsidRPr="00D145CF" w:rsidRDefault="0019349C" w:rsidP="0019349C">
      <w:pPr>
        <w:pStyle w:val="NoSpacing"/>
        <w:spacing w:line="480" w:lineRule="auto"/>
        <w:ind w:firstLine="720"/>
        <w:jc w:val="both"/>
      </w:pPr>
      <w:r w:rsidRPr="00D145CF">
        <w:t xml:space="preserve">This </w:t>
      </w:r>
      <w:r w:rsidR="001706AD" w:rsidRPr="00D145CF">
        <w:t>approach</w:t>
      </w:r>
      <w:r w:rsidRPr="00D145CF">
        <w:t xml:space="preserve"> was highlighted in the case of </w:t>
      </w:r>
      <w:r w:rsidRPr="00D145CF">
        <w:rPr>
          <w:i/>
        </w:rPr>
        <w:t>Osry v Hirsch, Loubser &amp; Co Ltd</w:t>
      </w:r>
      <w:r w:rsidRPr="00D145CF">
        <w:t xml:space="preserve"> 1922 CPD 531 at 547 </w:t>
      </w:r>
      <w:r w:rsidR="00BF5522" w:rsidRPr="00D145CF">
        <w:t>where it is stated</w:t>
      </w:r>
      <w:r w:rsidRPr="00D145CF">
        <w:t>:</w:t>
      </w:r>
    </w:p>
    <w:p w:rsidR="0019349C" w:rsidRPr="00D145CF" w:rsidRDefault="0019349C" w:rsidP="0019349C">
      <w:pPr>
        <w:pStyle w:val="NoSpacing"/>
        <w:jc w:val="both"/>
      </w:pPr>
    </w:p>
    <w:p w:rsidR="0019349C" w:rsidRPr="00D145CF" w:rsidRDefault="0019349C" w:rsidP="0019349C">
      <w:pPr>
        <w:pStyle w:val="NoSpacing"/>
        <w:ind w:left="720"/>
        <w:jc w:val="both"/>
      </w:pPr>
      <w:r w:rsidRPr="00D145CF">
        <w:t xml:space="preserve">“It is, however, open </w:t>
      </w:r>
      <w:r w:rsidR="00440C39" w:rsidRPr="00D145CF">
        <w:t>to the debtor to seek the protection of the court if, upon any just ground, he can show that, in carrying out the agreement and effecting a sale, the creditor has acted in a manner which has prejudiced him in his rights.”</w:t>
      </w:r>
    </w:p>
    <w:p w:rsidR="00BE37EB" w:rsidRPr="00D145CF" w:rsidRDefault="00BE37EB" w:rsidP="00440C39">
      <w:pPr>
        <w:pStyle w:val="NoSpacing"/>
        <w:spacing w:line="480" w:lineRule="auto"/>
        <w:jc w:val="both"/>
      </w:pPr>
    </w:p>
    <w:p w:rsidR="00440C39" w:rsidRPr="00D145CF" w:rsidRDefault="00BE37EB" w:rsidP="006834DE">
      <w:pPr>
        <w:pStyle w:val="NoSpacing"/>
        <w:spacing w:line="480" w:lineRule="auto"/>
        <w:ind w:firstLine="720"/>
        <w:jc w:val="both"/>
      </w:pPr>
      <w:r w:rsidRPr="00D145CF">
        <w:t xml:space="preserve">Similarly, in the case of </w:t>
      </w:r>
      <w:r w:rsidRPr="00D145CF">
        <w:rPr>
          <w:i/>
        </w:rPr>
        <w:t>Changa supra</w:t>
      </w:r>
      <w:r w:rsidRPr="00D145CF">
        <w:t xml:space="preserve"> the court held:</w:t>
      </w:r>
    </w:p>
    <w:p w:rsidR="00BE37EB" w:rsidRPr="00D145CF" w:rsidRDefault="00BE37EB" w:rsidP="00BE37EB">
      <w:pPr>
        <w:pStyle w:val="NoSpacing"/>
        <w:jc w:val="both"/>
      </w:pPr>
    </w:p>
    <w:p w:rsidR="00BE37EB" w:rsidRPr="00D145CF" w:rsidRDefault="00BE37EB" w:rsidP="00BE37EB">
      <w:pPr>
        <w:pStyle w:val="NoSpacing"/>
        <w:ind w:left="720"/>
        <w:jc w:val="both"/>
      </w:pPr>
      <w:r w:rsidRPr="00D145CF">
        <w:t>“</w:t>
      </w:r>
      <w:r w:rsidR="00E83F3F" w:rsidRPr="00D145CF">
        <w:t xml:space="preserve">An agreement for the delivery of movables by a debtor to a creditor and their sale by the latter by means of </w:t>
      </w:r>
      <w:r w:rsidR="00E83F3F" w:rsidRPr="00D145CF">
        <w:rPr>
          <w:i/>
        </w:rPr>
        <w:t>parate</w:t>
      </w:r>
      <w:r w:rsidR="00E83F3F" w:rsidRPr="00D145CF">
        <w:t xml:space="preserve"> execution is valid and binding subject to the qualification that the creditor is not entitled to act in a manner so as to prejudice the debtor in his rights.</w:t>
      </w:r>
      <w:r w:rsidR="00363B36" w:rsidRPr="00D145CF">
        <w:t>”</w:t>
      </w:r>
    </w:p>
    <w:p w:rsidR="00363B36" w:rsidRPr="00D145CF" w:rsidRDefault="00363B36" w:rsidP="00363B36">
      <w:pPr>
        <w:pStyle w:val="NoSpacing"/>
        <w:jc w:val="both"/>
      </w:pPr>
    </w:p>
    <w:p w:rsidR="00E83F3F" w:rsidRPr="00D145CF" w:rsidRDefault="00E83F3F" w:rsidP="002D3755">
      <w:pPr>
        <w:pStyle w:val="NoSpacing"/>
        <w:spacing w:line="480" w:lineRule="auto"/>
        <w:jc w:val="both"/>
      </w:pPr>
    </w:p>
    <w:p w:rsidR="007919BB" w:rsidRPr="00D145CF" w:rsidRDefault="007919BB" w:rsidP="00E83F3F">
      <w:pPr>
        <w:pStyle w:val="NoSpacing"/>
        <w:spacing w:line="480" w:lineRule="auto"/>
        <w:jc w:val="both"/>
      </w:pPr>
      <w:r w:rsidRPr="00D145CF">
        <w:tab/>
      </w:r>
      <w:r w:rsidR="00E83F3F" w:rsidRPr="00D145CF">
        <w:t>I</w:t>
      </w:r>
      <w:r w:rsidRPr="00D145CF">
        <w:t xml:space="preserve">n </w:t>
      </w:r>
      <w:r w:rsidRPr="00D145CF">
        <w:rPr>
          <w:i/>
        </w:rPr>
        <w:t>Nyamukusa supra</w:t>
      </w:r>
      <w:r w:rsidRPr="00D145CF">
        <w:t xml:space="preserve"> </w:t>
      </w:r>
      <w:r w:rsidR="00E83F3F" w:rsidRPr="00D145CF">
        <w:t xml:space="preserve">this court adopted the same approach and concluded that </w:t>
      </w:r>
      <w:r w:rsidR="00E83F3F" w:rsidRPr="00D145CF">
        <w:rPr>
          <w:i/>
        </w:rPr>
        <w:t>parate executie</w:t>
      </w:r>
      <w:r w:rsidR="00E83F3F" w:rsidRPr="00D145CF">
        <w:t xml:space="preserve"> was both constitutional and lawful. </w:t>
      </w:r>
    </w:p>
    <w:p w:rsidR="001569AA" w:rsidRPr="00D145CF" w:rsidRDefault="001569AA" w:rsidP="007919BB">
      <w:pPr>
        <w:pStyle w:val="NoSpacing"/>
        <w:spacing w:line="480" w:lineRule="auto"/>
        <w:jc w:val="both"/>
      </w:pPr>
    </w:p>
    <w:p w:rsidR="00E83F3F" w:rsidRPr="00D145CF" w:rsidRDefault="00E83F3F" w:rsidP="007919BB">
      <w:pPr>
        <w:pStyle w:val="NoSpacing"/>
        <w:spacing w:line="480" w:lineRule="auto"/>
        <w:jc w:val="both"/>
      </w:pPr>
      <w:r w:rsidRPr="00D145CF">
        <w:tab/>
        <w:t xml:space="preserve">I respectfully associate myself with the authorities that have held </w:t>
      </w:r>
      <w:r w:rsidR="00306210" w:rsidRPr="00D145CF">
        <w:t xml:space="preserve">that </w:t>
      </w:r>
      <w:r w:rsidRPr="00D145CF">
        <w:rPr>
          <w:i/>
        </w:rPr>
        <w:t>parate</w:t>
      </w:r>
      <w:r w:rsidRPr="00D145CF">
        <w:t> </w:t>
      </w:r>
      <w:r w:rsidRPr="00D145CF">
        <w:rPr>
          <w:i/>
        </w:rPr>
        <w:t>executie</w:t>
      </w:r>
      <w:r w:rsidRPr="00D145CF">
        <w:t xml:space="preserve"> is not only lawful but constitutional for the simple reason that the debtor’s right of access to </w:t>
      </w:r>
      <w:r w:rsidRPr="00D145CF">
        <w:lastRenderedPageBreak/>
        <w:t xml:space="preserve">the courts is not taken away by </w:t>
      </w:r>
      <w:r w:rsidRPr="00D145CF">
        <w:rPr>
          <w:i/>
        </w:rPr>
        <w:t>parate executie</w:t>
      </w:r>
      <w:r w:rsidRPr="00D145CF">
        <w:t xml:space="preserve">. The debtor has unlimited access to the courts </w:t>
      </w:r>
      <w:r w:rsidR="00E606F4" w:rsidRPr="00D145CF">
        <w:t xml:space="preserve">to complain about the manner in which the creditor has performed the contract. To allow the debtor to escape liability freely and openly undertaken on the basis of </w:t>
      </w:r>
      <w:r w:rsidR="00E606F4" w:rsidRPr="00D145CF">
        <w:rPr>
          <w:i/>
        </w:rPr>
        <w:t>parate executie</w:t>
      </w:r>
      <w:r w:rsidR="00E606F4" w:rsidRPr="00D145CF">
        <w:t xml:space="preserve"> smacks of duplicity and strikes at the heart of the time honoured principle of</w:t>
      </w:r>
      <w:r w:rsidR="00854C69" w:rsidRPr="00D145CF">
        <w:t xml:space="preserve"> </w:t>
      </w:r>
      <w:r w:rsidR="00FB1A90" w:rsidRPr="00D145CF">
        <w:t xml:space="preserve">the </w:t>
      </w:r>
      <w:r w:rsidR="00854C69" w:rsidRPr="00D145CF">
        <w:t>sanctity of the freedom to contract</w:t>
      </w:r>
      <w:r w:rsidR="00E606F4" w:rsidRPr="00D145CF">
        <w:t>. The courts should respect the parties’ freedom to contract and not seek to rewrite contracts for the parties.</w:t>
      </w:r>
    </w:p>
    <w:p w:rsidR="00EE5ADE" w:rsidRPr="00D145CF" w:rsidRDefault="00EE5ADE" w:rsidP="007919BB">
      <w:pPr>
        <w:pStyle w:val="NoSpacing"/>
        <w:spacing w:line="480" w:lineRule="auto"/>
        <w:jc w:val="both"/>
      </w:pPr>
    </w:p>
    <w:p w:rsidR="00EE5ADE" w:rsidRPr="00D145CF" w:rsidRDefault="00EE5ADE" w:rsidP="007919BB">
      <w:pPr>
        <w:pStyle w:val="NoSpacing"/>
        <w:spacing w:line="480" w:lineRule="auto"/>
        <w:jc w:val="both"/>
      </w:pPr>
      <w:r w:rsidRPr="00D145CF">
        <w:tab/>
        <w:t xml:space="preserve">In the result, </w:t>
      </w:r>
      <w:r w:rsidR="003C2C7F" w:rsidRPr="00D145CF">
        <w:t>it is decla</w:t>
      </w:r>
      <w:r w:rsidRPr="00D145CF">
        <w:t>re</w:t>
      </w:r>
      <w:r w:rsidR="003C2C7F" w:rsidRPr="00D145CF">
        <w:t>d</w:t>
      </w:r>
      <w:r w:rsidRPr="00D145CF">
        <w:t xml:space="preserve"> that </w:t>
      </w:r>
      <w:r w:rsidRPr="00D145CF">
        <w:rPr>
          <w:i/>
        </w:rPr>
        <w:t>parate executie</w:t>
      </w:r>
      <w:r w:rsidRPr="00D145CF">
        <w:t xml:space="preserve"> is part of our common law and that it does not contravene s 69(3) of the</w:t>
      </w:r>
      <w:r w:rsidR="00BF5522" w:rsidRPr="00D145CF">
        <w:t xml:space="preserve"> </w:t>
      </w:r>
      <w:r w:rsidRPr="00D145CF">
        <w:t>Constitutio</w:t>
      </w:r>
      <w:r w:rsidR="00315CCF" w:rsidRPr="00D145CF">
        <w:t>n as being contrary to public policy i</w:t>
      </w:r>
      <w:r w:rsidRPr="00D145CF">
        <w:t>n</w:t>
      </w:r>
      <w:r w:rsidR="00315CCF" w:rsidRPr="00D145CF">
        <w:t xml:space="preserve"> the context of the right of access to the courts.</w:t>
      </w:r>
    </w:p>
    <w:p w:rsidR="00E83F3F" w:rsidRPr="00D145CF" w:rsidRDefault="00E83F3F" w:rsidP="007919BB">
      <w:pPr>
        <w:pStyle w:val="NoSpacing"/>
        <w:spacing w:line="480" w:lineRule="auto"/>
        <w:jc w:val="both"/>
      </w:pPr>
    </w:p>
    <w:p w:rsidR="003C2C7F" w:rsidRPr="00D145CF" w:rsidRDefault="003C2C7F" w:rsidP="0061245D">
      <w:pPr>
        <w:pStyle w:val="NoSpacing"/>
        <w:spacing w:line="480" w:lineRule="auto"/>
        <w:jc w:val="both"/>
      </w:pPr>
      <w:r w:rsidRPr="00D145CF">
        <w:tab/>
        <w:t>There shall be no order as to costs.</w:t>
      </w:r>
    </w:p>
    <w:p w:rsidR="0061245D" w:rsidRPr="00D145CF" w:rsidRDefault="0061245D" w:rsidP="0061245D">
      <w:pPr>
        <w:pStyle w:val="NoSpacing"/>
        <w:spacing w:line="480" w:lineRule="auto"/>
        <w:jc w:val="both"/>
      </w:pPr>
    </w:p>
    <w:p w:rsidR="0061245D" w:rsidRPr="00D145CF" w:rsidRDefault="0061245D" w:rsidP="0061245D">
      <w:pPr>
        <w:pStyle w:val="NoSpacing"/>
        <w:spacing w:line="480" w:lineRule="auto"/>
        <w:jc w:val="both"/>
      </w:pPr>
    </w:p>
    <w:p w:rsidR="0061245D" w:rsidRPr="00D145CF" w:rsidRDefault="0061245D" w:rsidP="0061245D">
      <w:pPr>
        <w:pStyle w:val="NoSpacing"/>
        <w:spacing w:line="480" w:lineRule="auto"/>
        <w:jc w:val="both"/>
        <w:rPr>
          <w:b/>
        </w:rPr>
      </w:pPr>
      <w:r w:rsidRPr="00D145CF">
        <w:tab/>
      </w:r>
      <w:r w:rsidRPr="00D145CF">
        <w:rPr>
          <w:b/>
        </w:rPr>
        <w:t>MALABA DCJ:   I agree</w:t>
      </w:r>
    </w:p>
    <w:p w:rsidR="0061245D" w:rsidRPr="00D145CF" w:rsidRDefault="0061245D" w:rsidP="0061245D">
      <w:pPr>
        <w:pStyle w:val="NoSpacing"/>
        <w:spacing w:line="480" w:lineRule="auto"/>
        <w:jc w:val="both"/>
        <w:rPr>
          <w:b/>
        </w:rPr>
      </w:pPr>
    </w:p>
    <w:p w:rsidR="0061245D" w:rsidRPr="00D145CF" w:rsidRDefault="0061245D" w:rsidP="0061245D">
      <w:pPr>
        <w:pStyle w:val="NoSpacing"/>
        <w:spacing w:line="480" w:lineRule="auto"/>
        <w:jc w:val="both"/>
        <w:rPr>
          <w:b/>
        </w:rPr>
      </w:pPr>
    </w:p>
    <w:p w:rsidR="0061245D" w:rsidRPr="00D145CF" w:rsidRDefault="0061245D" w:rsidP="0061245D">
      <w:pPr>
        <w:pStyle w:val="NoSpacing"/>
        <w:spacing w:line="480" w:lineRule="auto"/>
        <w:jc w:val="both"/>
        <w:rPr>
          <w:b/>
        </w:rPr>
      </w:pPr>
    </w:p>
    <w:p w:rsidR="00315CCF" w:rsidRPr="00D145CF" w:rsidRDefault="00315CCF"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r w:rsidRPr="00D145CF">
        <w:rPr>
          <w:b/>
        </w:rPr>
        <w:t>ZIYAMBI JCC:   I agree</w:t>
      </w: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315CCF" w:rsidRPr="00D145CF" w:rsidRDefault="00315CCF"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r w:rsidRPr="00D145CF">
        <w:rPr>
          <w:b/>
        </w:rPr>
        <w:t>GWAUNZA JCC:   I agree</w:t>
      </w: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315CCF" w:rsidRPr="00D145CF" w:rsidRDefault="00315CCF"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r w:rsidRPr="00D145CF">
        <w:rPr>
          <w:b/>
        </w:rPr>
        <w:t>GARWE JCC:   I agree</w:t>
      </w:r>
    </w:p>
    <w:p w:rsidR="0061245D" w:rsidRPr="00D145CF" w:rsidRDefault="0061245D" w:rsidP="0061245D">
      <w:pPr>
        <w:pStyle w:val="NoSpacing"/>
        <w:spacing w:line="480" w:lineRule="auto"/>
        <w:ind w:firstLine="720"/>
        <w:jc w:val="both"/>
        <w:rPr>
          <w:b/>
        </w:rPr>
      </w:pPr>
      <w:r w:rsidRPr="00D145CF">
        <w:rPr>
          <w:b/>
        </w:rPr>
        <w:t xml:space="preserve"> </w:t>
      </w: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315CCF" w:rsidRPr="00D145CF" w:rsidRDefault="00315CCF"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r w:rsidRPr="00D145CF">
        <w:rPr>
          <w:b/>
        </w:rPr>
        <w:t>GOWORA JCC:   I agree</w:t>
      </w: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315CCF" w:rsidRPr="00D145CF" w:rsidRDefault="00315CCF" w:rsidP="0061245D">
      <w:pPr>
        <w:pStyle w:val="NoSpacing"/>
        <w:spacing w:line="480" w:lineRule="auto"/>
        <w:ind w:firstLine="720"/>
        <w:jc w:val="both"/>
        <w:rPr>
          <w:b/>
        </w:rPr>
      </w:pPr>
    </w:p>
    <w:p w:rsidR="0061245D" w:rsidRPr="00D145CF" w:rsidRDefault="00E75A8D" w:rsidP="0061245D">
      <w:pPr>
        <w:pStyle w:val="NoSpacing"/>
        <w:spacing w:line="480" w:lineRule="auto"/>
        <w:ind w:firstLine="720"/>
        <w:jc w:val="both"/>
        <w:rPr>
          <w:b/>
        </w:rPr>
      </w:pPr>
      <w:r w:rsidRPr="00D145CF">
        <w:rPr>
          <w:b/>
        </w:rPr>
        <w:t>H</w:t>
      </w:r>
      <w:r w:rsidR="0061245D" w:rsidRPr="00D145CF">
        <w:rPr>
          <w:b/>
        </w:rPr>
        <w:t>LATSHWAYO JCC:   I agree</w:t>
      </w: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315CCF" w:rsidRPr="00D145CF" w:rsidRDefault="00315CCF"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r w:rsidRPr="00D145CF">
        <w:rPr>
          <w:b/>
        </w:rPr>
        <w:t>PATEL JCC:   I agree</w:t>
      </w: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p>
    <w:p w:rsidR="00315CCF" w:rsidRPr="00D145CF" w:rsidRDefault="00315CCF" w:rsidP="0061245D">
      <w:pPr>
        <w:pStyle w:val="NoSpacing"/>
        <w:spacing w:line="480" w:lineRule="auto"/>
        <w:ind w:firstLine="720"/>
        <w:jc w:val="both"/>
        <w:rPr>
          <w:b/>
        </w:rPr>
      </w:pPr>
    </w:p>
    <w:p w:rsidR="0061245D" w:rsidRPr="00D145CF" w:rsidRDefault="0061245D" w:rsidP="0061245D">
      <w:pPr>
        <w:pStyle w:val="NoSpacing"/>
        <w:spacing w:line="480" w:lineRule="auto"/>
        <w:ind w:firstLine="720"/>
        <w:jc w:val="both"/>
        <w:rPr>
          <w:b/>
        </w:rPr>
      </w:pPr>
      <w:r w:rsidRPr="00D145CF">
        <w:rPr>
          <w:b/>
        </w:rPr>
        <w:t>GUVAVA JCC:   I agree</w:t>
      </w:r>
    </w:p>
    <w:p w:rsidR="0061245D" w:rsidRPr="00D145CF" w:rsidRDefault="0061245D" w:rsidP="0061245D">
      <w:pPr>
        <w:pStyle w:val="NoSpacing"/>
        <w:spacing w:line="480" w:lineRule="auto"/>
        <w:ind w:firstLine="720"/>
        <w:jc w:val="both"/>
      </w:pPr>
    </w:p>
    <w:p w:rsidR="00595F49" w:rsidRPr="00D145CF" w:rsidRDefault="00595F49" w:rsidP="0061245D">
      <w:pPr>
        <w:pStyle w:val="NoSpacing"/>
        <w:spacing w:line="480" w:lineRule="auto"/>
        <w:ind w:firstLine="720"/>
        <w:jc w:val="both"/>
      </w:pPr>
    </w:p>
    <w:p w:rsidR="00315CCF" w:rsidRPr="00D145CF" w:rsidRDefault="00315CCF" w:rsidP="009F60E7">
      <w:pPr>
        <w:pStyle w:val="NoSpacing"/>
        <w:spacing w:line="480" w:lineRule="auto"/>
        <w:jc w:val="both"/>
        <w:rPr>
          <w:i/>
        </w:rPr>
      </w:pPr>
    </w:p>
    <w:p w:rsidR="00595F49" w:rsidRPr="00D145CF" w:rsidRDefault="009C14D2" w:rsidP="009F60E7">
      <w:pPr>
        <w:pStyle w:val="NoSpacing"/>
        <w:spacing w:line="480" w:lineRule="auto"/>
        <w:jc w:val="both"/>
      </w:pPr>
      <w:r w:rsidRPr="00D145CF">
        <w:rPr>
          <w:i/>
        </w:rPr>
        <w:t>Mtetwa &amp; N</w:t>
      </w:r>
      <w:r w:rsidR="00B02B59" w:rsidRPr="00D145CF">
        <w:rPr>
          <w:i/>
        </w:rPr>
        <w:t>y</w:t>
      </w:r>
      <w:r w:rsidRPr="00D145CF">
        <w:rPr>
          <w:i/>
        </w:rPr>
        <w:t>ambirai</w:t>
      </w:r>
      <w:r w:rsidRPr="00D145CF">
        <w:t xml:space="preserve">, </w:t>
      </w:r>
      <w:r w:rsidR="009F60E7" w:rsidRPr="00D145CF">
        <w:t>applicant’s/</w:t>
      </w:r>
      <w:r w:rsidR="00595F49" w:rsidRPr="00D145CF">
        <w:t>appellant</w:t>
      </w:r>
      <w:r w:rsidR="009F60E7" w:rsidRPr="00D145CF">
        <w:t>’</w:t>
      </w:r>
      <w:r w:rsidR="00595F49" w:rsidRPr="00D145CF">
        <w:t>s legal practitioners</w:t>
      </w:r>
    </w:p>
    <w:p w:rsidR="00595F49" w:rsidRPr="00D145CF" w:rsidRDefault="00B02B59" w:rsidP="009F60E7">
      <w:pPr>
        <w:pStyle w:val="NoSpacing"/>
        <w:spacing w:line="480" w:lineRule="auto"/>
        <w:jc w:val="both"/>
      </w:pPr>
      <w:r w:rsidRPr="00D145CF">
        <w:rPr>
          <w:i/>
        </w:rPr>
        <w:t>Goneso &amp; Associates</w:t>
      </w:r>
      <w:r w:rsidRPr="00D145CF">
        <w:t>,</w:t>
      </w:r>
      <w:r w:rsidRPr="00D145CF">
        <w:rPr>
          <w:i/>
        </w:rPr>
        <w:t xml:space="preserve"> </w:t>
      </w:r>
      <w:r w:rsidR="00595F49" w:rsidRPr="00D145CF">
        <w:t>respondent’s legal practitioners</w:t>
      </w:r>
    </w:p>
    <w:sectPr w:rsidR="00595F49" w:rsidRPr="00D145C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BB0" w:rsidRDefault="00027BB0" w:rsidP="000036DE">
      <w:pPr>
        <w:spacing w:after="0" w:line="240" w:lineRule="auto"/>
      </w:pPr>
      <w:r>
        <w:separator/>
      </w:r>
    </w:p>
  </w:endnote>
  <w:endnote w:type="continuationSeparator" w:id="0">
    <w:p w:rsidR="00027BB0" w:rsidRDefault="00027BB0" w:rsidP="0000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BB0" w:rsidRDefault="00027BB0" w:rsidP="000036DE">
      <w:pPr>
        <w:spacing w:after="0" w:line="240" w:lineRule="auto"/>
      </w:pPr>
      <w:r>
        <w:separator/>
      </w:r>
    </w:p>
  </w:footnote>
  <w:footnote w:type="continuationSeparator" w:id="0">
    <w:p w:rsidR="00027BB0" w:rsidRDefault="00027BB0" w:rsidP="00003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8090"/>
      <w:gridCol w:w="1152"/>
    </w:tblGrid>
    <w:tr w:rsidR="000036DE">
      <w:tc>
        <w:tcPr>
          <w:tcW w:w="0" w:type="auto"/>
          <w:tcBorders>
            <w:right w:val="single" w:sz="6" w:space="0" w:color="000000" w:themeColor="text1"/>
          </w:tcBorders>
        </w:tcPr>
        <w:sdt>
          <w:sdtPr>
            <w:rPr>
              <w:b/>
            </w:rPr>
            <w:alias w:val="Company"/>
            <w:id w:val="78735422"/>
            <w:placeholder>
              <w:docPart w:val="C90AB050D1584659851C7B1E14F07D27"/>
            </w:placeholder>
            <w:dataBinding w:prefixMappings="xmlns:ns0='http://schemas.openxmlformats.org/officeDocument/2006/extended-properties'" w:xpath="/ns0:Properties[1]/ns0:Company[1]" w:storeItemID="{6668398D-A668-4E3E-A5EB-62B293D839F1}"/>
            <w:text/>
          </w:sdtPr>
          <w:sdtEndPr/>
          <w:sdtContent>
            <w:p w:rsidR="000036DE" w:rsidRPr="000036DE" w:rsidRDefault="000036DE">
              <w:pPr>
                <w:pStyle w:val="Header"/>
                <w:jc w:val="right"/>
                <w:rPr>
                  <w:b/>
                </w:rPr>
              </w:pPr>
              <w:r w:rsidRPr="000036DE">
                <w:rPr>
                  <w:b/>
                </w:rPr>
                <w:t>Judgment No. CCZ</w:t>
              </w:r>
              <w:r w:rsidR="0075295D">
                <w:rPr>
                  <w:b/>
                </w:rPr>
                <w:t xml:space="preserve"> 6/17</w:t>
              </w:r>
            </w:p>
          </w:sdtContent>
        </w:sdt>
        <w:sdt>
          <w:sdtPr>
            <w:rPr>
              <w:b/>
              <w:bCs/>
            </w:rPr>
            <w:alias w:val="Title"/>
            <w:id w:val="78735415"/>
            <w:placeholder>
              <w:docPart w:val="9667F13F425B41DD8233497AA13E82B6"/>
            </w:placeholder>
            <w:dataBinding w:prefixMappings="xmlns:ns0='http://schemas.openxmlformats.org/package/2006/metadata/core-properties' xmlns:ns1='http://purl.org/dc/elements/1.1/'" w:xpath="/ns0:coreProperties[1]/ns1:title[1]" w:storeItemID="{6C3C8BC8-F283-45AE-878A-BAB7291924A1}"/>
            <w:text/>
          </w:sdtPr>
          <w:sdtEndPr/>
          <w:sdtContent>
            <w:p w:rsidR="000036DE" w:rsidRDefault="000036DE" w:rsidP="000036DE">
              <w:pPr>
                <w:pStyle w:val="Header"/>
                <w:jc w:val="right"/>
                <w:rPr>
                  <w:b/>
                  <w:bCs/>
                </w:rPr>
              </w:pPr>
              <w:r>
                <w:rPr>
                  <w:b/>
                  <w:bCs/>
                </w:rPr>
                <w:t>Constitutional Application No. SC 371/12</w:t>
              </w:r>
            </w:p>
          </w:sdtContent>
        </w:sdt>
      </w:tc>
      <w:tc>
        <w:tcPr>
          <w:tcW w:w="1152" w:type="dxa"/>
          <w:tcBorders>
            <w:left w:val="single" w:sz="6" w:space="0" w:color="000000" w:themeColor="text1"/>
          </w:tcBorders>
        </w:tcPr>
        <w:p w:rsidR="000036DE" w:rsidRDefault="000036DE">
          <w:pPr>
            <w:pStyle w:val="Header"/>
            <w:rPr>
              <w:b/>
              <w:bCs/>
            </w:rPr>
          </w:pPr>
          <w:r>
            <w:fldChar w:fldCharType="begin"/>
          </w:r>
          <w:r>
            <w:instrText xml:space="preserve"> PAGE   \* MERGEFORMAT </w:instrText>
          </w:r>
          <w:r>
            <w:fldChar w:fldCharType="separate"/>
          </w:r>
          <w:r w:rsidR="00A84941">
            <w:rPr>
              <w:noProof/>
            </w:rPr>
            <w:t>1</w:t>
          </w:r>
          <w:r>
            <w:rPr>
              <w:noProof/>
            </w:rPr>
            <w:fldChar w:fldCharType="end"/>
          </w:r>
        </w:p>
      </w:tc>
    </w:tr>
  </w:tbl>
  <w:p w:rsidR="000036DE" w:rsidRDefault="00003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8D"/>
    <w:rsid w:val="000036DE"/>
    <w:rsid w:val="00027BB0"/>
    <w:rsid w:val="00034A89"/>
    <w:rsid w:val="00043DC6"/>
    <w:rsid w:val="000442B3"/>
    <w:rsid w:val="00052BDC"/>
    <w:rsid w:val="000603EB"/>
    <w:rsid w:val="00064D95"/>
    <w:rsid w:val="00074830"/>
    <w:rsid w:val="00085ACA"/>
    <w:rsid w:val="000A1B0A"/>
    <w:rsid w:val="000A1B8F"/>
    <w:rsid w:val="000A4ED9"/>
    <w:rsid w:val="000B3410"/>
    <w:rsid w:val="000B3C37"/>
    <w:rsid w:val="000B5321"/>
    <w:rsid w:val="000B611A"/>
    <w:rsid w:val="000B6E51"/>
    <w:rsid w:val="000B700F"/>
    <w:rsid w:val="000B7884"/>
    <w:rsid w:val="000C20C5"/>
    <w:rsid w:val="000C2565"/>
    <w:rsid w:val="000C59B0"/>
    <w:rsid w:val="000D7850"/>
    <w:rsid w:val="000E479B"/>
    <w:rsid w:val="000F3082"/>
    <w:rsid w:val="00107957"/>
    <w:rsid w:val="00110384"/>
    <w:rsid w:val="00143BBE"/>
    <w:rsid w:val="0015069C"/>
    <w:rsid w:val="00151987"/>
    <w:rsid w:val="001569AA"/>
    <w:rsid w:val="001706AD"/>
    <w:rsid w:val="001803E4"/>
    <w:rsid w:val="0019349C"/>
    <w:rsid w:val="001C5921"/>
    <w:rsid w:val="001D6592"/>
    <w:rsid w:val="001E631D"/>
    <w:rsid w:val="001F2551"/>
    <w:rsid w:val="001F4DD7"/>
    <w:rsid w:val="0020555B"/>
    <w:rsid w:val="00214549"/>
    <w:rsid w:val="00226A76"/>
    <w:rsid w:val="00233026"/>
    <w:rsid w:val="00241343"/>
    <w:rsid w:val="00241CF8"/>
    <w:rsid w:val="0024466B"/>
    <w:rsid w:val="00245893"/>
    <w:rsid w:val="00265399"/>
    <w:rsid w:val="002A42DD"/>
    <w:rsid w:val="002C63BD"/>
    <w:rsid w:val="002C7B21"/>
    <w:rsid w:val="002D34ED"/>
    <w:rsid w:val="002D3755"/>
    <w:rsid w:val="002E2F72"/>
    <w:rsid w:val="00306210"/>
    <w:rsid w:val="003108E3"/>
    <w:rsid w:val="0031363E"/>
    <w:rsid w:val="00315CCF"/>
    <w:rsid w:val="003209A5"/>
    <w:rsid w:val="00327D6F"/>
    <w:rsid w:val="00344B3F"/>
    <w:rsid w:val="0034506B"/>
    <w:rsid w:val="00350AD9"/>
    <w:rsid w:val="00363B36"/>
    <w:rsid w:val="0036485C"/>
    <w:rsid w:val="00366938"/>
    <w:rsid w:val="003754B1"/>
    <w:rsid w:val="00377055"/>
    <w:rsid w:val="00377375"/>
    <w:rsid w:val="00385FB7"/>
    <w:rsid w:val="00390731"/>
    <w:rsid w:val="003B1478"/>
    <w:rsid w:val="003C0516"/>
    <w:rsid w:val="003C2C7F"/>
    <w:rsid w:val="003C6706"/>
    <w:rsid w:val="003C7B53"/>
    <w:rsid w:val="003E1C05"/>
    <w:rsid w:val="003E34AB"/>
    <w:rsid w:val="004113F3"/>
    <w:rsid w:val="004209DC"/>
    <w:rsid w:val="00436D9A"/>
    <w:rsid w:val="004372CD"/>
    <w:rsid w:val="00440C39"/>
    <w:rsid w:val="00450BF7"/>
    <w:rsid w:val="00497D9D"/>
    <w:rsid w:val="004A5445"/>
    <w:rsid w:val="004C5D59"/>
    <w:rsid w:val="004D387F"/>
    <w:rsid w:val="004D4B8E"/>
    <w:rsid w:val="004E3598"/>
    <w:rsid w:val="004F7DE6"/>
    <w:rsid w:val="00521299"/>
    <w:rsid w:val="00525D89"/>
    <w:rsid w:val="00527DF6"/>
    <w:rsid w:val="00532D74"/>
    <w:rsid w:val="0053598E"/>
    <w:rsid w:val="00562221"/>
    <w:rsid w:val="00563D35"/>
    <w:rsid w:val="00572287"/>
    <w:rsid w:val="00587456"/>
    <w:rsid w:val="00590604"/>
    <w:rsid w:val="00595F49"/>
    <w:rsid w:val="00596506"/>
    <w:rsid w:val="005A0105"/>
    <w:rsid w:val="005A44E1"/>
    <w:rsid w:val="005A72E8"/>
    <w:rsid w:val="005D4D96"/>
    <w:rsid w:val="00600354"/>
    <w:rsid w:val="00602756"/>
    <w:rsid w:val="00607C04"/>
    <w:rsid w:val="0061245D"/>
    <w:rsid w:val="0061451C"/>
    <w:rsid w:val="00617612"/>
    <w:rsid w:val="00634993"/>
    <w:rsid w:val="006464D1"/>
    <w:rsid w:val="00651132"/>
    <w:rsid w:val="00655A79"/>
    <w:rsid w:val="00657CD3"/>
    <w:rsid w:val="006745CC"/>
    <w:rsid w:val="006834DE"/>
    <w:rsid w:val="00684CE7"/>
    <w:rsid w:val="00686B01"/>
    <w:rsid w:val="00691770"/>
    <w:rsid w:val="006A4316"/>
    <w:rsid w:val="006B1F26"/>
    <w:rsid w:val="006E14D9"/>
    <w:rsid w:val="006F2BDC"/>
    <w:rsid w:val="006F62C7"/>
    <w:rsid w:val="0070511C"/>
    <w:rsid w:val="007221D8"/>
    <w:rsid w:val="00727C1D"/>
    <w:rsid w:val="0075295D"/>
    <w:rsid w:val="00777F56"/>
    <w:rsid w:val="00786C13"/>
    <w:rsid w:val="0079072E"/>
    <w:rsid w:val="007919BB"/>
    <w:rsid w:val="007A2060"/>
    <w:rsid w:val="007B1392"/>
    <w:rsid w:val="007B4AE1"/>
    <w:rsid w:val="007B7AA2"/>
    <w:rsid w:val="007E6AD7"/>
    <w:rsid w:val="007F4E63"/>
    <w:rsid w:val="008162A5"/>
    <w:rsid w:val="00820A21"/>
    <w:rsid w:val="008520B3"/>
    <w:rsid w:val="00854C69"/>
    <w:rsid w:val="0086156F"/>
    <w:rsid w:val="008746E4"/>
    <w:rsid w:val="00890DF0"/>
    <w:rsid w:val="00892B7F"/>
    <w:rsid w:val="008C2A83"/>
    <w:rsid w:val="008C65ED"/>
    <w:rsid w:val="008D1472"/>
    <w:rsid w:val="008E04D8"/>
    <w:rsid w:val="008E45FB"/>
    <w:rsid w:val="008F55C0"/>
    <w:rsid w:val="008F6CB9"/>
    <w:rsid w:val="009016DA"/>
    <w:rsid w:val="00915311"/>
    <w:rsid w:val="0091787B"/>
    <w:rsid w:val="00925646"/>
    <w:rsid w:val="00930333"/>
    <w:rsid w:val="0094279B"/>
    <w:rsid w:val="00956910"/>
    <w:rsid w:val="009624C8"/>
    <w:rsid w:val="00967668"/>
    <w:rsid w:val="00972E65"/>
    <w:rsid w:val="009821AE"/>
    <w:rsid w:val="009855D6"/>
    <w:rsid w:val="009856EF"/>
    <w:rsid w:val="0098677D"/>
    <w:rsid w:val="009B1686"/>
    <w:rsid w:val="009C14D2"/>
    <w:rsid w:val="009C353C"/>
    <w:rsid w:val="009C4817"/>
    <w:rsid w:val="009D0A09"/>
    <w:rsid w:val="009E6C9C"/>
    <w:rsid w:val="009F60E7"/>
    <w:rsid w:val="00A027AD"/>
    <w:rsid w:val="00A041F6"/>
    <w:rsid w:val="00A123C1"/>
    <w:rsid w:val="00A1448A"/>
    <w:rsid w:val="00A2269D"/>
    <w:rsid w:val="00A34514"/>
    <w:rsid w:val="00A47056"/>
    <w:rsid w:val="00A55D1B"/>
    <w:rsid w:val="00A56852"/>
    <w:rsid w:val="00A6275A"/>
    <w:rsid w:val="00A65710"/>
    <w:rsid w:val="00A6691F"/>
    <w:rsid w:val="00A75B91"/>
    <w:rsid w:val="00A80880"/>
    <w:rsid w:val="00A81B86"/>
    <w:rsid w:val="00A843EA"/>
    <w:rsid w:val="00A84941"/>
    <w:rsid w:val="00A856A0"/>
    <w:rsid w:val="00A97F56"/>
    <w:rsid w:val="00AB14FD"/>
    <w:rsid w:val="00AB459D"/>
    <w:rsid w:val="00AD59C3"/>
    <w:rsid w:val="00AD77B8"/>
    <w:rsid w:val="00AE40C6"/>
    <w:rsid w:val="00AF573F"/>
    <w:rsid w:val="00AF59D8"/>
    <w:rsid w:val="00AF6FD7"/>
    <w:rsid w:val="00B02B59"/>
    <w:rsid w:val="00B043A3"/>
    <w:rsid w:val="00B14DBF"/>
    <w:rsid w:val="00B326A3"/>
    <w:rsid w:val="00B338F4"/>
    <w:rsid w:val="00B530B1"/>
    <w:rsid w:val="00B5607A"/>
    <w:rsid w:val="00B611AE"/>
    <w:rsid w:val="00B6221E"/>
    <w:rsid w:val="00B63913"/>
    <w:rsid w:val="00B7208D"/>
    <w:rsid w:val="00B83DCB"/>
    <w:rsid w:val="00B86AB1"/>
    <w:rsid w:val="00B86E72"/>
    <w:rsid w:val="00B901DF"/>
    <w:rsid w:val="00B90543"/>
    <w:rsid w:val="00BA2254"/>
    <w:rsid w:val="00BC5F76"/>
    <w:rsid w:val="00BD2E27"/>
    <w:rsid w:val="00BE0D9F"/>
    <w:rsid w:val="00BE213C"/>
    <w:rsid w:val="00BE37EB"/>
    <w:rsid w:val="00BE42EA"/>
    <w:rsid w:val="00BF1F1A"/>
    <w:rsid w:val="00BF38C5"/>
    <w:rsid w:val="00BF5522"/>
    <w:rsid w:val="00C01228"/>
    <w:rsid w:val="00C30A34"/>
    <w:rsid w:val="00C3286E"/>
    <w:rsid w:val="00C47A1D"/>
    <w:rsid w:val="00C81E90"/>
    <w:rsid w:val="00C86696"/>
    <w:rsid w:val="00CA2BF8"/>
    <w:rsid w:val="00CA4B21"/>
    <w:rsid w:val="00CE58CC"/>
    <w:rsid w:val="00D05328"/>
    <w:rsid w:val="00D145CF"/>
    <w:rsid w:val="00D56E2F"/>
    <w:rsid w:val="00D60F04"/>
    <w:rsid w:val="00D75486"/>
    <w:rsid w:val="00D91FDE"/>
    <w:rsid w:val="00D9429A"/>
    <w:rsid w:val="00D95869"/>
    <w:rsid w:val="00DA34AF"/>
    <w:rsid w:val="00DD67F9"/>
    <w:rsid w:val="00DF4A52"/>
    <w:rsid w:val="00E016B3"/>
    <w:rsid w:val="00E01BDC"/>
    <w:rsid w:val="00E13482"/>
    <w:rsid w:val="00E14588"/>
    <w:rsid w:val="00E15261"/>
    <w:rsid w:val="00E509CE"/>
    <w:rsid w:val="00E50B49"/>
    <w:rsid w:val="00E606F4"/>
    <w:rsid w:val="00E61E3A"/>
    <w:rsid w:val="00E75A8D"/>
    <w:rsid w:val="00E83F3F"/>
    <w:rsid w:val="00EA050B"/>
    <w:rsid w:val="00EA10C9"/>
    <w:rsid w:val="00EA7EEE"/>
    <w:rsid w:val="00EB26E0"/>
    <w:rsid w:val="00EB4276"/>
    <w:rsid w:val="00EC2E0C"/>
    <w:rsid w:val="00EE5ADE"/>
    <w:rsid w:val="00EF5980"/>
    <w:rsid w:val="00F01356"/>
    <w:rsid w:val="00F01BD4"/>
    <w:rsid w:val="00F07D47"/>
    <w:rsid w:val="00F16DD3"/>
    <w:rsid w:val="00F20053"/>
    <w:rsid w:val="00F253FD"/>
    <w:rsid w:val="00F331CC"/>
    <w:rsid w:val="00F35445"/>
    <w:rsid w:val="00F35F7E"/>
    <w:rsid w:val="00F41CEE"/>
    <w:rsid w:val="00F56D2E"/>
    <w:rsid w:val="00F63A34"/>
    <w:rsid w:val="00F6409C"/>
    <w:rsid w:val="00F835A8"/>
    <w:rsid w:val="00F93D05"/>
    <w:rsid w:val="00FA2361"/>
    <w:rsid w:val="00FA6BA8"/>
    <w:rsid w:val="00FB1A90"/>
    <w:rsid w:val="00FB3396"/>
    <w:rsid w:val="00FB7DCA"/>
    <w:rsid w:val="00FC3FE7"/>
    <w:rsid w:val="00FD0F3F"/>
    <w:rsid w:val="00FE4F0D"/>
    <w:rsid w:val="00FF5C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C14C6-BF67-479F-8422-06090784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6A0"/>
    <w:rPr>
      <w:rFonts w:asciiTheme="minorHAnsi" w:hAnsiTheme="minorHAnsi" w:cstheme="minorBidi"/>
      <w:sz w:val="22"/>
      <w:szCs w:val="22"/>
    </w:rPr>
  </w:style>
  <w:style w:type="paragraph" w:styleId="Heading1">
    <w:name w:val="heading 1"/>
    <w:basedOn w:val="Normal"/>
    <w:next w:val="Normal"/>
    <w:link w:val="Heading1Char"/>
    <w:uiPriority w:val="9"/>
    <w:qFormat/>
    <w:rsid w:val="005A7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08D"/>
    <w:pPr>
      <w:spacing w:after="0" w:line="240" w:lineRule="auto"/>
    </w:pPr>
  </w:style>
  <w:style w:type="paragraph" w:styleId="Header">
    <w:name w:val="header"/>
    <w:basedOn w:val="Normal"/>
    <w:link w:val="HeaderChar"/>
    <w:uiPriority w:val="99"/>
    <w:unhideWhenUsed/>
    <w:rsid w:val="000036DE"/>
    <w:pPr>
      <w:tabs>
        <w:tab w:val="center" w:pos="4513"/>
        <w:tab w:val="right" w:pos="9026"/>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036DE"/>
  </w:style>
  <w:style w:type="paragraph" w:styleId="Footer">
    <w:name w:val="footer"/>
    <w:basedOn w:val="Normal"/>
    <w:link w:val="FooterChar"/>
    <w:uiPriority w:val="99"/>
    <w:unhideWhenUsed/>
    <w:rsid w:val="000036DE"/>
    <w:pPr>
      <w:tabs>
        <w:tab w:val="center" w:pos="4513"/>
        <w:tab w:val="right" w:pos="9026"/>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036DE"/>
  </w:style>
  <w:style w:type="paragraph" w:styleId="BalloonText">
    <w:name w:val="Balloon Text"/>
    <w:basedOn w:val="Normal"/>
    <w:link w:val="BalloonTextChar"/>
    <w:uiPriority w:val="99"/>
    <w:semiHidden/>
    <w:unhideWhenUsed/>
    <w:rsid w:val="00003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6DE"/>
    <w:rPr>
      <w:rFonts w:ascii="Tahoma" w:hAnsi="Tahoma" w:cs="Tahoma"/>
      <w:sz w:val="16"/>
      <w:szCs w:val="16"/>
    </w:rPr>
  </w:style>
  <w:style w:type="paragraph" w:styleId="ListParagraph">
    <w:name w:val="List Paragraph"/>
    <w:basedOn w:val="Normal"/>
    <w:uiPriority w:val="34"/>
    <w:qFormat/>
    <w:rsid w:val="00A856A0"/>
    <w:pPr>
      <w:ind w:left="720"/>
      <w:contextualSpacing/>
    </w:pPr>
  </w:style>
  <w:style w:type="character" w:styleId="FootnoteReference">
    <w:name w:val="footnote reference"/>
    <w:basedOn w:val="DefaultParagraphFont"/>
    <w:uiPriority w:val="99"/>
    <w:semiHidden/>
    <w:unhideWhenUsed/>
    <w:rsid w:val="008162A5"/>
    <w:rPr>
      <w:vertAlign w:val="superscript"/>
    </w:rPr>
  </w:style>
  <w:style w:type="paragraph" w:customStyle="1" w:styleId="western">
    <w:name w:val="western"/>
    <w:basedOn w:val="Normal"/>
    <w:rsid w:val="008162A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942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79B"/>
    <w:rPr>
      <w:rFonts w:asciiTheme="minorHAnsi" w:hAnsiTheme="minorHAnsi" w:cstheme="minorBidi"/>
      <w:sz w:val="20"/>
      <w:szCs w:val="20"/>
    </w:rPr>
  </w:style>
  <w:style w:type="character" w:customStyle="1" w:styleId="Heading1Char">
    <w:name w:val="Heading 1 Char"/>
    <w:basedOn w:val="DefaultParagraphFont"/>
    <w:link w:val="Heading1"/>
    <w:uiPriority w:val="9"/>
    <w:rsid w:val="005A72E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0AB050D1584659851C7B1E14F07D27"/>
        <w:category>
          <w:name w:val="General"/>
          <w:gallery w:val="placeholder"/>
        </w:category>
        <w:types>
          <w:type w:val="bbPlcHdr"/>
        </w:types>
        <w:behaviors>
          <w:behavior w:val="content"/>
        </w:behaviors>
        <w:guid w:val="{87F4B1F1-FC05-4D81-B085-D32DD6EE7B20}"/>
      </w:docPartPr>
      <w:docPartBody>
        <w:p w:rsidR="006248A5" w:rsidRDefault="002F56EB" w:rsidP="002F56EB">
          <w:pPr>
            <w:pStyle w:val="C90AB050D1584659851C7B1E14F07D27"/>
          </w:pPr>
          <w:r>
            <w:t>[Type the company name]</w:t>
          </w:r>
        </w:p>
      </w:docPartBody>
    </w:docPart>
    <w:docPart>
      <w:docPartPr>
        <w:name w:val="9667F13F425B41DD8233497AA13E82B6"/>
        <w:category>
          <w:name w:val="General"/>
          <w:gallery w:val="placeholder"/>
        </w:category>
        <w:types>
          <w:type w:val="bbPlcHdr"/>
        </w:types>
        <w:behaviors>
          <w:behavior w:val="content"/>
        </w:behaviors>
        <w:guid w:val="{C13A8EDA-B7A9-4E42-8BEB-34CB427A1964}"/>
      </w:docPartPr>
      <w:docPartBody>
        <w:p w:rsidR="006248A5" w:rsidRDefault="002F56EB" w:rsidP="002F56EB">
          <w:pPr>
            <w:pStyle w:val="9667F13F425B41DD8233497AA13E82B6"/>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EB"/>
    <w:rsid w:val="00010855"/>
    <w:rsid w:val="000125F0"/>
    <w:rsid w:val="000C0D32"/>
    <w:rsid w:val="0013044A"/>
    <w:rsid w:val="001A7198"/>
    <w:rsid w:val="002200EE"/>
    <w:rsid w:val="00271B5A"/>
    <w:rsid w:val="002F56EB"/>
    <w:rsid w:val="00366DFE"/>
    <w:rsid w:val="00375F6F"/>
    <w:rsid w:val="004773C7"/>
    <w:rsid w:val="004C1A28"/>
    <w:rsid w:val="005701C7"/>
    <w:rsid w:val="006248A5"/>
    <w:rsid w:val="007578E7"/>
    <w:rsid w:val="007C0A3B"/>
    <w:rsid w:val="007C73BE"/>
    <w:rsid w:val="00805F0A"/>
    <w:rsid w:val="00811AFE"/>
    <w:rsid w:val="008606E2"/>
    <w:rsid w:val="0087107F"/>
    <w:rsid w:val="009B7958"/>
    <w:rsid w:val="00A11FCF"/>
    <w:rsid w:val="00A310C1"/>
    <w:rsid w:val="00A461EA"/>
    <w:rsid w:val="00A72013"/>
    <w:rsid w:val="00AC72F7"/>
    <w:rsid w:val="00B312E1"/>
    <w:rsid w:val="00B85062"/>
    <w:rsid w:val="00BF4A8A"/>
    <w:rsid w:val="00E000E6"/>
    <w:rsid w:val="00EB419A"/>
    <w:rsid w:val="00EC405D"/>
    <w:rsid w:val="00F112BA"/>
    <w:rsid w:val="00F92B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0AB050D1584659851C7B1E14F07D27">
    <w:name w:val="C90AB050D1584659851C7B1E14F07D27"/>
    <w:rsid w:val="002F56EB"/>
  </w:style>
  <w:style w:type="paragraph" w:customStyle="1" w:styleId="9667F13F425B41DD8233497AA13E82B6">
    <w:name w:val="9667F13F425B41DD8233497AA13E82B6"/>
    <w:rsid w:val="002F5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7C9E-CD79-45AC-A967-BF317661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Constitutional Application No. SC 371/12</vt:lpstr>
    </vt:vector>
  </TitlesOfParts>
  <Company>Judgment No. CCZ 6/17</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SC 371/12</dc:title>
  <dc:creator>User</dc:creator>
  <cp:lastModifiedBy>JSC</cp:lastModifiedBy>
  <cp:revision>55</cp:revision>
  <cp:lastPrinted>2017-05-12T11:10:00Z</cp:lastPrinted>
  <dcterms:created xsi:type="dcterms:W3CDTF">2015-07-10T11:03:00Z</dcterms:created>
  <dcterms:modified xsi:type="dcterms:W3CDTF">2017-05-12T11:26:00Z</dcterms:modified>
</cp:coreProperties>
</file>