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88D" w:rsidRDefault="0062388D" w:rsidP="008011F0">
      <w:pPr>
        <w:pStyle w:val="NoSpacing"/>
        <w:jc w:val="both"/>
        <w:rPr>
          <w:b/>
          <w:szCs w:val="24"/>
        </w:rPr>
      </w:pPr>
      <w:r>
        <w:rPr>
          <w:b/>
          <w:szCs w:val="24"/>
        </w:rPr>
        <w:t>GIFT MAGWADA</w:t>
      </w:r>
    </w:p>
    <w:p w:rsidR="0062388D" w:rsidRDefault="0062388D" w:rsidP="008011F0">
      <w:pPr>
        <w:pStyle w:val="NoSpacing"/>
        <w:jc w:val="both"/>
        <w:rPr>
          <w:b/>
          <w:szCs w:val="24"/>
        </w:rPr>
      </w:pPr>
    </w:p>
    <w:p w:rsidR="0062388D" w:rsidRDefault="0062388D" w:rsidP="008011F0">
      <w:pPr>
        <w:pStyle w:val="NoSpacing"/>
        <w:jc w:val="both"/>
        <w:rPr>
          <w:b/>
          <w:szCs w:val="24"/>
        </w:rPr>
      </w:pPr>
      <w:r>
        <w:rPr>
          <w:b/>
          <w:szCs w:val="24"/>
        </w:rPr>
        <w:t>Versus</w:t>
      </w:r>
    </w:p>
    <w:p w:rsidR="0062388D" w:rsidRDefault="0062388D" w:rsidP="008011F0">
      <w:pPr>
        <w:pStyle w:val="NoSpacing"/>
        <w:jc w:val="both"/>
        <w:rPr>
          <w:b/>
          <w:szCs w:val="24"/>
        </w:rPr>
      </w:pPr>
    </w:p>
    <w:p w:rsidR="0062388D" w:rsidRDefault="0062388D" w:rsidP="008011F0">
      <w:pPr>
        <w:pStyle w:val="NoSpacing"/>
        <w:jc w:val="both"/>
        <w:rPr>
          <w:b/>
          <w:szCs w:val="24"/>
        </w:rPr>
      </w:pPr>
      <w:r>
        <w:rPr>
          <w:b/>
          <w:szCs w:val="24"/>
        </w:rPr>
        <w:t>THE POLICE SERVICE COMMISSION</w:t>
      </w:r>
    </w:p>
    <w:p w:rsidR="0062388D" w:rsidRDefault="0062388D" w:rsidP="008011F0">
      <w:pPr>
        <w:pStyle w:val="NoSpacing"/>
        <w:jc w:val="both"/>
        <w:rPr>
          <w:b/>
          <w:szCs w:val="24"/>
        </w:rPr>
      </w:pPr>
    </w:p>
    <w:p w:rsidR="0062388D" w:rsidRDefault="0062388D" w:rsidP="008011F0">
      <w:pPr>
        <w:pStyle w:val="NoSpacing"/>
        <w:jc w:val="both"/>
        <w:rPr>
          <w:b/>
          <w:szCs w:val="24"/>
        </w:rPr>
      </w:pPr>
      <w:r>
        <w:rPr>
          <w:b/>
          <w:szCs w:val="24"/>
        </w:rPr>
        <w:t>And</w:t>
      </w:r>
    </w:p>
    <w:p w:rsidR="0062388D" w:rsidRDefault="0062388D" w:rsidP="008011F0">
      <w:pPr>
        <w:pStyle w:val="NoSpacing"/>
        <w:jc w:val="both"/>
        <w:rPr>
          <w:b/>
          <w:szCs w:val="24"/>
        </w:rPr>
      </w:pPr>
    </w:p>
    <w:p w:rsidR="0062388D" w:rsidRDefault="000E267C" w:rsidP="008011F0">
      <w:pPr>
        <w:pStyle w:val="NoSpacing"/>
        <w:jc w:val="both"/>
        <w:rPr>
          <w:b/>
          <w:szCs w:val="24"/>
        </w:rPr>
      </w:pPr>
      <w:r>
        <w:rPr>
          <w:b/>
          <w:szCs w:val="24"/>
        </w:rPr>
        <w:t xml:space="preserve">THE COMMISSIONER GENERAL </w:t>
      </w:r>
      <w:r w:rsidR="0062388D">
        <w:rPr>
          <w:b/>
          <w:szCs w:val="24"/>
        </w:rPr>
        <w:t>OF POLICE</w:t>
      </w:r>
    </w:p>
    <w:p w:rsidR="0062388D" w:rsidRDefault="0062388D" w:rsidP="008011F0">
      <w:pPr>
        <w:pStyle w:val="NoSpacing"/>
        <w:jc w:val="both"/>
        <w:rPr>
          <w:szCs w:val="24"/>
        </w:rPr>
      </w:pPr>
    </w:p>
    <w:p w:rsidR="0062388D" w:rsidRDefault="0062388D" w:rsidP="008011F0">
      <w:pPr>
        <w:pStyle w:val="NoSpacing"/>
        <w:spacing w:line="480" w:lineRule="auto"/>
        <w:jc w:val="both"/>
        <w:rPr>
          <w:szCs w:val="24"/>
        </w:rPr>
      </w:pPr>
    </w:p>
    <w:p w:rsidR="0062388D" w:rsidRDefault="0062388D" w:rsidP="008011F0">
      <w:pPr>
        <w:pStyle w:val="NoSpacing"/>
        <w:spacing w:line="360" w:lineRule="auto"/>
        <w:jc w:val="both"/>
        <w:rPr>
          <w:szCs w:val="24"/>
        </w:rPr>
      </w:pPr>
      <w:r>
        <w:rPr>
          <w:szCs w:val="24"/>
        </w:rPr>
        <w:t>IN THE HIGH COURT OF ZIMBABWE</w:t>
      </w:r>
    </w:p>
    <w:p w:rsidR="0062388D" w:rsidRDefault="0062388D" w:rsidP="008011F0">
      <w:pPr>
        <w:pStyle w:val="NoSpacing"/>
        <w:spacing w:line="360" w:lineRule="auto"/>
        <w:jc w:val="both"/>
        <w:rPr>
          <w:szCs w:val="24"/>
        </w:rPr>
      </w:pPr>
      <w:r>
        <w:rPr>
          <w:szCs w:val="24"/>
        </w:rPr>
        <w:t>KABASA J</w:t>
      </w:r>
    </w:p>
    <w:p w:rsidR="0062388D" w:rsidRDefault="000E267C" w:rsidP="008011F0">
      <w:pPr>
        <w:pStyle w:val="NoSpacing"/>
        <w:spacing w:line="360" w:lineRule="auto"/>
        <w:jc w:val="both"/>
        <w:rPr>
          <w:szCs w:val="24"/>
        </w:rPr>
      </w:pPr>
      <w:r>
        <w:rPr>
          <w:szCs w:val="24"/>
        </w:rPr>
        <w:t>BULAW</w:t>
      </w:r>
      <w:r w:rsidR="00005A83">
        <w:rPr>
          <w:szCs w:val="24"/>
        </w:rPr>
        <w:t xml:space="preserve">AYO 9 FEBRUARY 2023 </w:t>
      </w:r>
    </w:p>
    <w:p w:rsidR="0062388D" w:rsidRDefault="0062388D" w:rsidP="008011F0">
      <w:pPr>
        <w:pStyle w:val="NoSpacing"/>
        <w:spacing w:line="360" w:lineRule="auto"/>
        <w:jc w:val="both"/>
        <w:rPr>
          <w:b/>
          <w:szCs w:val="24"/>
        </w:rPr>
      </w:pPr>
    </w:p>
    <w:p w:rsidR="0062388D" w:rsidRDefault="000E267C" w:rsidP="008011F0">
      <w:pPr>
        <w:pStyle w:val="NoSpacing"/>
        <w:spacing w:line="360" w:lineRule="auto"/>
        <w:jc w:val="both"/>
        <w:rPr>
          <w:b/>
          <w:szCs w:val="24"/>
        </w:rPr>
      </w:pPr>
      <w:r>
        <w:rPr>
          <w:b/>
          <w:szCs w:val="24"/>
        </w:rPr>
        <w:t>Opposed Application</w:t>
      </w:r>
    </w:p>
    <w:p w:rsidR="0062388D" w:rsidRDefault="0062388D" w:rsidP="008011F0">
      <w:pPr>
        <w:pStyle w:val="NoSpacing"/>
        <w:spacing w:line="360" w:lineRule="auto"/>
        <w:jc w:val="both"/>
      </w:pPr>
    </w:p>
    <w:p w:rsidR="0062388D" w:rsidRDefault="000E267C" w:rsidP="008011F0">
      <w:pPr>
        <w:pStyle w:val="NoSpacing"/>
        <w:spacing w:line="360" w:lineRule="auto"/>
        <w:jc w:val="both"/>
      </w:pPr>
      <w:r>
        <w:rPr>
          <w:i/>
        </w:rPr>
        <w:t>G. Sengweni</w:t>
      </w:r>
      <w:r>
        <w:t>, for the applicant</w:t>
      </w:r>
    </w:p>
    <w:p w:rsidR="0062388D" w:rsidRDefault="000E267C" w:rsidP="008011F0">
      <w:pPr>
        <w:pStyle w:val="NoSpacing"/>
        <w:spacing w:line="360" w:lineRule="auto"/>
        <w:jc w:val="both"/>
      </w:pPr>
      <w:r>
        <w:rPr>
          <w:i/>
        </w:rPr>
        <w:t>G. Mwatsveruka</w:t>
      </w:r>
      <w:r w:rsidR="0062388D">
        <w:rPr>
          <w:i/>
        </w:rPr>
        <w:t xml:space="preserve">, </w:t>
      </w:r>
      <w:r w:rsidR="0062388D">
        <w:t>for the respondent</w:t>
      </w:r>
      <w:r>
        <w:t>s</w:t>
      </w:r>
    </w:p>
    <w:p w:rsidR="00223694" w:rsidRDefault="0062388D"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KABASA J:</w:t>
      </w:r>
      <w:r>
        <w:rPr>
          <w:rFonts w:ascii="Times New Roman" w:hAnsi="Times New Roman" w:cs="Times New Roman"/>
          <w:b/>
          <w:bCs/>
          <w:sz w:val="24"/>
          <w:szCs w:val="24"/>
        </w:rPr>
        <w:tab/>
      </w:r>
      <w:r w:rsidR="007F2204">
        <w:rPr>
          <w:rFonts w:ascii="Times New Roman" w:hAnsi="Times New Roman" w:cs="Times New Roman"/>
          <w:bCs/>
          <w:sz w:val="24"/>
          <w:szCs w:val="24"/>
        </w:rPr>
        <w:t xml:space="preserve">This matter was heard on 9 February 2023 and after hearing the parties’ submissions I dismissed the application, with no order as to costs.  I gave my reasons in an </w:t>
      </w:r>
      <w:r w:rsidR="007F2204" w:rsidRPr="00E850E9">
        <w:rPr>
          <w:rFonts w:ascii="Times New Roman" w:hAnsi="Times New Roman" w:cs="Times New Roman"/>
          <w:bCs/>
          <w:i/>
          <w:sz w:val="24"/>
          <w:szCs w:val="24"/>
        </w:rPr>
        <w:t>ex tempore</w:t>
      </w:r>
      <w:r w:rsidR="007F2204">
        <w:rPr>
          <w:rFonts w:ascii="Times New Roman" w:hAnsi="Times New Roman" w:cs="Times New Roman"/>
          <w:bCs/>
          <w:sz w:val="24"/>
          <w:szCs w:val="24"/>
        </w:rPr>
        <w:t xml:space="preserve"> judgment.</w:t>
      </w:r>
    </w:p>
    <w:p w:rsidR="007F2204" w:rsidRDefault="00080464"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had long forgotten about the matter when on 7 June 2023 the record was brought to me with a request for written reasons.  I must say where a litigant requires written reasons such request must be made timeously and not months later, as happened </w:t>
      </w:r>
      <w:r w:rsidRPr="00877F55">
        <w:rPr>
          <w:rFonts w:ascii="Times New Roman" w:hAnsi="Times New Roman" w:cs="Times New Roman"/>
          <w:bCs/>
          <w:i/>
          <w:sz w:val="24"/>
          <w:szCs w:val="24"/>
        </w:rPr>
        <w:t>in casu</w:t>
      </w:r>
      <w:r>
        <w:rPr>
          <w:rFonts w:ascii="Times New Roman" w:hAnsi="Times New Roman" w:cs="Times New Roman"/>
          <w:bCs/>
          <w:sz w:val="24"/>
          <w:szCs w:val="24"/>
        </w:rPr>
        <w:t>.</w:t>
      </w:r>
    </w:p>
    <w:p w:rsidR="00134250" w:rsidRDefault="0013425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said, these are the reasons for my decision:-</w:t>
      </w:r>
    </w:p>
    <w:p w:rsidR="00134250" w:rsidRDefault="0013425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was a member of the Zimbabwe Republic Police holding the rank of a Constable.  He was discharged from the Police Service</w:t>
      </w:r>
      <w:r w:rsidR="00AC7BF0">
        <w:rPr>
          <w:rFonts w:ascii="Times New Roman" w:hAnsi="Times New Roman" w:cs="Times New Roman"/>
          <w:bCs/>
          <w:sz w:val="24"/>
          <w:szCs w:val="24"/>
        </w:rPr>
        <w:t xml:space="preserve"> on medical grounds</w:t>
      </w:r>
      <w:r>
        <w:rPr>
          <w:rFonts w:ascii="Times New Roman" w:hAnsi="Times New Roman" w:cs="Times New Roman"/>
          <w:bCs/>
          <w:sz w:val="24"/>
          <w:szCs w:val="24"/>
        </w:rPr>
        <w:t xml:space="preserve"> on 30</w:t>
      </w:r>
      <w:r w:rsidR="00AC7BF0">
        <w:rPr>
          <w:rFonts w:ascii="Times New Roman" w:hAnsi="Times New Roman" w:cs="Times New Roman"/>
          <w:bCs/>
          <w:sz w:val="24"/>
          <w:szCs w:val="24"/>
        </w:rPr>
        <w:t xml:space="preserve"> July 2019.</w:t>
      </w:r>
      <w:r>
        <w:rPr>
          <w:rFonts w:ascii="Times New Roman" w:hAnsi="Times New Roman" w:cs="Times New Roman"/>
          <w:bCs/>
          <w:sz w:val="24"/>
          <w:szCs w:val="24"/>
        </w:rPr>
        <w:t xml:space="preserve"> Such discharge was in terms of section 20 of the Police Act, Chapter 11:10.</w:t>
      </w:r>
    </w:p>
    <w:p w:rsidR="00134250" w:rsidRDefault="0013425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20 provides that:-</w:t>
      </w:r>
    </w:p>
    <w:p w:rsidR="00134250" w:rsidRDefault="00134250" w:rsidP="00877F55">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Subject to subsection (2), the Commissioner-General may at any time discharge a Regular Force member, other than an officer, on the grounds of continued ill-health or some infirmity of body or mind which prevents the Regular force member from efficiently performing his duties.</w:t>
      </w:r>
    </w:p>
    <w:p w:rsidR="008576B8" w:rsidRDefault="008576B8" w:rsidP="00877F55">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t>The Commissioner-General shall not discharge a member in terms of subsection (1) unless a board appointed in terms of subsection (3) certifies that, in the opinion of that board, the member concerned is suffering from ill-health or infirmity referred to in subsection (1).</w:t>
      </w:r>
    </w:p>
    <w:p w:rsidR="008576B8" w:rsidRDefault="008576B8" w:rsidP="00877F55">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A board referred to in subsection (2) shall consist of two or more medical practitioners appointed by the Secretary responsible for health at the request of the Commissioner-General and the opinion of any two of such medical practitioners shall constitute the opinion of the board.”</w:t>
      </w:r>
    </w:p>
    <w:p w:rsidR="008576B8" w:rsidRDefault="008576B8"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applicant’s discharge came about following an incident which occurred whilst he was performing his duties.  The applicant was fixing a police vehicle when brake fluid spilt into his right eye.  The damage caused could not be reversed resulting in the applicant losing sight in that eye.</w:t>
      </w:r>
    </w:p>
    <w:p w:rsidR="00276BEB" w:rsidRDefault="00FB72AE"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first Medical B</w:t>
      </w:r>
      <w:r w:rsidR="00276BEB">
        <w:rPr>
          <w:rFonts w:ascii="Times New Roman" w:hAnsi="Times New Roman" w:cs="Times New Roman"/>
          <w:bCs/>
          <w:sz w:val="24"/>
          <w:szCs w:val="24"/>
        </w:rPr>
        <w:t>oard was convened on 13</w:t>
      </w:r>
      <w:r w:rsidR="00276BEB" w:rsidRPr="00276BEB">
        <w:rPr>
          <w:rFonts w:ascii="Times New Roman" w:hAnsi="Times New Roman" w:cs="Times New Roman"/>
          <w:bCs/>
          <w:sz w:val="24"/>
          <w:szCs w:val="24"/>
          <w:vertAlign w:val="superscript"/>
        </w:rPr>
        <w:t>th</w:t>
      </w:r>
      <w:r w:rsidR="00276BEB">
        <w:rPr>
          <w:rFonts w:ascii="Times New Roman" w:hAnsi="Times New Roman" w:cs="Times New Roman"/>
          <w:bCs/>
          <w:sz w:val="24"/>
          <w:szCs w:val="24"/>
        </w:rPr>
        <w:t xml:space="preserve"> March 2015 and the applicant was found to be fit for full duty.  Challenges experienced in the discharge of his duties led to a second board which was convened on 14</w:t>
      </w:r>
      <w:r w:rsidR="00276BEB" w:rsidRPr="00276BEB">
        <w:rPr>
          <w:rFonts w:ascii="Times New Roman" w:hAnsi="Times New Roman" w:cs="Times New Roman"/>
          <w:bCs/>
          <w:sz w:val="24"/>
          <w:szCs w:val="24"/>
          <w:vertAlign w:val="superscript"/>
        </w:rPr>
        <w:t>th</w:t>
      </w:r>
      <w:r w:rsidR="009910B7">
        <w:rPr>
          <w:rFonts w:ascii="Times New Roman" w:hAnsi="Times New Roman" w:cs="Times New Roman"/>
          <w:bCs/>
          <w:sz w:val="24"/>
          <w:szCs w:val="24"/>
        </w:rPr>
        <w:t xml:space="preserve"> February 2019.  The Medical B</w:t>
      </w:r>
      <w:r w:rsidR="00276BEB">
        <w:rPr>
          <w:rFonts w:ascii="Times New Roman" w:hAnsi="Times New Roman" w:cs="Times New Roman"/>
          <w:bCs/>
          <w:sz w:val="24"/>
          <w:szCs w:val="24"/>
        </w:rPr>
        <w:t>oard noted that the applicant had right eye blindness with no light perception.  He was experiencing pain and discomfort when exposed to sun and wind.</w:t>
      </w:r>
    </w:p>
    <w:p w:rsidR="00276BEB" w:rsidRDefault="00276BEB"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board considered that no further treatment was required and that the condition had not been aggravated by the member’s official duties.  Sick leave was not recommended and it was concluded that the member was not fit for eith</w:t>
      </w:r>
      <w:r w:rsidR="009910B7">
        <w:rPr>
          <w:rFonts w:ascii="Times New Roman" w:hAnsi="Times New Roman" w:cs="Times New Roman"/>
          <w:bCs/>
          <w:sz w:val="24"/>
          <w:szCs w:val="24"/>
        </w:rPr>
        <w:t>er full or light duty.  The Medical B</w:t>
      </w:r>
      <w:r>
        <w:rPr>
          <w:rFonts w:ascii="Times New Roman" w:hAnsi="Times New Roman" w:cs="Times New Roman"/>
          <w:bCs/>
          <w:sz w:val="24"/>
          <w:szCs w:val="24"/>
        </w:rPr>
        <w:t>oard further concluded that the member was permanently unfit to perform full duty in all respects and consideration should be given to his being discharged from the Force on medical grounds.  Two members of the Medical Board duly signed as the ones who certified the discharge.  The Secretary for Health agreed with the Medical Board’s opinion and duly signed on 21</w:t>
      </w:r>
      <w:r w:rsidRPr="00276BE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May 2019 culminating in the discharge.</w:t>
      </w:r>
    </w:p>
    <w:p w:rsidR="002C0B12" w:rsidRDefault="002C0B12"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Aggrieved with that</w:t>
      </w:r>
      <w:r w:rsidR="00E059BF">
        <w:rPr>
          <w:rFonts w:ascii="Times New Roman" w:hAnsi="Times New Roman" w:cs="Times New Roman"/>
          <w:bCs/>
          <w:sz w:val="24"/>
          <w:szCs w:val="24"/>
        </w:rPr>
        <w:t xml:space="preserve"> discharge the applicant noted a</w:t>
      </w:r>
      <w:r>
        <w:rPr>
          <w:rFonts w:ascii="Times New Roman" w:hAnsi="Times New Roman" w:cs="Times New Roman"/>
          <w:bCs/>
          <w:sz w:val="24"/>
          <w:szCs w:val="24"/>
        </w:rPr>
        <w:t>n appeal with the 1</w:t>
      </w:r>
      <w:r w:rsidRPr="002C0B1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It was not clear on the papers what happened to that appeal but a reading of the applicant’s submissions suggests that no appeal lay with the 1</w:t>
      </w:r>
      <w:r w:rsidRPr="002C0B1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for a discharge</w:t>
      </w:r>
      <w:r w:rsidR="004E2682">
        <w:rPr>
          <w:rFonts w:ascii="Times New Roman" w:hAnsi="Times New Roman" w:cs="Times New Roman"/>
          <w:bCs/>
          <w:sz w:val="24"/>
          <w:szCs w:val="24"/>
        </w:rPr>
        <w:t xml:space="preserve"> on medical grounds and such appeal</w:t>
      </w:r>
      <w:r w:rsidR="001C3C76">
        <w:rPr>
          <w:rFonts w:ascii="Times New Roman" w:hAnsi="Times New Roman" w:cs="Times New Roman"/>
          <w:bCs/>
          <w:sz w:val="24"/>
          <w:szCs w:val="24"/>
        </w:rPr>
        <w:t xml:space="preserve"> was</w:t>
      </w:r>
      <w:r w:rsidR="004E2682">
        <w:rPr>
          <w:rFonts w:ascii="Times New Roman" w:hAnsi="Times New Roman" w:cs="Times New Roman"/>
          <w:bCs/>
          <w:sz w:val="24"/>
          <w:szCs w:val="24"/>
        </w:rPr>
        <w:t xml:space="preserve"> t</w:t>
      </w:r>
      <w:r w:rsidR="00A32A42">
        <w:rPr>
          <w:rFonts w:ascii="Times New Roman" w:hAnsi="Times New Roman" w:cs="Times New Roman"/>
          <w:bCs/>
          <w:sz w:val="24"/>
          <w:szCs w:val="24"/>
        </w:rPr>
        <w:t xml:space="preserve">herefore not adjudicated on by </w:t>
      </w:r>
      <w:r w:rsidR="0043657A">
        <w:rPr>
          <w:rFonts w:ascii="Times New Roman" w:hAnsi="Times New Roman" w:cs="Times New Roman"/>
          <w:bCs/>
          <w:sz w:val="24"/>
          <w:szCs w:val="24"/>
        </w:rPr>
        <w:t>1</w:t>
      </w:r>
      <w:r w:rsidR="0043657A" w:rsidRPr="00502EC1">
        <w:rPr>
          <w:rFonts w:ascii="Times New Roman" w:hAnsi="Times New Roman" w:cs="Times New Roman"/>
          <w:bCs/>
          <w:sz w:val="24"/>
          <w:szCs w:val="24"/>
          <w:vertAlign w:val="superscript"/>
        </w:rPr>
        <w:t>st</w:t>
      </w:r>
      <w:r w:rsidR="0043657A">
        <w:rPr>
          <w:rFonts w:ascii="Times New Roman" w:hAnsi="Times New Roman" w:cs="Times New Roman"/>
          <w:bCs/>
          <w:sz w:val="24"/>
          <w:szCs w:val="24"/>
        </w:rPr>
        <w:t xml:space="preserve"> respondent</w:t>
      </w:r>
      <w:r w:rsidR="004E2682">
        <w:rPr>
          <w:rFonts w:ascii="Times New Roman" w:hAnsi="Times New Roman" w:cs="Times New Roman"/>
          <w:bCs/>
          <w:sz w:val="24"/>
          <w:szCs w:val="24"/>
        </w:rPr>
        <w:t>.</w:t>
      </w:r>
      <w:r>
        <w:rPr>
          <w:rFonts w:ascii="Times New Roman" w:hAnsi="Times New Roman" w:cs="Times New Roman"/>
          <w:bCs/>
          <w:sz w:val="24"/>
          <w:szCs w:val="24"/>
        </w:rPr>
        <w:t xml:space="preserve">  The applicant then filed an application </w:t>
      </w:r>
      <w:r w:rsidR="005E1631">
        <w:rPr>
          <w:rFonts w:ascii="Times New Roman" w:hAnsi="Times New Roman" w:cs="Times New Roman"/>
          <w:bCs/>
          <w:sz w:val="24"/>
          <w:szCs w:val="24"/>
        </w:rPr>
        <w:t>for review.  The grounds for review were given as:-</w:t>
      </w:r>
    </w:p>
    <w:p w:rsidR="005E1631" w:rsidRDefault="005E1631" w:rsidP="008011F0">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respondents erred in acting in concert and agreed to move against the principles of natural justice particularly acting maliciously in contrary t</w:t>
      </w:r>
      <w:r w:rsidR="00FC4CB8">
        <w:rPr>
          <w:rFonts w:ascii="Times New Roman" w:hAnsi="Times New Roman" w:cs="Times New Roman"/>
          <w:bCs/>
          <w:sz w:val="24"/>
          <w:szCs w:val="24"/>
        </w:rPr>
        <w:t>o the laid down principles. (</w:t>
      </w:r>
      <w:r w:rsidR="00FC4CB8" w:rsidRPr="00FC4CB8">
        <w:rPr>
          <w:rFonts w:ascii="Times New Roman" w:hAnsi="Times New Roman" w:cs="Times New Roman"/>
          <w:bCs/>
          <w:i/>
          <w:sz w:val="24"/>
          <w:szCs w:val="24"/>
        </w:rPr>
        <w:t>sic</w:t>
      </w:r>
      <w:r>
        <w:rPr>
          <w:rFonts w:ascii="Times New Roman" w:hAnsi="Times New Roman" w:cs="Times New Roman"/>
          <w:bCs/>
          <w:sz w:val="24"/>
          <w:szCs w:val="24"/>
        </w:rPr>
        <w:t>)</w:t>
      </w:r>
    </w:p>
    <w:p w:rsidR="005E1631" w:rsidRDefault="005E1631" w:rsidP="008011F0">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t>The 2</w:t>
      </w:r>
      <w:r w:rsidRPr="005E1631">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never followed the required procedure by ignoring the legislation and went on to discharge the applicant in a malicious manner.</w:t>
      </w:r>
    </w:p>
    <w:p w:rsidR="005E1631" w:rsidRDefault="005E1631" w:rsidP="008011F0">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The legislation is clear that the discharge is supposed to come out of a suitability board, however </w:t>
      </w:r>
      <w:r w:rsidRPr="00C04607">
        <w:rPr>
          <w:rFonts w:ascii="Times New Roman" w:hAnsi="Times New Roman" w:cs="Times New Roman"/>
          <w:bCs/>
          <w:i/>
          <w:sz w:val="24"/>
          <w:szCs w:val="24"/>
        </w:rPr>
        <w:t>in casu</w:t>
      </w:r>
      <w:r>
        <w:rPr>
          <w:rFonts w:ascii="Times New Roman" w:hAnsi="Times New Roman" w:cs="Times New Roman"/>
          <w:bCs/>
          <w:sz w:val="24"/>
          <w:szCs w:val="24"/>
        </w:rPr>
        <w:t xml:space="preserve"> the 2</w:t>
      </w:r>
      <w:r w:rsidRPr="005E1631">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discharged the applicant without following the relevant legislation.</w:t>
      </w:r>
    </w:p>
    <w:p w:rsidR="005E1631" w:rsidRDefault="005E1631" w:rsidP="008011F0">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The applicant’s right to be heard was violated in the circumstances </w:t>
      </w:r>
      <w:r w:rsidR="00894C60">
        <w:rPr>
          <w:rFonts w:ascii="Times New Roman" w:hAnsi="Times New Roman" w:cs="Times New Roman"/>
          <w:bCs/>
          <w:sz w:val="24"/>
          <w:szCs w:val="24"/>
        </w:rPr>
        <w:t>and hence the discharge cannot stand.</w:t>
      </w:r>
    </w:p>
    <w:p w:rsidR="00894C60" w:rsidRDefault="00894C60" w:rsidP="008011F0">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There was bias on the part of the 1</w:t>
      </w:r>
      <w:r w:rsidRPr="00894C6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when he inclined with the 2</w:t>
      </w:r>
      <w:r w:rsidRPr="00894C60">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in this malicious move (</w:t>
      </w:r>
      <w:r w:rsidRPr="00FC4CB8">
        <w:rPr>
          <w:rFonts w:ascii="Times New Roman" w:hAnsi="Times New Roman" w:cs="Times New Roman"/>
          <w:bCs/>
          <w:i/>
          <w:sz w:val="24"/>
          <w:szCs w:val="24"/>
        </w:rPr>
        <w:t>sic</w:t>
      </w:r>
      <w:r>
        <w:rPr>
          <w:rFonts w:ascii="Times New Roman" w:hAnsi="Times New Roman" w:cs="Times New Roman"/>
          <w:bCs/>
          <w:sz w:val="24"/>
          <w:szCs w:val="24"/>
        </w:rPr>
        <w:t>).</w:t>
      </w:r>
    </w:p>
    <w:p w:rsidR="00894C60" w:rsidRDefault="00894C6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applicant’s prayer was that the decision to discharge him be set aside and he be reinstated into the Zimbabwe Republic Police without loss of salary and benefits.</w:t>
      </w:r>
    </w:p>
    <w:p w:rsidR="00894C60" w:rsidRDefault="00894C6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opposing the application the respondents contended that the applicant was discharged on medical grounds.  Such decision was arrived at following the convening of a Medical Board which was done procedurally.</w:t>
      </w:r>
    </w:p>
    <w:p w:rsidR="00894C60" w:rsidRDefault="00894C6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Medical Board’s opinion is expert opinion and where a member is discharged as a result of such opinion no appeal is provided for in terms of the law.</w:t>
      </w:r>
    </w:p>
    <w:p w:rsidR="00894C60" w:rsidRDefault="00894C6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Two or more medical practitioners duly appointed by the Secretary for Health at the request of the Commissioner General constituted the board and in terms of the law the opinion of any two of such medical practitioners constitutes the board’s opinion.  This procedure was followed, the applicant made representations in writing and so there was nothing irregular or irrational with the procedure and the resultant decision.</w:t>
      </w:r>
    </w:p>
    <w:p w:rsidR="00894C60" w:rsidRDefault="00894C60"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the hearing of the application the applicant had secured the services of a </w:t>
      </w:r>
      <w:r w:rsidR="00281DA1">
        <w:rPr>
          <w:rFonts w:ascii="Times New Roman" w:hAnsi="Times New Roman" w:cs="Times New Roman"/>
          <w:bCs/>
          <w:sz w:val="24"/>
          <w:szCs w:val="24"/>
        </w:rPr>
        <w:t xml:space="preserve">legal practitioner.  </w:t>
      </w:r>
      <w:r w:rsidR="00281DA1" w:rsidRPr="008316A2">
        <w:rPr>
          <w:rFonts w:ascii="Times New Roman" w:hAnsi="Times New Roman" w:cs="Times New Roman"/>
          <w:bCs/>
          <w:i/>
          <w:sz w:val="24"/>
          <w:szCs w:val="24"/>
        </w:rPr>
        <w:t>Mr G Sengweni</w:t>
      </w:r>
      <w:r w:rsidR="00281DA1">
        <w:rPr>
          <w:rFonts w:ascii="Times New Roman" w:hAnsi="Times New Roman" w:cs="Times New Roman"/>
          <w:bCs/>
          <w:sz w:val="24"/>
          <w:szCs w:val="24"/>
        </w:rPr>
        <w:t>, counsel for the applicant conceded that the procedure followe</w:t>
      </w:r>
      <w:r w:rsidR="005B3573">
        <w:rPr>
          <w:rFonts w:ascii="Times New Roman" w:hAnsi="Times New Roman" w:cs="Times New Roman"/>
          <w:bCs/>
          <w:sz w:val="24"/>
          <w:szCs w:val="24"/>
        </w:rPr>
        <w:t>d was as provided for in s</w:t>
      </w:r>
      <w:r w:rsidR="00281DA1">
        <w:rPr>
          <w:rFonts w:ascii="Times New Roman" w:hAnsi="Times New Roman" w:cs="Times New Roman"/>
          <w:bCs/>
          <w:sz w:val="24"/>
          <w:szCs w:val="24"/>
        </w:rPr>
        <w:t xml:space="preserve">20 of the Police Act.  </w:t>
      </w:r>
      <w:r w:rsidR="00AD0E30">
        <w:rPr>
          <w:rFonts w:ascii="Times New Roman" w:hAnsi="Times New Roman" w:cs="Times New Roman"/>
          <w:bCs/>
          <w:sz w:val="24"/>
          <w:szCs w:val="24"/>
        </w:rPr>
        <w:t xml:space="preserve">Counsel further submitted that the main reason or ground for </w:t>
      </w:r>
      <w:r w:rsidR="00281DA1">
        <w:rPr>
          <w:rFonts w:ascii="Times New Roman" w:hAnsi="Times New Roman" w:cs="Times New Roman"/>
          <w:bCs/>
          <w:sz w:val="24"/>
          <w:szCs w:val="24"/>
        </w:rPr>
        <w:t>review was premised on the fact that the applicant could have been considered for other duties.</w:t>
      </w:r>
    </w:p>
    <w:p w:rsidR="00281DA1" w:rsidRDefault="00281DA1"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response to a question posed by the court counsel accepted that the applicant’s discharge followed expert opinion from two medical doctors and the court was not qualified to disregard or question such opinion.</w:t>
      </w:r>
    </w:p>
    <w:p w:rsidR="00281DA1" w:rsidRDefault="00281DA1" w:rsidP="008011F0">
      <w:pPr>
        <w:spacing w:line="360" w:lineRule="auto"/>
        <w:ind w:firstLine="720"/>
        <w:jc w:val="both"/>
        <w:rPr>
          <w:rFonts w:ascii="Times New Roman" w:hAnsi="Times New Roman" w:cs="Times New Roman"/>
          <w:bCs/>
          <w:sz w:val="24"/>
          <w:szCs w:val="24"/>
        </w:rPr>
      </w:pPr>
      <w:r w:rsidRPr="008316A2">
        <w:rPr>
          <w:rFonts w:ascii="Times New Roman" w:hAnsi="Times New Roman" w:cs="Times New Roman"/>
          <w:bCs/>
          <w:i/>
          <w:sz w:val="24"/>
          <w:szCs w:val="24"/>
        </w:rPr>
        <w:lastRenderedPageBreak/>
        <w:t>Ms Mwatsveruka</w:t>
      </w:r>
      <w:r>
        <w:rPr>
          <w:rFonts w:ascii="Times New Roman" w:hAnsi="Times New Roman" w:cs="Times New Roman"/>
          <w:bCs/>
          <w:sz w:val="24"/>
          <w:szCs w:val="24"/>
        </w:rPr>
        <w:t xml:space="preserve"> for the respondent also abandoned the points </w:t>
      </w:r>
      <w:r w:rsidRPr="0065092F">
        <w:rPr>
          <w:rFonts w:ascii="Times New Roman" w:hAnsi="Times New Roman" w:cs="Times New Roman"/>
          <w:bCs/>
          <w:i/>
          <w:sz w:val="24"/>
          <w:szCs w:val="24"/>
        </w:rPr>
        <w:t>in limine</w:t>
      </w:r>
      <w:r>
        <w:rPr>
          <w:rFonts w:ascii="Times New Roman" w:hAnsi="Times New Roman" w:cs="Times New Roman"/>
          <w:bCs/>
          <w:sz w:val="24"/>
          <w:szCs w:val="24"/>
        </w:rPr>
        <w:t xml:space="preserve"> the respondents had raised and argued on the merit</w:t>
      </w:r>
      <w:r w:rsidR="001E494E">
        <w:rPr>
          <w:rFonts w:ascii="Times New Roman" w:hAnsi="Times New Roman" w:cs="Times New Roman"/>
          <w:bCs/>
          <w:sz w:val="24"/>
          <w:szCs w:val="24"/>
        </w:rPr>
        <w:t>s</w:t>
      </w:r>
      <w:r>
        <w:rPr>
          <w:rFonts w:ascii="Times New Roman" w:hAnsi="Times New Roman" w:cs="Times New Roman"/>
          <w:bCs/>
          <w:sz w:val="24"/>
          <w:szCs w:val="24"/>
        </w:rPr>
        <w:t>.</w:t>
      </w:r>
    </w:p>
    <w:p w:rsidR="00281DA1" w:rsidRDefault="00281DA1"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therefore did not consider such points </w:t>
      </w:r>
      <w:r w:rsidRPr="0065092F">
        <w:rPr>
          <w:rFonts w:ascii="Times New Roman" w:hAnsi="Times New Roman" w:cs="Times New Roman"/>
          <w:bCs/>
          <w:i/>
          <w:sz w:val="24"/>
          <w:szCs w:val="24"/>
        </w:rPr>
        <w:t>in limine</w:t>
      </w:r>
      <w:r>
        <w:rPr>
          <w:rFonts w:ascii="Times New Roman" w:hAnsi="Times New Roman" w:cs="Times New Roman"/>
          <w:bCs/>
          <w:sz w:val="24"/>
          <w:szCs w:val="24"/>
        </w:rPr>
        <w:t xml:space="preserve"> in light of counsel’s attitude.</w:t>
      </w:r>
    </w:p>
    <w:p w:rsidR="00281DA1" w:rsidRDefault="00281DA1"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considered Mr </w:t>
      </w:r>
      <w:r w:rsidR="00DB3DBF">
        <w:rPr>
          <w:rFonts w:ascii="Times New Roman" w:hAnsi="Times New Roman" w:cs="Times New Roman"/>
          <w:bCs/>
          <w:sz w:val="24"/>
          <w:szCs w:val="24"/>
        </w:rPr>
        <w:t>Sengweni’s</w:t>
      </w:r>
      <w:bookmarkStart w:id="0" w:name="_GoBack"/>
      <w:bookmarkEnd w:id="0"/>
      <w:r>
        <w:rPr>
          <w:rFonts w:ascii="Times New Roman" w:hAnsi="Times New Roman" w:cs="Times New Roman"/>
          <w:bCs/>
          <w:sz w:val="24"/>
          <w:szCs w:val="24"/>
        </w:rPr>
        <w:t xml:space="preserve"> concessions as properly made.  This is so because the first ground of review attacked the decision on the basis that the respondents had acted against the principles of natural justice and acted maliciously, contrary to laid down procedures.</w:t>
      </w:r>
    </w:p>
    <w:p w:rsidR="00037368" w:rsidRDefault="00037368"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record however shows that a Medical Board was convened and in 2015 that board was of the opinion that the applicant was able</w:t>
      </w:r>
      <w:r w:rsidR="00B34C99">
        <w:rPr>
          <w:rFonts w:ascii="Times New Roman" w:hAnsi="Times New Roman" w:cs="Times New Roman"/>
          <w:bCs/>
          <w:sz w:val="24"/>
          <w:szCs w:val="24"/>
        </w:rPr>
        <w:t xml:space="preserve"> to</w:t>
      </w:r>
      <w:r>
        <w:rPr>
          <w:rFonts w:ascii="Times New Roman" w:hAnsi="Times New Roman" w:cs="Times New Roman"/>
          <w:bCs/>
          <w:sz w:val="24"/>
          <w:szCs w:val="24"/>
        </w:rPr>
        <w:t xml:space="preserve"> resume full duty.  However due to the problems he was still experiencing a second board was convened in 2019 and the applicant was allowed to make written representations on the state of his disability, where he had been treated and when and whether his condition had improved or deteriorated from the last Medical Board.  He was subsequently examined as is apparent from the Medical Board proceedings and the doctors gave their expert opinion which the respondents subsequently acted on.</w:t>
      </w:r>
    </w:p>
    <w:p w:rsidR="00027E98" w:rsidRDefault="00027E98"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Where a person alleges bias the onus is on them to show that bias was clearly or actually displayed and that in the circumstances there was a real possibility of bias.  (</w:t>
      </w:r>
      <w:r w:rsidR="000607BA">
        <w:rPr>
          <w:rFonts w:ascii="Times New Roman" w:hAnsi="Times New Roman" w:cs="Times New Roman"/>
          <w:bCs/>
          <w:i/>
          <w:sz w:val="24"/>
          <w:szCs w:val="24"/>
        </w:rPr>
        <w:t>City and Subur</w:t>
      </w:r>
      <w:r w:rsidRPr="000607BA">
        <w:rPr>
          <w:rFonts w:ascii="Times New Roman" w:hAnsi="Times New Roman" w:cs="Times New Roman"/>
          <w:bCs/>
          <w:i/>
          <w:sz w:val="24"/>
          <w:szCs w:val="24"/>
        </w:rPr>
        <w:t>ban</w:t>
      </w:r>
      <w:r>
        <w:rPr>
          <w:rFonts w:ascii="Times New Roman" w:hAnsi="Times New Roman" w:cs="Times New Roman"/>
          <w:bCs/>
          <w:sz w:val="24"/>
          <w:szCs w:val="24"/>
        </w:rPr>
        <w:t xml:space="preserve"> </w:t>
      </w:r>
      <w:r w:rsidRPr="000607BA">
        <w:rPr>
          <w:rFonts w:ascii="Times New Roman" w:hAnsi="Times New Roman" w:cs="Times New Roman"/>
          <w:bCs/>
          <w:i/>
          <w:sz w:val="24"/>
          <w:szCs w:val="24"/>
        </w:rPr>
        <w:t>Transport (Pvt) Ltd</w:t>
      </w:r>
      <w:r>
        <w:rPr>
          <w:rFonts w:ascii="Times New Roman" w:hAnsi="Times New Roman" w:cs="Times New Roman"/>
          <w:bCs/>
          <w:sz w:val="24"/>
          <w:szCs w:val="24"/>
        </w:rPr>
        <w:t xml:space="preserve"> v </w:t>
      </w:r>
      <w:r w:rsidRPr="000607BA">
        <w:rPr>
          <w:rFonts w:ascii="Times New Roman" w:hAnsi="Times New Roman" w:cs="Times New Roman"/>
          <w:bCs/>
          <w:i/>
          <w:sz w:val="24"/>
          <w:szCs w:val="24"/>
        </w:rPr>
        <w:t>Local Road Transp</w:t>
      </w:r>
      <w:r w:rsidR="00D64362" w:rsidRPr="000607BA">
        <w:rPr>
          <w:rFonts w:ascii="Times New Roman" w:hAnsi="Times New Roman" w:cs="Times New Roman"/>
          <w:bCs/>
          <w:i/>
          <w:sz w:val="24"/>
          <w:szCs w:val="24"/>
        </w:rPr>
        <w:t>ortation Johannesburg</w:t>
      </w:r>
      <w:r w:rsidR="00D64362">
        <w:rPr>
          <w:rFonts w:ascii="Times New Roman" w:hAnsi="Times New Roman" w:cs="Times New Roman"/>
          <w:bCs/>
          <w:sz w:val="24"/>
          <w:szCs w:val="24"/>
        </w:rPr>
        <w:t xml:space="preserve"> 1932 WLD 100, </w:t>
      </w:r>
      <w:r w:rsidR="00D64362" w:rsidRPr="000607BA">
        <w:rPr>
          <w:rFonts w:ascii="Times New Roman" w:hAnsi="Times New Roman" w:cs="Times New Roman"/>
          <w:bCs/>
          <w:i/>
          <w:sz w:val="24"/>
          <w:szCs w:val="24"/>
        </w:rPr>
        <w:t>Matapo and</w:t>
      </w:r>
      <w:r w:rsidR="00D64362">
        <w:rPr>
          <w:rFonts w:ascii="Times New Roman" w:hAnsi="Times New Roman" w:cs="Times New Roman"/>
          <w:bCs/>
          <w:sz w:val="24"/>
          <w:szCs w:val="24"/>
        </w:rPr>
        <w:t xml:space="preserve"> </w:t>
      </w:r>
      <w:r w:rsidR="00D64362" w:rsidRPr="000607BA">
        <w:rPr>
          <w:rFonts w:ascii="Times New Roman" w:hAnsi="Times New Roman" w:cs="Times New Roman"/>
          <w:bCs/>
          <w:i/>
          <w:sz w:val="24"/>
          <w:szCs w:val="24"/>
        </w:rPr>
        <w:t>Ors</w:t>
      </w:r>
      <w:r w:rsidR="00D64362">
        <w:rPr>
          <w:rFonts w:ascii="Times New Roman" w:hAnsi="Times New Roman" w:cs="Times New Roman"/>
          <w:bCs/>
          <w:sz w:val="24"/>
          <w:szCs w:val="24"/>
        </w:rPr>
        <w:t xml:space="preserve"> v </w:t>
      </w:r>
      <w:r w:rsidR="00D64362" w:rsidRPr="000607BA">
        <w:rPr>
          <w:rFonts w:ascii="Times New Roman" w:hAnsi="Times New Roman" w:cs="Times New Roman"/>
          <w:bCs/>
          <w:i/>
          <w:sz w:val="24"/>
          <w:szCs w:val="24"/>
        </w:rPr>
        <w:t>Bhila N.O and Anor</w:t>
      </w:r>
      <w:r w:rsidR="00D64362">
        <w:rPr>
          <w:rFonts w:ascii="Times New Roman" w:hAnsi="Times New Roman" w:cs="Times New Roman"/>
          <w:bCs/>
          <w:sz w:val="24"/>
          <w:szCs w:val="24"/>
        </w:rPr>
        <w:t xml:space="preserve"> 2010 (1) ZLR 321).</w:t>
      </w:r>
    </w:p>
    <w:p w:rsidR="00D64362" w:rsidRDefault="00D64362"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No malice or bias was shown in the manner the Medical Board was convened.</w:t>
      </w:r>
      <w:r w:rsidR="00115651">
        <w:rPr>
          <w:rFonts w:ascii="Times New Roman" w:hAnsi="Times New Roman" w:cs="Times New Roman"/>
          <w:bCs/>
          <w:sz w:val="24"/>
          <w:szCs w:val="24"/>
        </w:rPr>
        <w:t xml:space="preserve"> It was not suggested that the medical doctors did not act independently and as expected of them whilst executing their professional duties.</w:t>
      </w:r>
      <w:r w:rsidR="001F3BEA">
        <w:rPr>
          <w:rFonts w:ascii="Times New Roman" w:hAnsi="Times New Roman" w:cs="Times New Roman"/>
          <w:bCs/>
          <w:sz w:val="24"/>
          <w:szCs w:val="24"/>
        </w:rPr>
        <w:t xml:space="preserve"> </w:t>
      </w:r>
      <w:r>
        <w:rPr>
          <w:rFonts w:ascii="Times New Roman" w:hAnsi="Times New Roman" w:cs="Times New Roman"/>
          <w:bCs/>
          <w:sz w:val="24"/>
          <w:szCs w:val="24"/>
        </w:rPr>
        <w:t>The 2</w:t>
      </w:r>
      <w:r w:rsidRPr="00D6436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acted on the expert opinion of the doctors who constituted the Medical Board.  There was therefore nothing but a bald assertion that the respondents acted maliciously and contrary to laid down procedures.  The laid down procedures were followed.</w:t>
      </w:r>
    </w:p>
    <w:p w:rsidR="00D64362" w:rsidRDefault="00D64362"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and second ground of review raised the same issue of malice and failure to follow laid down procedure.  However as counsel for the applicant correctly conceded the correct procedure was followed.  The fact that the 2</w:t>
      </w:r>
      <w:r w:rsidRPr="00D6436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acted on the expert opinion and discharged the applicant shows no malice.</w:t>
      </w:r>
    </w:p>
    <w:p w:rsidR="00D64362" w:rsidRDefault="001F3BEA"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Equally the complaint</w:t>
      </w:r>
      <w:r w:rsidR="00D64362">
        <w:rPr>
          <w:rFonts w:ascii="Times New Roman" w:hAnsi="Times New Roman" w:cs="Times New Roman"/>
          <w:bCs/>
          <w:sz w:val="24"/>
          <w:szCs w:val="24"/>
        </w:rPr>
        <w:t xml:space="preserve"> that a suitability board was not convened stems from a </w:t>
      </w:r>
      <w:r>
        <w:rPr>
          <w:rFonts w:ascii="Times New Roman" w:hAnsi="Times New Roman" w:cs="Times New Roman"/>
          <w:bCs/>
          <w:sz w:val="24"/>
          <w:szCs w:val="24"/>
        </w:rPr>
        <w:t>failure to appreciate the correc</w:t>
      </w:r>
      <w:r w:rsidR="008A526E">
        <w:rPr>
          <w:rFonts w:ascii="Times New Roman" w:hAnsi="Times New Roman" w:cs="Times New Roman"/>
          <w:bCs/>
          <w:sz w:val="24"/>
          <w:szCs w:val="24"/>
        </w:rPr>
        <w:t xml:space="preserve">t procedure.  Section 20 is clear on the procedure to be followed before a regular member is discharged on medical grounds and that is the procedure which was followed </w:t>
      </w:r>
      <w:r w:rsidR="008A526E" w:rsidRPr="00CB6F1D">
        <w:rPr>
          <w:rFonts w:ascii="Times New Roman" w:hAnsi="Times New Roman" w:cs="Times New Roman"/>
          <w:bCs/>
          <w:i/>
          <w:sz w:val="24"/>
          <w:szCs w:val="24"/>
        </w:rPr>
        <w:lastRenderedPageBreak/>
        <w:t>in casu</w:t>
      </w:r>
      <w:r w:rsidR="008A526E">
        <w:rPr>
          <w:rFonts w:ascii="Times New Roman" w:hAnsi="Times New Roman" w:cs="Times New Roman"/>
          <w:bCs/>
          <w:sz w:val="24"/>
          <w:szCs w:val="24"/>
        </w:rPr>
        <w:t>.</w:t>
      </w:r>
      <w:r w:rsidR="00E9402F">
        <w:rPr>
          <w:rFonts w:ascii="Times New Roman" w:hAnsi="Times New Roman" w:cs="Times New Roman"/>
          <w:bCs/>
          <w:sz w:val="24"/>
          <w:szCs w:val="24"/>
        </w:rPr>
        <w:t xml:space="preserve"> A Medical Board sat and 2 medical doctors examined the applicant, considered his written submissions as reflected on the Medical Board proceedings and concluded that consideration be made to retire him on medical grounds.</w:t>
      </w:r>
    </w:p>
    <w:p w:rsidR="008A526E" w:rsidRDefault="00B0612C"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reviewing administrative decisions the court must be wary of usurping the powers of that body.  In </w:t>
      </w:r>
      <w:r w:rsidRPr="00C50994">
        <w:rPr>
          <w:rFonts w:ascii="Times New Roman" w:hAnsi="Times New Roman" w:cs="Times New Roman"/>
          <w:bCs/>
          <w:i/>
          <w:sz w:val="24"/>
          <w:szCs w:val="24"/>
        </w:rPr>
        <w:t>Mugiya</w:t>
      </w:r>
      <w:r>
        <w:rPr>
          <w:rFonts w:ascii="Times New Roman" w:hAnsi="Times New Roman" w:cs="Times New Roman"/>
          <w:bCs/>
          <w:sz w:val="24"/>
          <w:szCs w:val="24"/>
        </w:rPr>
        <w:t xml:space="preserve"> v </w:t>
      </w:r>
      <w:r w:rsidRPr="00C50994">
        <w:rPr>
          <w:rFonts w:ascii="Times New Roman" w:hAnsi="Times New Roman" w:cs="Times New Roman"/>
          <w:bCs/>
          <w:i/>
          <w:sz w:val="24"/>
          <w:szCs w:val="24"/>
        </w:rPr>
        <w:t>Police Service Commission and Anor</w:t>
      </w:r>
      <w:r>
        <w:rPr>
          <w:rFonts w:ascii="Times New Roman" w:hAnsi="Times New Roman" w:cs="Times New Roman"/>
          <w:bCs/>
          <w:sz w:val="24"/>
          <w:szCs w:val="24"/>
        </w:rPr>
        <w:t xml:space="preserve"> 2010 (2) ZLR 185 G</w:t>
      </w:r>
      <w:r w:rsidRPr="00C50994">
        <w:rPr>
          <w:rFonts w:ascii="Times New Roman" w:hAnsi="Times New Roman" w:cs="Times New Roman"/>
          <w:bCs/>
          <w:sz w:val="20"/>
          <w:szCs w:val="20"/>
        </w:rPr>
        <w:t xml:space="preserve">OWORA J </w:t>
      </w:r>
      <w:r>
        <w:rPr>
          <w:rFonts w:ascii="Times New Roman" w:hAnsi="Times New Roman" w:cs="Times New Roman"/>
          <w:bCs/>
          <w:sz w:val="24"/>
          <w:szCs w:val="24"/>
        </w:rPr>
        <w:t>(as she then was) put it as follows:-</w:t>
      </w:r>
    </w:p>
    <w:p w:rsidR="00B0612C" w:rsidRDefault="00B0612C" w:rsidP="0024160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r w:rsidR="001A3B8E">
        <w:rPr>
          <w:rFonts w:ascii="Times New Roman" w:hAnsi="Times New Roman" w:cs="Times New Roman"/>
          <w:bCs/>
          <w:sz w:val="24"/>
          <w:szCs w:val="24"/>
        </w:rPr>
        <w:t>Judicial review is a process which is concerned with the examination and supervision by the courts of the manner in which administrative bodies have observed their obligations when related to legislative requirements …</w:t>
      </w:r>
      <w:r w:rsidR="00B7757F">
        <w:rPr>
          <w:rFonts w:ascii="Times New Roman" w:hAnsi="Times New Roman" w:cs="Times New Roman"/>
          <w:bCs/>
          <w:sz w:val="24"/>
          <w:szCs w:val="24"/>
        </w:rPr>
        <w:t>…</w:t>
      </w:r>
      <w:r w:rsidR="001A3B8E">
        <w:rPr>
          <w:rFonts w:ascii="Times New Roman" w:hAnsi="Times New Roman" w:cs="Times New Roman"/>
          <w:bCs/>
          <w:sz w:val="24"/>
          <w:szCs w:val="24"/>
        </w:rPr>
        <w:t xml:space="preserve">  The power to review is inherent in courts of superior jurisdiction, but such power is limited to the legality of the administrative action or decision.”</w:t>
      </w:r>
    </w:p>
    <w:p w:rsidR="001A3B8E" w:rsidRDefault="001A3B8E"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Without a finding of bias, malice or a failure to adhere to set down procedures, this court cannot extend its powers in a manner that usurps the authority and power of the administrative body.  No illegality was shown </w:t>
      </w:r>
      <w:r w:rsidRPr="006B5603">
        <w:rPr>
          <w:rFonts w:ascii="Times New Roman" w:hAnsi="Times New Roman" w:cs="Times New Roman"/>
          <w:bCs/>
          <w:i/>
          <w:sz w:val="24"/>
          <w:szCs w:val="24"/>
        </w:rPr>
        <w:t>in casu</w:t>
      </w:r>
      <w:r>
        <w:rPr>
          <w:rFonts w:ascii="Times New Roman" w:hAnsi="Times New Roman" w:cs="Times New Roman"/>
          <w:bCs/>
          <w:sz w:val="24"/>
          <w:szCs w:val="24"/>
        </w:rPr>
        <w:t xml:space="preserve"> to warrant the setting aside of the respondents’ decision.</w:t>
      </w:r>
    </w:p>
    <w:p w:rsidR="001A0B5E" w:rsidRDefault="001A0B5E"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process of review is for the court to examine the circumstances under which the administrative body reached its decision, and it is not open to the court, in a judicial review, to scrutinise the decision lest the court is accused of usurping the powers of the administrative body.  See </w:t>
      </w:r>
      <w:r w:rsidRPr="006B5603">
        <w:rPr>
          <w:rFonts w:ascii="Times New Roman" w:hAnsi="Times New Roman" w:cs="Times New Roman"/>
          <w:bCs/>
          <w:i/>
          <w:sz w:val="24"/>
          <w:szCs w:val="24"/>
        </w:rPr>
        <w:t>Chief Constable</w:t>
      </w:r>
      <w:r>
        <w:rPr>
          <w:rFonts w:ascii="Times New Roman" w:hAnsi="Times New Roman" w:cs="Times New Roman"/>
          <w:bCs/>
          <w:sz w:val="24"/>
          <w:szCs w:val="24"/>
        </w:rPr>
        <w:t xml:space="preserve"> v </w:t>
      </w:r>
      <w:r w:rsidRPr="006B5603">
        <w:rPr>
          <w:rFonts w:ascii="Times New Roman" w:hAnsi="Times New Roman" w:cs="Times New Roman"/>
          <w:bCs/>
          <w:i/>
          <w:sz w:val="24"/>
          <w:szCs w:val="24"/>
        </w:rPr>
        <w:t xml:space="preserve">Evans </w:t>
      </w:r>
      <w:r>
        <w:rPr>
          <w:rFonts w:ascii="Times New Roman" w:hAnsi="Times New Roman" w:cs="Times New Roman"/>
          <w:bCs/>
          <w:sz w:val="24"/>
          <w:szCs w:val="24"/>
        </w:rPr>
        <w:t>(1982) 3 ALL ER 141 at 154, where Lord B</w:t>
      </w:r>
      <w:r w:rsidRPr="006B5603">
        <w:rPr>
          <w:rFonts w:ascii="Times New Roman" w:hAnsi="Times New Roman" w:cs="Times New Roman"/>
          <w:bCs/>
          <w:sz w:val="20"/>
          <w:szCs w:val="20"/>
        </w:rPr>
        <w:t xml:space="preserve">RIGHTMAN </w:t>
      </w:r>
      <w:r>
        <w:rPr>
          <w:rFonts w:ascii="Times New Roman" w:hAnsi="Times New Roman" w:cs="Times New Roman"/>
          <w:bCs/>
          <w:sz w:val="24"/>
          <w:szCs w:val="24"/>
        </w:rPr>
        <w:t>stated:-</w:t>
      </w:r>
    </w:p>
    <w:p w:rsidR="001A0B5E" w:rsidRDefault="001A0B5E" w:rsidP="006B560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“Judicial review is concerned, not with the decision, but with the decision making </w:t>
      </w:r>
      <w:r w:rsidR="00206CA3">
        <w:rPr>
          <w:rFonts w:ascii="Times New Roman" w:hAnsi="Times New Roman" w:cs="Times New Roman"/>
          <w:bCs/>
          <w:sz w:val="24"/>
          <w:szCs w:val="24"/>
        </w:rPr>
        <w:t>process.  Un</w:t>
      </w:r>
      <w:r>
        <w:rPr>
          <w:rFonts w:ascii="Times New Roman" w:hAnsi="Times New Roman" w:cs="Times New Roman"/>
          <w:bCs/>
          <w:sz w:val="24"/>
          <w:szCs w:val="24"/>
        </w:rPr>
        <w:t>less that restriction on the power of the court is observed, the court will in my view under the guise of preventing the abuse of power, be itself guilty of usurping power.</w:t>
      </w:r>
      <w:r w:rsidR="00206CA3">
        <w:rPr>
          <w:rFonts w:ascii="Times New Roman" w:hAnsi="Times New Roman" w:cs="Times New Roman"/>
          <w:bCs/>
          <w:sz w:val="24"/>
          <w:szCs w:val="24"/>
        </w:rPr>
        <w:t>”</w:t>
      </w:r>
      <w:r>
        <w:rPr>
          <w:rFonts w:ascii="Times New Roman" w:hAnsi="Times New Roman" w:cs="Times New Roman"/>
          <w:bCs/>
          <w:sz w:val="24"/>
          <w:szCs w:val="24"/>
        </w:rPr>
        <w:t xml:space="preserve"> (per G</w:t>
      </w:r>
      <w:r w:rsidRPr="006B5603">
        <w:rPr>
          <w:rFonts w:ascii="Times New Roman" w:hAnsi="Times New Roman" w:cs="Times New Roman"/>
          <w:bCs/>
          <w:sz w:val="20"/>
          <w:szCs w:val="20"/>
        </w:rPr>
        <w:t>OWORA J</w:t>
      </w:r>
      <w:r>
        <w:rPr>
          <w:rFonts w:ascii="Times New Roman" w:hAnsi="Times New Roman" w:cs="Times New Roman"/>
          <w:bCs/>
          <w:sz w:val="24"/>
          <w:szCs w:val="24"/>
        </w:rPr>
        <w:t xml:space="preserve"> in </w:t>
      </w:r>
      <w:r w:rsidRPr="006B5603">
        <w:rPr>
          <w:rFonts w:ascii="Times New Roman" w:hAnsi="Times New Roman" w:cs="Times New Roman"/>
          <w:bCs/>
          <w:i/>
          <w:sz w:val="24"/>
          <w:szCs w:val="24"/>
        </w:rPr>
        <w:t>Mugiya</w:t>
      </w:r>
      <w:r>
        <w:rPr>
          <w:rFonts w:ascii="Times New Roman" w:hAnsi="Times New Roman" w:cs="Times New Roman"/>
          <w:bCs/>
          <w:sz w:val="24"/>
          <w:szCs w:val="24"/>
        </w:rPr>
        <w:t xml:space="preserve"> v </w:t>
      </w:r>
      <w:r w:rsidRPr="006B5603">
        <w:rPr>
          <w:rFonts w:ascii="Times New Roman" w:hAnsi="Times New Roman" w:cs="Times New Roman"/>
          <w:bCs/>
          <w:i/>
          <w:sz w:val="24"/>
          <w:szCs w:val="24"/>
        </w:rPr>
        <w:t>Police Service Commission and Anor</w:t>
      </w:r>
      <w:r>
        <w:rPr>
          <w:rFonts w:ascii="Times New Roman" w:hAnsi="Times New Roman" w:cs="Times New Roman"/>
          <w:bCs/>
          <w:sz w:val="24"/>
          <w:szCs w:val="24"/>
        </w:rPr>
        <w:t xml:space="preserve"> (supra)</w:t>
      </w:r>
    </w:p>
    <w:p w:rsidR="006562EA" w:rsidRDefault="006562EA" w:rsidP="008011F0">
      <w:pPr>
        <w:spacing w:line="360" w:lineRule="auto"/>
        <w:ind w:firstLine="720"/>
        <w:jc w:val="both"/>
        <w:rPr>
          <w:rFonts w:ascii="Times New Roman" w:hAnsi="Times New Roman" w:cs="Times New Roman"/>
          <w:bCs/>
          <w:sz w:val="24"/>
          <w:szCs w:val="24"/>
        </w:rPr>
      </w:pPr>
      <w:r w:rsidRPr="006B5603">
        <w:rPr>
          <w:rFonts w:ascii="Times New Roman" w:hAnsi="Times New Roman" w:cs="Times New Roman"/>
          <w:bCs/>
          <w:i/>
          <w:sz w:val="24"/>
          <w:szCs w:val="24"/>
        </w:rPr>
        <w:t>In casu</w:t>
      </w:r>
      <w:r>
        <w:rPr>
          <w:rFonts w:ascii="Times New Roman" w:hAnsi="Times New Roman" w:cs="Times New Roman"/>
          <w:bCs/>
          <w:sz w:val="24"/>
          <w:szCs w:val="24"/>
        </w:rPr>
        <w:t xml:space="preserve"> the correct procedur</w:t>
      </w:r>
      <w:r w:rsidR="00AF6105">
        <w:rPr>
          <w:rFonts w:ascii="Times New Roman" w:hAnsi="Times New Roman" w:cs="Times New Roman"/>
          <w:bCs/>
          <w:sz w:val="24"/>
          <w:szCs w:val="24"/>
        </w:rPr>
        <w:t>e was followed. T</w:t>
      </w:r>
      <w:r>
        <w:rPr>
          <w:rFonts w:ascii="Times New Roman" w:hAnsi="Times New Roman" w:cs="Times New Roman"/>
          <w:bCs/>
          <w:sz w:val="24"/>
          <w:szCs w:val="24"/>
        </w:rPr>
        <w:t>he matter hinged on expert medical opinion which the respondents had no influence or say in.  The applicant had an opportunity to engage with the process as his input is evident on the Medical Board proceedings.  On what basis therefore can this court interfere with a decis</w:t>
      </w:r>
      <w:r w:rsidR="00291998">
        <w:rPr>
          <w:rFonts w:ascii="Times New Roman" w:hAnsi="Times New Roman" w:cs="Times New Roman"/>
          <w:bCs/>
          <w:sz w:val="24"/>
          <w:szCs w:val="24"/>
        </w:rPr>
        <w:t>i</w:t>
      </w:r>
      <w:r>
        <w:rPr>
          <w:rFonts w:ascii="Times New Roman" w:hAnsi="Times New Roman" w:cs="Times New Roman"/>
          <w:bCs/>
          <w:sz w:val="24"/>
          <w:szCs w:val="24"/>
        </w:rPr>
        <w:t>on</w:t>
      </w:r>
      <w:r w:rsidR="001C0B56">
        <w:rPr>
          <w:rFonts w:ascii="Times New Roman" w:hAnsi="Times New Roman" w:cs="Times New Roman"/>
          <w:bCs/>
          <w:sz w:val="24"/>
          <w:szCs w:val="24"/>
        </w:rPr>
        <w:t xml:space="preserve"> arrived at after adherence to the set procedure</w:t>
      </w:r>
      <w:r w:rsidR="00AC174A">
        <w:rPr>
          <w:rFonts w:ascii="Times New Roman" w:hAnsi="Times New Roman" w:cs="Times New Roman"/>
          <w:bCs/>
          <w:sz w:val="24"/>
          <w:szCs w:val="24"/>
        </w:rPr>
        <w:t>?</w:t>
      </w:r>
      <w:r w:rsidR="00DC399B">
        <w:rPr>
          <w:rFonts w:ascii="Times New Roman" w:hAnsi="Times New Roman" w:cs="Times New Roman"/>
          <w:bCs/>
          <w:sz w:val="24"/>
          <w:szCs w:val="24"/>
        </w:rPr>
        <w:t xml:space="preserve"> What other procedure except that set out in s20 were the respondents supposed to follow and failed to? I pose these rhetorical questions just to demonstrate that the proper procedure was duly followed.</w:t>
      </w:r>
    </w:p>
    <w:p w:rsidR="00AC174A" w:rsidRDefault="00AC174A"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Can this court hold that the respondents ought to have disregarded the findings of the Medical Board and found some other duties for the applicant to perform within the Force?  Where would this court derive such powers?</w:t>
      </w:r>
    </w:p>
    <w:p w:rsidR="00AC174A" w:rsidRDefault="00AC174A" w:rsidP="008011F0">
      <w:pPr>
        <w:spacing w:line="360" w:lineRule="auto"/>
        <w:ind w:firstLine="720"/>
        <w:jc w:val="both"/>
        <w:rPr>
          <w:rFonts w:ascii="Times New Roman" w:hAnsi="Times New Roman" w:cs="Times New Roman"/>
          <w:bCs/>
          <w:sz w:val="24"/>
          <w:szCs w:val="24"/>
        </w:rPr>
      </w:pPr>
      <w:r w:rsidRPr="005F3174">
        <w:rPr>
          <w:rFonts w:ascii="Times New Roman" w:hAnsi="Times New Roman" w:cs="Times New Roman"/>
          <w:bCs/>
          <w:i/>
          <w:sz w:val="24"/>
          <w:szCs w:val="24"/>
        </w:rPr>
        <w:t>Mr Sengweni</w:t>
      </w:r>
      <w:r>
        <w:rPr>
          <w:rFonts w:ascii="Times New Roman" w:hAnsi="Times New Roman" w:cs="Times New Roman"/>
          <w:bCs/>
          <w:sz w:val="24"/>
          <w:szCs w:val="24"/>
        </w:rPr>
        <w:t xml:space="preserve"> all but conceded that a case for the setting aside of the respondents’ decision had not been made.</w:t>
      </w:r>
    </w:p>
    <w:p w:rsidR="00AC174A" w:rsidRDefault="00AC174A"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had also sought to be reinstated into the Force without loss of salary and benefits.  In </w:t>
      </w:r>
      <w:r w:rsidRPr="005F3174">
        <w:rPr>
          <w:rFonts w:ascii="Times New Roman" w:hAnsi="Times New Roman" w:cs="Times New Roman"/>
          <w:bCs/>
          <w:i/>
          <w:sz w:val="24"/>
          <w:szCs w:val="24"/>
        </w:rPr>
        <w:t>Police Service Commission and Anor</w:t>
      </w:r>
      <w:r>
        <w:rPr>
          <w:rFonts w:ascii="Times New Roman" w:hAnsi="Times New Roman" w:cs="Times New Roman"/>
          <w:bCs/>
          <w:sz w:val="24"/>
          <w:szCs w:val="24"/>
        </w:rPr>
        <w:t xml:space="preserve"> </w:t>
      </w:r>
      <w:r w:rsidR="00AF6105">
        <w:rPr>
          <w:rFonts w:ascii="Times New Roman" w:hAnsi="Times New Roman" w:cs="Times New Roman"/>
          <w:bCs/>
          <w:sz w:val="24"/>
          <w:szCs w:val="24"/>
        </w:rPr>
        <w:t xml:space="preserve">v </w:t>
      </w:r>
      <w:r w:rsidR="00AF6105" w:rsidRPr="005F3174">
        <w:rPr>
          <w:rFonts w:ascii="Times New Roman" w:hAnsi="Times New Roman" w:cs="Times New Roman"/>
          <w:bCs/>
          <w:i/>
          <w:sz w:val="24"/>
          <w:szCs w:val="24"/>
        </w:rPr>
        <w:t>Manyoni</w:t>
      </w:r>
      <w:r>
        <w:rPr>
          <w:rFonts w:ascii="Times New Roman" w:hAnsi="Times New Roman" w:cs="Times New Roman"/>
          <w:bCs/>
          <w:sz w:val="24"/>
          <w:szCs w:val="24"/>
        </w:rPr>
        <w:t xml:space="preserve"> SC 7-22 G</w:t>
      </w:r>
      <w:r w:rsidRPr="005F3174">
        <w:rPr>
          <w:rFonts w:ascii="Times New Roman" w:hAnsi="Times New Roman" w:cs="Times New Roman"/>
          <w:bCs/>
          <w:sz w:val="20"/>
          <w:szCs w:val="20"/>
        </w:rPr>
        <w:t>UVAVA JA</w:t>
      </w:r>
      <w:r>
        <w:rPr>
          <w:rFonts w:ascii="Times New Roman" w:hAnsi="Times New Roman" w:cs="Times New Roman"/>
          <w:bCs/>
          <w:sz w:val="24"/>
          <w:szCs w:val="24"/>
        </w:rPr>
        <w:t xml:space="preserve"> succinctly put it thus:-</w:t>
      </w:r>
    </w:p>
    <w:p w:rsidR="00AC174A" w:rsidRDefault="00AC174A" w:rsidP="005F3174">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“Section 28 provides that the High Court can only set aside or correct the proceedings or decision complained of.  The High Court has no power to order reinstatement of a person if a matter is brought on review.”</w:t>
      </w:r>
    </w:p>
    <w:p w:rsidR="00AC174A" w:rsidRDefault="00AC174A" w:rsidP="008011F0">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 applicant was therefore asking the court to do that which it cannot legally do.</w:t>
      </w:r>
    </w:p>
    <w:p w:rsidR="00AC174A" w:rsidRDefault="00AC174A"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was </w:t>
      </w:r>
      <w:r w:rsidR="009C739C">
        <w:rPr>
          <w:rFonts w:ascii="Times New Roman" w:hAnsi="Times New Roman" w:cs="Times New Roman"/>
          <w:bCs/>
          <w:sz w:val="24"/>
          <w:szCs w:val="24"/>
        </w:rPr>
        <w:t>a self-actor up to the date of hearing of the application.  Whilst costs follow the cause I was of the view that the applicant should not be punished with an order for costs.  The circumstances of the matter informed this decision.</w:t>
      </w:r>
    </w:p>
    <w:p w:rsidR="009C739C" w:rsidRDefault="009C739C" w:rsidP="008011F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for the foregoing reasons that I dismissed the application as already set out earlier on in this judgment.</w:t>
      </w:r>
    </w:p>
    <w:p w:rsidR="00005A83" w:rsidRDefault="00005A83" w:rsidP="00005A83">
      <w:pPr>
        <w:spacing w:line="360" w:lineRule="auto"/>
        <w:jc w:val="both"/>
        <w:rPr>
          <w:rFonts w:ascii="Times New Roman" w:hAnsi="Times New Roman" w:cs="Times New Roman"/>
          <w:bCs/>
          <w:sz w:val="24"/>
          <w:szCs w:val="24"/>
        </w:rPr>
      </w:pPr>
    </w:p>
    <w:p w:rsidR="00005A83" w:rsidRDefault="00005A83" w:rsidP="00005A83">
      <w:pPr>
        <w:spacing w:line="360" w:lineRule="auto"/>
        <w:jc w:val="both"/>
        <w:rPr>
          <w:rFonts w:ascii="Times New Roman" w:hAnsi="Times New Roman" w:cs="Times New Roman"/>
          <w:bCs/>
          <w:sz w:val="24"/>
          <w:szCs w:val="24"/>
        </w:rPr>
      </w:pPr>
    </w:p>
    <w:p w:rsidR="00005A83" w:rsidRDefault="00005A83" w:rsidP="00005A83">
      <w:pPr>
        <w:spacing w:line="360" w:lineRule="auto"/>
        <w:jc w:val="both"/>
        <w:rPr>
          <w:rFonts w:ascii="Times New Roman" w:hAnsi="Times New Roman" w:cs="Times New Roman"/>
          <w:bCs/>
          <w:sz w:val="24"/>
          <w:szCs w:val="24"/>
        </w:rPr>
      </w:pPr>
    </w:p>
    <w:p w:rsidR="00005A83" w:rsidRDefault="00005A83" w:rsidP="00005A83">
      <w:pPr>
        <w:pStyle w:val="NoSpacing"/>
      </w:pPr>
      <w:r w:rsidRPr="00005A83">
        <w:rPr>
          <w:i/>
        </w:rPr>
        <w:t>Sengweni Legal Practice</w:t>
      </w:r>
      <w:r>
        <w:t>, applicant’s legal practitioners</w:t>
      </w:r>
    </w:p>
    <w:p w:rsidR="00005A83" w:rsidRDefault="00005A83" w:rsidP="00005A83">
      <w:pPr>
        <w:pStyle w:val="NoSpacing"/>
      </w:pPr>
      <w:r w:rsidRPr="00005A83">
        <w:rPr>
          <w:i/>
        </w:rPr>
        <w:t>Civil Division of the Attorney General’s Office</w:t>
      </w:r>
      <w:r>
        <w:t>, respondents’ legal practitioners</w:t>
      </w:r>
    </w:p>
    <w:p w:rsidR="00673583" w:rsidRDefault="00673583" w:rsidP="00005A83">
      <w:pPr>
        <w:pStyle w:val="NoSpacing"/>
      </w:pPr>
    </w:p>
    <w:sectPr w:rsidR="006735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B21" w:rsidRDefault="00294B21" w:rsidP="008011F0">
      <w:pPr>
        <w:spacing w:after="0" w:line="240" w:lineRule="auto"/>
      </w:pPr>
      <w:r>
        <w:separator/>
      </w:r>
    </w:p>
  </w:endnote>
  <w:endnote w:type="continuationSeparator" w:id="0">
    <w:p w:rsidR="00294B21" w:rsidRDefault="00294B21" w:rsidP="0080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B21" w:rsidRDefault="00294B21" w:rsidP="008011F0">
      <w:pPr>
        <w:spacing w:after="0" w:line="240" w:lineRule="auto"/>
      </w:pPr>
      <w:r>
        <w:separator/>
      </w:r>
    </w:p>
  </w:footnote>
  <w:footnote w:type="continuationSeparator" w:id="0">
    <w:p w:rsidR="00294B21" w:rsidRDefault="00294B21" w:rsidP="00801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79544"/>
      <w:docPartObj>
        <w:docPartGallery w:val="Page Numbers (Top of Page)"/>
        <w:docPartUnique/>
      </w:docPartObj>
    </w:sdtPr>
    <w:sdtEndPr>
      <w:rPr>
        <w:rFonts w:ascii="Times New Roman" w:hAnsi="Times New Roman" w:cs="Times New Roman"/>
        <w:noProof/>
        <w:sz w:val="24"/>
        <w:szCs w:val="24"/>
      </w:rPr>
    </w:sdtEndPr>
    <w:sdtContent>
      <w:p w:rsidR="008011F0" w:rsidRPr="008011F0" w:rsidRDefault="008011F0">
        <w:pPr>
          <w:pStyle w:val="Header"/>
          <w:jc w:val="right"/>
          <w:rPr>
            <w:rFonts w:ascii="Times New Roman" w:hAnsi="Times New Roman" w:cs="Times New Roman"/>
            <w:noProof/>
            <w:sz w:val="24"/>
            <w:szCs w:val="24"/>
          </w:rPr>
        </w:pPr>
        <w:r w:rsidRPr="008011F0">
          <w:rPr>
            <w:rFonts w:ascii="Times New Roman" w:hAnsi="Times New Roman" w:cs="Times New Roman"/>
            <w:sz w:val="24"/>
            <w:szCs w:val="24"/>
          </w:rPr>
          <w:fldChar w:fldCharType="begin"/>
        </w:r>
        <w:r w:rsidRPr="008011F0">
          <w:rPr>
            <w:rFonts w:ascii="Times New Roman" w:hAnsi="Times New Roman" w:cs="Times New Roman"/>
            <w:sz w:val="24"/>
            <w:szCs w:val="24"/>
          </w:rPr>
          <w:instrText xml:space="preserve"> PAGE   \* MERGEFORMAT </w:instrText>
        </w:r>
        <w:r w:rsidRPr="008011F0">
          <w:rPr>
            <w:rFonts w:ascii="Times New Roman" w:hAnsi="Times New Roman" w:cs="Times New Roman"/>
            <w:sz w:val="24"/>
            <w:szCs w:val="24"/>
          </w:rPr>
          <w:fldChar w:fldCharType="separate"/>
        </w:r>
        <w:r w:rsidR="00484000">
          <w:rPr>
            <w:rFonts w:ascii="Times New Roman" w:hAnsi="Times New Roman" w:cs="Times New Roman"/>
            <w:noProof/>
            <w:sz w:val="24"/>
            <w:szCs w:val="24"/>
          </w:rPr>
          <w:t>6</w:t>
        </w:r>
        <w:r w:rsidRPr="008011F0">
          <w:rPr>
            <w:rFonts w:ascii="Times New Roman" w:hAnsi="Times New Roman" w:cs="Times New Roman"/>
            <w:noProof/>
            <w:sz w:val="24"/>
            <w:szCs w:val="24"/>
          </w:rPr>
          <w:fldChar w:fldCharType="end"/>
        </w:r>
      </w:p>
      <w:p w:rsidR="008011F0" w:rsidRPr="008011F0" w:rsidRDefault="008011F0">
        <w:pPr>
          <w:pStyle w:val="Header"/>
          <w:jc w:val="right"/>
          <w:rPr>
            <w:rFonts w:ascii="Times New Roman" w:hAnsi="Times New Roman" w:cs="Times New Roman"/>
            <w:noProof/>
            <w:sz w:val="24"/>
            <w:szCs w:val="24"/>
          </w:rPr>
        </w:pPr>
        <w:r w:rsidRPr="008011F0">
          <w:rPr>
            <w:rFonts w:ascii="Times New Roman" w:hAnsi="Times New Roman" w:cs="Times New Roman"/>
            <w:noProof/>
            <w:sz w:val="24"/>
            <w:szCs w:val="24"/>
          </w:rPr>
          <w:t>HB</w:t>
        </w:r>
        <w:r w:rsidR="00094B64">
          <w:rPr>
            <w:rFonts w:ascii="Times New Roman" w:hAnsi="Times New Roman" w:cs="Times New Roman"/>
            <w:noProof/>
            <w:sz w:val="24"/>
            <w:szCs w:val="24"/>
          </w:rPr>
          <w:t xml:space="preserve"> 112/23</w:t>
        </w:r>
      </w:p>
      <w:p w:rsidR="008011F0" w:rsidRPr="008011F0" w:rsidRDefault="008011F0">
        <w:pPr>
          <w:pStyle w:val="Header"/>
          <w:jc w:val="right"/>
          <w:rPr>
            <w:rFonts w:ascii="Times New Roman" w:hAnsi="Times New Roman" w:cs="Times New Roman"/>
            <w:sz w:val="24"/>
            <w:szCs w:val="24"/>
          </w:rPr>
        </w:pPr>
        <w:r w:rsidRPr="008011F0">
          <w:rPr>
            <w:rFonts w:ascii="Times New Roman" w:hAnsi="Times New Roman" w:cs="Times New Roman"/>
            <w:noProof/>
            <w:sz w:val="24"/>
            <w:szCs w:val="24"/>
          </w:rPr>
          <w:t>HC 616/21</w:t>
        </w:r>
      </w:p>
    </w:sdtContent>
  </w:sdt>
  <w:p w:rsidR="008011F0" w:rsidRDefault="00801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D007C"/>
    <w:multiLevelType w:val="hybridMultilevel"/>
    <w:tmpl w:val="87CAEA96"/>
    <w:lvl w:ilvl="0" w:tplc="1E66B7FA">
      <w:start w:val="7"/>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565514"/>
    <w:multiLevelType w:val="hybridMultilevel"/>
    <w:tmpl w:val="DF707862"/>
    <w:lvl w:ilvl="0" w:tplc="14F8CF86">
      <w:start w:val="1"/>
      <w:numFmt w:val="upperLetter"/>
      <w:lvlText w:val="%1."/>
      <w:lvlJc w:val="left"/>
      <w:pPr>
        <w:ind w:left="420" w:hanging="360"/>
      </w:pPr>
      <w:rPr>
        <w:i/>
      </w:rPr>
    </w:lvl>
    <w:lvl w:ilvl="1" w:tplc="30090019">
      <w:start w:val="1"/>
      <w:numFmt w:val="lowerLetter"/>
      <w:lvlText w:val="%2."/>
      <w:lvlJc w:val="left"/>
      <w:pPr>
        <w:ind w:left="1140" w:hanging="360"/>
      </w:pPr>
    </w:lvl>
    <w:lvl w:ilvl="2" w:tplc="3009001B">
      <w:start w:val="1"/>
      <w:numFmt w:val="lowerRoman"/>
      <w:lvlText w:val="%3."/>
      <w:lvlJc w:val="right"/>
      <w:pPr>
        <w:ind w:left="1860" w:hanging="180"/>
      </w:pPr>
    </w:lvl>
    <w:lvl w:ilvl="3" w:tplc="3009000F">
      <w:start w:val="1"/>
      <w:numFmt w:val="decimal"/>
      <w:lvlText w:val="%4."/>
      <w:lvlJc w:val="left"/>
      <w:pPr>
        <w:ind w:left="2580" w:hanging="360"/>
      </w:pPr>
    </w:lvl>
    <w:lvl w:ilvl="4" w:tplc="30090019">
      <w:start w:val="1"/>
      <w:numFmt w:val="lowerLetter"/>
      <w:lvlText w:val="%5."/>
      <w:lvlJc w:val="left"/>
      <w:pPr>
        <w:ind w:left="3300" w:hanging="360"/>
      </w:pPr>
    </w:lvl>
    <w:lvl w:ilvl="5" w:tplc="3009001B">
      <w:start w:val="1"/>
      <w:numFmt w:val="lowerRoman"/>
      <w:lvlText w:val="%6."/>
      <w:lvlJc w:val="right"/>
      <w:pPr>
        <w:ind w:left="4020" w:hanging="180"/>
      </w:pPr>
    </w:lvl>
    <w:lvl w:ilvl="6" w:tplc="3009000F">
      <w:start w:val="1"/>
      <w:numFmt w:val="decimal"/>
      <w:lvlText w:val="%7."/>
      <w:lvlJc w:val="left"/>
      <w:pPr>
        <w:ind w:left="4740" w:hanging="360"/>
      </w:pPr>
    </w:lvl>
    <w:lvl w:ilvl="7" w:tplc="30090019">
      <w:start w:val="1"/>
      <w:numFmt w:val="lowerLetter"/>
      <w:lvlText w:val="%8."/>
      <w:lvlJc w:val="left"/>
      <w:pPr>
        <w:ind w:left="5460" w:hanging="360"/>
      </w:pPr>
    </w:lvl>
    <w:lvl w:ilvl="8" w:tplc="3009001B">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8D"/>
    <w:rsid w:val="00005A83"/>
    <w:rsid w:val="00027E98"/>
    <w:rsid w:val="00037368"/>
    <w:rsid w:val="000607BA"/>
    <w:rsid w:val="00080464"/>
    <w:rsid w:val="00094B64"/>
    <w:rsid w:val="000C0E4F"/>
    <w:rsid w:val="000E267C"/>
    <w:rsid w:val="00115651"/>
    <w:rsid w:val="00134250"/>
    <w:rsid w:val="001A0B5E"/>
    <w:rsid w:val="001A3B8E"/>
    <w:rsid w:val="001C0B56"/>
    <w:rsid w:val="001C3C76"/>
    <w:rsid w:val="001E494E"/>
    <w:rsid w:val="001F3BEA"/>
    <w:rsid w:val="00206CA3"/>
    <w:rsid w:val="00223694"/>
    <w:rsid w:val="00241603"/>
    <w:rsid w:val="00276BEB"/>
    <w:rsid w:val="00281DA1"/>
    <w:rsid w:val="00291998"/>
    <w:rsid w:val="00294B21"/>
    <w:rsid w:val="002C0B12"/>
    <w:rsid w:val="00334C9C"/>
    <w:rsid w:val="00393190"/>
    <w:rsid w:val="0043657A"/>
    <w:rsid w:val="0047650C"/>
    <w:rsid w:val="00484000"/>
    <w:rsid w:val="004856B0"/>
    <w:rsid w:val="004E2682"/>
    <w:rsid w:val="00502EC1"/>
    <w:rsid w:val="005747D8"/>
    <w:rsid w:val="005B3573"/>
    <w:rsid w:val="005E1631"/>
    <w:rsid w:val="005F3174"/>
    <w:rsid w:val="0062388D"/>
    <w:rsid w:val="0065092F"/>
    <w:rsid w:val="006562EA"/>
    <w:rsid w:val="00673583"/>
    <w:rsid w:val="006B5603"/>
    <w:rsid w:val="00752099"/>
    <w:rsid w:val="007D27B3"/>
    <w:rsid w:val="007F2204"/>
    <w:rsid w:val="008011F0"/>
    <w:rsid w:val="008316A2"/>
    <w:rsid w:val="008576B8"/>
    <w:rsid w:val="00867CF0"/>
    <w:rsid w:val="00877F55"/>
    <w:rsid w:val="00894C60"/>
    <w:rsid w:val="008A526E"/>
    <w:rsid w:val="009910B7"/>
    <w:rsid w:val="009A497F"/>
    <w:rsid w:val="009C739C"/>
    <w:rsid w:val="00A32A42"/>
    <w:rsid w:val="00AA73D4"/>
    <w:rsid w:val="00AC174A"/>
    <w:rsid w:val="00AC7BF0"/>
    <w:rsid w:val="00AD0E30"/>
    <w:rsid w:val="00AF6105"/>
    <w:rsid w:val="00B0612C"/>
    <w:rsid w:val="00B34C99"/>
    <w:rsid w:val="00B64EDA"/>
    <w:rsid w:val="00B7757F"/>
    <w:rsid w:val="00C04607"/>
    <w:rsid w:val="00C50994"/>
    <w:rsid w:val="00CA0A24"/>
    <w:rsid w:val="00CB6F1D"/>
    <w:rsid w:val="00D64362"/>
    <w:rsid w:val="00DB3DBF"/>
    <w:rsid w:val="00DC2BF8"/>
    <w:rsid w:val="00DC399B"/>
    <w:rsid w:val="00E01C82"/>
    <w:rsid w:val="00E059BF"/>
    <w:rsid w:val="00E07C51"/>
    <w:rsid w:val="00E850E9"/>
    <w:rsid w:val="00E9402F"/>
    <w:rsid w:val="00EE3678"/>
    <w:rsid w:val="00FB72AE"/>
    <w:rsid w:val="00FC4C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FB782-95B5-4FD5-AD0B-FB5D311E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88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88D"/>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E1631"/>
    <w:pPr>
      <w:ind w:left="720"/>
      <w:contextualSpacing/>
    </w:pPr>
  </w:style>
  <w:style w:type="paragraph" w:styleId="Header">
    <w:name w:val="header"/>
    <w:basedOn w:val="Normal"/>
    <w:link w:val="HeaderChar"/>
    <w:uiPriority w:val="99"/>
    <w:unhideWhenUsed/>
    <w:rsid w:val="00801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1F0"/>
  </w:style>
  <w:style w:type="paragraph" w:styleId="Footer">
    <w:name w:val="footer"/>
    <w:basedOn w:val="Normal"/>
    <w:link w:val="FooterChar"/>
    <w:uiPriority w:val="99"/>
    <w:unhideWhenUsed/>
    <w:rsid w:val="00801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8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cp:lastModifiedBy>
  <cp:revision>68</cp:revision>
  <dcterms:created xsi:type="dcterms:W3CDTF">2023-06-14T06:44:00Z</dcterms:created>
  <dcterms:modified xsi:type="dcterms:W3CDTF">2023-06-16T11:41:00Z</dcterms:modified>
</cp:coreProperties>
</file>