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bookmarkStart w:id="0" w:name="_GoBack"/>
      <w:bookmarkEnd w:id="0"/>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 LC/H/</w:t>
      </w:r>
      <w:r w:rsidR="00C37A46">
        <w:rPr>
          <w:rFonts w:ascii="Tahoma" w:hAnsi="Tahoma" w:cs="Tahoma"/>
          <w:b/>
          <w:sz w:val="24"/>
          <w:szCs w:val="24"/>
        </w:rPr>
        <w:t>157</w:t>
      </w:r>
      <w:r w:rsidR="001109B5">
        <w:rPr>
          <w:rFonts w:ascii="Tahoma" w:hAnsi="Tahoma" w:cs="Tahoma"/>
          <w:b/>
          <w:sz w:val="24"/>
          <w:szCs w:val="24"/>
        </w:rPr>
        <w:t>/2021</w:t>
      </w:r>
    </w:p>
    <w:p w:rsidR="00AA4716" w:rsidRDefault="00B6348A" w:rsidP="000029A6">
      <w:pPr>
        <w:spacing w:after="0" w:line="360" w:lineRule="auto"/>
        <w:jc w:val="both"/>
        <w:rPr>
          <w:rFonts w:ascii="Tahoma" w:hAnsi="Tahoma" w:cs="Tahoma"/>
          <w:b/>
          <w:sz w:val="24"/>
          <w:szCs w:val="24"/>
        </w:rPr>
      </w:pPr>
      <w:r>
        <w:rPr>
          <w:rFonts w:ascii="Tahoma" w:hAnsi="Tahoma" w:cs="Tahoma"/>
          <w:b/>
          <w:sz w:val="24"/>
          <w:szCs w:val="24"/>
        </w:rPr>
        <w:t>HARARE, 19 JULY, 2021</w:t>
      </w:r>
      <w:r>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sidR="00CB1C1C">
        <w:rPr>
          <w:rFonts w:ascii="Tahoma" w:hAnsi="Tahoma" w:cs="Tahoma"/>
          <w:b/>
          <w:sz w:val="24"/>
          <w:szCs w:val="24"/>
        </w:rPr>
        <w:t>CASE NO. LC/H/APP/848/18</w:t>
      </w:r>
    </w:p>
    <w:p w:rsidR="00CB1C1C" w:rsidRDefault="00AD6895" w:rsidP="000029A6">
      <w:pPr>
        <w:spacing w:after="0" w:line="360" w:lineRule="auto"/>
        <w:jc w:val="both"/>
        <w:rPr>
          <w:rFonts w:ascii="Tahoma" w:hAnsi="Tahoma" w:cs="Tahoma"/>
          <w:b/>
          <w:sz w:val="24"/>
          <w:szCs w:val="24"/>
        </w:rPr>
      </w:pPr>
      <w:r>
        <w:rPr>
          <w:rFonts w:ascii="Tahoma" w:hAnsi="Tahoma" w:cs="Tahoma"/>
          <w:b/>
          <w:sz w:val="24"/>
          <w:szCs w:val="24"/>
        </w:rPr>
        <w:t>AND 8 OCTOBER</w:t>
      </w:r>
      <w:r w:rsidR="00CB1C1C">
        <w:rPr>
          <w:rFonts w:ascii="Tahoma" w:hAnsi="Tahoma" w:cs="Tahoma"/>
          <w:b/>
          <w:sz w:val="24"/>
          <w:szCs w:val="24"/>
        </w:rPr>
        <w:t>,2021</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CB1C1C" w:rsidP="00997C5C">
      <w:pPr>
        <w:spacing w:after="0" w:line="480" w:lineRule="auto"/>
        <w:jc w:val="both"/>
        <w:rPr>
          <w:rFonts w:ascii="Tahoma" w:hAnsi="Tahoma" w:cs="Tahoma"/>
          <w:b/>
          <w:sz w:val="24"/>
          <w:szCs w:val="24"/>
        </w:rPr>
      </w:pPr>
      <w:r>
        <w:rPr>
          <w:rFonts w:ascii="Tahoma" w:hAnsi="Tahoma" w:cs="Tahoma"/>
          <w:b/>
          <w:sz w:val="24"/>
          <w:szCs w:val="24"/>
        </w:rPr>
        <w:t>GETRUDE SIGAUKE</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r>
      <w:r>
        <w:rPr>
          <w:rFonts w:ascii="Tahoma" w:hAnsi="Tahoma" w:cs="Tahoma"/>
          <w:b/>
          <w:sz w:val="24"/>
          <w:szCs w:val="24"/>
        </w:rPr>
        <w:tab/>
      </w:r>
      <w:r w:rsidR="00997C5C">
        <w:rPr>
          <w:rFonts w:ascii="Tahoma" w:hAnsi="Tahoma" w:cs="Tahoma"/>
          <w:b/>
          <w:sz w:val="24"/>
          <w:szCs w:val="24"/>
        </w:rPr>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CB1C1C" w:rsidRDefault="00CB1C1C" w:rsidP="00CB1C1C">
      <w:pPr>
        <w:spacing w:after="0" w:line="276" w:lineRule="auto"/>
        <w:jc w:val="both"/>
        <w:rPr>
          <w:rFonts w:ascii="Tahoma" w:hAnsi="Tahoma" w:cs="Tahoma"/>
          <w:b/>
          <w:sz w:val="24"/>
          <w:szCs w:val="24"/>
        </w:rPr>
      </w:pPr>
      <w:r>
        <w:rPr>
          <w:rFonts w:ascii="Tahoma" w:hAnsi="Tahoma" w:cs="Tahoma"/>
          <w:b/>
          <w:sz w:val="24"/>
          <w:szCs w:val="24"/>
        </w:rPr>
        <w:t>MINISTER OF PRIMARY AND SECONDARY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p>
    <w:p w:rsidR="00997C5C" w:rsidRDefault="00CB1C1C" w:rsidP="00CB1C1C">
      <w:pPr>
        <w:spacing w:after="0" w:line="276" w:lineRule="auto"/>
        <w:jc w:val="both"/>
        <w:rPr>
          <w:rFonts w:ascii="Tahoma" w:hAnsi="Tahoma" w:cs="Tahoma"/>
          <w:b/>
          <w:sz w:val="24"/>
          <w:szCs w:val="24"/>
        </w:rPr>
      </w:pPr>
      <w:r>
        <w:rPr>
          <w:rFonts w:ascii="Tahoma" w:hAnsi="Tahoma" w:cs="Tahoma"/>
          <w:b/>
          <w:sz w:val="24"/>
          <w:szCs w:val="24"/>
        </w:rPr>
        <w:t>EDUCATION</w:t>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p>
    <w:p w:rsidR="00283F6F" w:rsidRDefault="00283F6F" w:rsidP="00997C5C">
      <w:pPr>
        <w:spacing w:after="0" w:line="48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9B787C" w:rsidRDefault="00997C5C" w:rsidP="006B357A">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F81665">
        <w:rPr>
          <w:rFonts w:ascii="Tahoma" w:hAnsi="Tahoma" w:cs="Tahoma"/>
          <w:sz w:val="24"/>
          <w:szCs w:val="24"/>
        </w:rPr>
        <w:tab/>
        <w:t>Muracho G. K (Legal Practitioner)</w:t>
      </w:r>
    </w:p>
    <w:p w:rsidR="00CB1C1C" w:rsidRPr="00DF3B3D" w:rsidRDefault="0061198E" w:rsidP="006B357A">
      <w:pPr>
        <w:spacing w:after="0" w:line="360" w:lineRule="auto"/>
        <w:ind w:left="4320" w:hanging="4320"/>
        <w:jc w:val="both"/>
        <w:rPr>
          <w:rFonts w:ascii="Tahoma" w:hAnsi="Tahoma" w:cs="Tahoma"/>
          <w:sz w:val="24"/>
          <w:szCs w:val="24"/>
        </w:rPr>
      </w:pPr>
      <w:r>
        <w:rPr>
          <w:rFonts w:ascii="Tahoma" w:hAnsi="Tahoma" w:cs="Tahoma"/>
          <w:sz w:val="24"/>
          <w:szCs w:val="24"/>
        </w:rPr>
        <w:tab/>
      </w:r>
    </w:p>
    <w:p w:rsidR="0008442D" w:rsidRDefault="0008442D" w:rsidP="006B357A">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r w:rsidR="009B787C">
        <w:rPr>
          <w:rFonts w:ascii="Tahoma" w:hAnsi="Tahoma" w:cs="Tahoma"/>
          <w:sz w:val="24"/>
          <w:szCs w:val="24"/>
        </w:rPr>
        <w:t>L. T. Muradzikwa (Civil Division)</w:t>
      </w:r>
    </w:p>
    <w:p w:rsidR="006B357A" w:rsidRDefault="006B357A"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AE3110" w:rsidRDefault="006B357A" w:rsidP="004B7118">
      <w:pPr>
        <w:spacing w:after="0" w:line="360" w:lineRule="auto"/>
        <w:jc w:val="both"/>
        <w:rPr>
          <w:rFonts w:ascii="Tahoma" w:hAnsi="Tahoma" w:cs="Tahoma"/>
          <w:sz w:val="24"/>
          <w:szCs w:val="24"/>
        </w:rPr>
      </w:pPr>
      <w:r>
        <w:rPr>
          <w:rFonts w:ascii="Tahoma" w:hAnsi="Tahoma" w:cs="Tahoma"/>
          <w:b/>
          <w:sz w:val="24"/>
          <w:szCs w:val="24"/>
        </w:rPr>
        <w:tab/>
      </w:r>
      <w:r w:rsidR="00F81665" w:rsidRPr="00F81665">
        <w:rPr>
          <w:rFonts w:ascii="Tahoma" w:hAnsi="Tahoma" w:cs="Tahoma"/>
          <w:sz w:val="24"/>
          <w:szCs w:val="24"/>
        </w:rPr>
        <w:t>This is an application</w:t>
      </w:r>
      <w:r w:rsidR="00F81665">
        <w:rPr>
          <w:rFonts w:ascii="Tahoma" w:hAnsi="Tahoma" w:cs="Tahoma"/>
          <w:sz w:val="24"/>
          <w:szCs w:val="24"/>
        </w:rPr>
        <w:t xml:space="preserve"> in terms of section</w:t>
      </w:r>
      <w:r w:rsidR="00BB19A1">
        <w:rPr>
          <w:rFonts w:ascii="Tahoma" w:hAnsi="Tahoma" w:cs="Tahoma"/>
          <w:sz w:val="24"/>
          <w:szCs w:val="24"/>
        </w:rPr>
        <w:t xml:space="preserve"> 92C of the Labour Act </w:t>
      </w:r>
      <w:r w:rsidR="00BB19A1" w:rsidRPr="00BB19A1">
        <w:rPr>
          <w:rFonts w:ascii="Tahoma" w:hAnsi="Tahoma" w:cs="Tahoma"/>
          <w:i/>
        </w:rPr>
        <w:t>[Chapter</w:t>
      </w:r>
      <w:r w:rsidR="00BB19A1">
        <w:rPr>
          <w:rFonts w:ascii="Tahoma" w:hAnsi="Tahoma" w:cs="Tahoma"/>
          <w:sz w:val="24"/>
          <w:szCs w:val="24"/>
        </w:rPr>
        <w:t xml:space="preserve"> </w:t>
      </w:r>
      <w:r w:rsidR="00BB19A1" w:rsidRPr="00BB19A1">
        <w:rPr>
          <w:rFonts w:ascii="Tahoma" w:hAnsi="Tahoma" w:cs="Tahoma"/>
          <w:i/>
        </w:rPr>
        <w:t>28:01]</w:t>
      </w:r>
      <w:r w:rsidR="00BB19A1">
        <w:rPr>
          <w:rFonts w:ascii="Tahoma" w:hAnsi="Tahoma" w:cs="Tahoma"/>
          <w:sz w:val="24"/>
          <w:szCs w:val="24"/>
        </w:rPr>
        <w:t xml:space="preserve"> (the Act). The applicant seeks to have this court vary a decision by another Judge of this court.</w:t>
      </w:r>
    </w:p>
    <w:p w:rsidR="00692D4C" w:rsidRDefault="00692D4C" w:rsidP="004B7118">
      <w:pPr>
        <w:spacing w:after="0" w:line="360" w:lineRule="auto"/>
        <w:jc w:val="both"/>
        <w:rPr>
          <w:rFonts w:ascii="Tahoma" w:hAnsi="Tahoma" w:cs="Tahoma"/>
          <w:sz w:val="24"/>
          <w:szCs w:val="24"/>
        </w:rPr>
      </w:pPr>
    </w:p>
    <w:p w:rsidR="00692D4C" w:rsidRDefault="00692D4C" w:rsidP="004B7118">
      <w:pPr>
        <w:spacing w:after="0" w:line="360" w:lineRule="auto"/>
        <w:jc w:val="both"/>
        <w:rPr>
          <w:rFonts w:ascii="Tahoma" w:hAnsi="Tahoma" w:cs="Tahoma"/>
          <w:sz w:val="24"/>
          <w:szCs w:val="24"/>
        </w:rPr>
      </w:pPr>
      <w:r>
        <w:rPr>
          <w:rFonts w:ascii="Tahoma" w:hAnsi="Tahoma" w:cs="Tahoma"/>
          <w:sz w:val="24"/>
          <w:szCs w:val="24"/>
        </w:rPr>
        <w:tab/>
        <w:t>The background is that the applicant was employed by the respondent and was dismissed in June 2004. After following internal processes unsuccessfully, the applicant appealed against the decision to dismiss him to the Labour court in 2005. The applicant lost his appeal in the Labour court and decided to appeal to the Supreme court. The Supreme court struck of</w:t>
      </w:r>
      <w:r w:rsidR="00540C71">
        <w:rPr>
          <w:rFonts w:ascii="Tahoma" w:hAnsi="Tahoma" w:cs="Tahoma"/>
          <w:sz w:val="24"/>
          <w:szCs w:val="24"/>
        </w:rPr>
        <w:t>f</w:t>
      </w:r>
      <w:r>
        <w:rPr>
          <w:rFonts w:ascii="Tahoma" w:hAnsi="Tahoma" w:cs="Tahoma"/>
          <w:sz w:val="24"/>
          <w:szCs w:val="24"/>
        </w:rPr>
        <w:t xml:space="preserve"> </w:t>
      </w:r>
      <w:r w:rsidR="00520C3A">
        <w:rPr>
          <w:rFonts w:ascii="Tahoma" w:hAnsi="Tahoma" w:cs="Tahoma"/>
          <w:sz w:val="24"/>
          <w:szCs w:val="24"/>
        </w:rPr>
        <w:t xml:space="preserve">the </w:t>
      </w:r>
      <w:r>
        <w:rPr>
          <w:rFonts w:ascii="Tahoma" w:hAnsi="Tahoma" w:cs="Tahoma"/>
          <w:sz w:val="24"/>
          <w:szCs w:val="24"/>
        </w:rPr>
        <w:t>appeal from its roll on the basis that the decision of the Labour c</w:t>
      </w:r>
      <w:r w:rsidR="00D701AC">
        <w:rPr>
          <w:rFonts w:ascii="Tahoma" w:hAnsi="Tahoma" w:cs="Tahoma"/>
          <w:sz w:val="24"/>
          <w:szCs w:val="24"/>
        </w:rPr>
        <w:t>ourt had dealt with a non-</w:t>
      </w:r>
      <w:r>
        <w:rPr>
          <w:rFonts w:ascii="Tahoma" w:hAnsi="Tahoma" w:cs="Tahoma"/>
          <w:sz w:val="24"/>
          <w:szCs w:val="24"/>
        </w:rPr>
        <w:t xml:space="preserve">existent legal entity. The applicant had brought the </w:t>
      </w:r>
      <w:r>
        <w:rPr>
          <w:rFonts w:ascii="Tahoma" w:hAnsi="Tahoma" w:cs="Tahoma"/>
          <w:sz w:val="24"/>
          <w:szCs w:val="24"/>
        </w:rPr>
        <w:lastRenderedPageBreak/>
        <w:t xml:space="preserve">suit against the </w:t>
      </w:r>
      <w:r w:rsidR="00D701AC">
        <w:rPr>
          <w:rFonts w:ascii="Tahoma" w:hAnsi="Tahoma" w:cs="Tahoma"/>
          <w:sz w:val="24"/>
          <w:szCs w:val="24"/>
        </w:rPr>
        <w:t>M</w:t>
      </w:r>
      <w:r>
        <w:rPr>
          <w:rFonts w:ascii="Tahoma" w:hAnsi="Tahoma" w:cs="Tahoma"/>
          <w:sz w:val="24"/>
          <w:szCs w:val="24"/>
        </w:rPr>
        <w:t xml:space="preserve">inistry of </w:t>
      </w:r>
      <w:r w:rsidR="00D701AC">
        <w:rPr>
          <w:rFonts w:ascii="Tahoma" w:hAnsi="Tahoma" w:cs="Tahoma"/>
          <w:sz w:val="24"/>
          <w:szCs w:val="24"/>
        </w:rPr>
        <w:t>E</w:t>
      </w:r>
      <w:r>
        <w:rPr>
          <w:rFonts w:ascii="Tahoma" w:hAnsi="Tahoma" w:cs="Tahoma"/>
          <w:sz w:val="24"/>
          <w:szCs w:val="24"/>
        </w:rPr>
        <w:t>ducation and Culture</w:t>
      </w:r>
      <w:r w:rsidR="00D701AC">
        <w:rPr>
          <w:rFonts w:ascii="Tahoma" w:hAnsi="Tahoma" w:cs="Tahoma"/>
          <w:sz w:val="24"/>
          <w:szCs w:val="24"/>
        </w:rPr>
        <w:t xml:space="preserve"> when in terms of law, the Minister of Education, Sports and Culture ought to have been cited as a nominal respondent</w:t>
      </w:r>
      <w:r w:rsidR="00540C71">
        <w:rPr>
          <w:rFonts w:ascii="Tahoma" w:hAnsi="Tahoma" w:cs="Tahoma"/>
          <w:sz w:val="24"/>
          <w:szCs w:val="24"/>
        </w:rPr>
        <w:t>. A</w:t>
      </w:r>
      <w:r w:rsidR="00F74975">
        <w:rPr>
          <w:rFonts w:ascii="Tahoma" w:hAnsi="Tahoma" w:cs="Tahoma"/>
          <w:sz w:val="24"/>
          <w:szCs w:val="24"/>
        </w:rPr>
        <w:t>fter the matter had been struck off the Supreme court Roll, the matter was laid to rest until the applicant engaged his current lawyers in February 2018 who advised him that he had a remedy. This remedy was to take the matter back to the Labour court and seek variation of its judgment of October 2009.</w:t>
      </w:r>
    </w:p>
    <w:p w:rsidR="001B1BC9" w:rsidRDefault="001B1BC9" w:rsidP="004B7118">
      <w:pPr>
        <w:spacing w:after="0" w:line="360" w:lineRule="auto"/>
        <w:jc w:val="both"/>
        <w:rPr>
          <w:rFonts w:ascii="Tahoma" w:hAnsi="Tahoma" w:cs="Tahoma"/>
          <w:sz w:val="24"/>
          <w:szCs w:val="24"/>
        </w:rPr>
      </w:pPr>
    </w:p>
    <w:p w:rsidR="001B1BC9" w:rsidRDefault="001B1BC9" w:rsidP="004B7118">
      <w:pPr>
        <w:spacing w:after="0" w:line="360" w:lineRule="auto"/>
        <w:jc w:val="both"/>
        <w:rPr>
          <w:rFonts w:ascii="Tahoma" w:hAnsi="Tahoma" w:cs="Tahoma"/>
          <w:sz w:val="24"/>
          <w:szCs w:val="24"/>
        </w:rPr>
      </w:pPr>
      <w:r>
        <w:rPr>
          <w:rFonts w:ascii="Tahoma" w:hAnsi="Tahoma" w:cs="Tahoma"/>
          <w:sz w:val="24"/>
          <w:szCs w:val="24"/>
        </w:rPr>
        <w:tab/>
        <w:t>This application is being made now in terms of section 92C of the Act.</w:t>
      </w:r>
    </w:p>
    <w:p w:rsidR="001B1BC9" w:rsidRDefault="001B1BC9" w:rsidP="00092038">
      <w:pPr>
        <w:spacing w:after="0" w:line="360" w:lineRule="auto"/>
        <w:ind w:left="720"/>
        <w:jc w:val="both"/>
        <w:rPr>
          <w:rFonts w:ascii="Tahoma" w:hAnsi="Tahoma" w:cs="Tahoma"/>
          <w:sz w:val="24"/>
          <w:szCs w:val="24"/>
        </w:rPr>
      </w:pPr>
      <w:r>
        <w:rPr>
          <w:rFonts w:ascii="Tahoma" w:hAnsi="Tahoma" w:cs="Tahoma"/>
          <w:sz w:val="24"/>
          <w:szCs w:val="24"/>
        </w:rPr>
        <w:t>Section 92C of the Act provides for the rescission or alteration by the Labour court of its own decisions as follows;</w:t>
      </w:r>
    </w:p>
    <w:p w:rsidR="001B1BC9" w:rsidRDefault="001B1BC9" w:rsidP="004B7118">
      <w:pPr>
        <w:spacing w:after="0" w:line="360" w:lineRule="auto"/>
        <w:jc w:val="both"/>
        <w:rPr>
          <w:rFonts w:ascii="Tahoma" w:hAnsi="Tahoma" w:cs="Tahoma"/>
          <w:sz w:val="24"/>
          <w:szCs w:val="24"/>
        </w:rPr>
      </w:pPr>
    </w:p>
    <w:p w:rsidR="001B1BC9" w:rsidRPr="00520C3A" w:rsidRDefault="001B1BC9" w:rsidP="001B1BC9">
      <w:pPr>
        <w:spacing w:after="0" w:line="360" w:lineRule="auto"/>
        <w:ind w:left="2160" w:hanging="720"/>
        <w:jc w:val="both"/>
        <w:rPr>
          <w:rFonts w:ascii="Tahoma" w:hAnsi="Tahoma" w:cs="Tahoma"/>
          <w:i/>
        </w:rPr>
      </w:pPr>
      <w:r w:rsidRPr="00520C3A">
        <w:rPr>
          <w:rFonts w:ascii="Tahoma" w:hAnsi="Tahoma" w:cs="Tahoma"/>
          <w:i/>
        </w:rPr>
        <w:t>“(1)</w:t>
      </w:r>
      <w:r w:rsidRPr="00520C3A">
        <w:rPr>
          <w:rFonts w:ascii="Tahoma" w:hAnsi="Tahoma" w:cs="Tahoma"/>
          <w:i/>
        </w:rPr>
        <w:tab/>
        <w:t>Subject to this section the Labour court may, on application rescind or vary any determination or order-</w:t>
      </w:r>
    </w:p>
    <w:p w:rsidR="001B1BC9" w:rsidRPr="00520C3A" w:rsidRDefault="001B1BC9" w:rsidP="001B1BC9">
      <w:pPr>
        <w:spacing w:after="0" w:line="360" w:lineRule="auto"/>
        <w:ind w:left="2160" w:hanging="720"/>
        <w:jc w:val="both"/>
        <w:rPr>
          <w:rFonts w:ascii="Tahoma" w:hAnsi="Tahoma" w:cs="Tahoma"/>
          <w:i/>
        </w:rPr>
      </w:pPr>
      <w:r w:rsidRPr="00520C3A">
        <w:rPr>
          <w:rFonts w:ascii="Tahoma" w:hAnsi="Tahoma" w:cs="Tahoma"/>
          <w:i/>
        </w:rPr>
        <w:tab/>
        <w:t>a)</w:t>
      </w:r>
      <w:r w:rsidRPr="00520C3A">
        <w:rPr>
          <w:rFonts w:ascii="Tahoma" w:hAnsi="Tahoma" w:cs="Tahoma"/>
          <w:i/>
        </w:rPr>
        <w:tab/>
        <w:t>-----</w:t>
      </w:r>
    </w:p>
    <w:p w:rsidR="001B1BC9" w:rsidRPr="00520C3A" w:rsidRDefault="001B1BC9" w:rsidP="001B1BC9">
      <w:pPr>
        <w:spacing w:after="0" w:line="360" w:lineRule="auto"/>
        <w:ind w:left="2160" w:hanging="720"/>
        <w:jc w:val="both"/>
        <w:rPr>
          <w:rFonts w:ascii="Tahoma" w:hAnsi="Tahoma" w:cs="Tahoma"/>
          <w:i/>
        </w:rPr>
      </w:pPr>
      <w:r w:rsidRPr="00520C3A">
        <w:rPr>
          <w:rFonts w:ascii="Tahoma" w:hAnsi="Tahoma" w:cs="Tahoma"/>
          <w:i/>
        </w:rPr>
        <w:tab/>
        <w:t>b)</w:t>
      </w:r>
      <w:r w:rsidRPr="00520C3A">
        <w:rPr>
          <w:rFonts w:ascii="Tahoma" w:hAnsi="Tahoma" w:cs="Tahoma"/>
          <w:i/>
        </w:rPr>
        <w:tab/>
        <w:t>-----</w:t>
      </w:r>
    </w:p>
    <w:p w:rsidR="001B1BC9" w:rsidRPr="00520C3A" w:rsidRDefault="00540C71" w:rsidP="001B1BC9">
      <w:pPr>
        <w:spacing w:after="0" w:line="360" w:lineRule="auto"/>
        <w:ind w:left="2160" w:hanging="720"/>
        <w:jc w:val="both"/>
        <w:rPr>
          <w:rFonts w:ascii="Tahoma" w:hAnsi="Tahoma" w:cs="Tahoma"/>
          <w:i/>
        </w:rPr>
      </w:pPr>
      <w:r>
        <w:rPr>
          <w:rFonts w:ascii="Tahoma" w:hAnsi="Tahoma" w:cs="Tahoma"/>
          <w:i/>
        </w:rPr>
        <w:tab/>
        <w:t>c)</w:t>
      </w:r>
      <w:r>
        <w:rPr>
          <w:rFonts w:ascii="Tahoma" w:hAnsi="Tahoma" w:cs="Tahoma"/>
          <w:i/>
        </w:rPr>
        <w:tab/>
      </w:r>
      <w:r w:rsidR="001B1BC9" w:rsidRPr="00520C3A">
        <w:rPr>
          <w:rFonts w:ascii="Tahoma" w:hAnsi="Tahoma" w:cs="Tahoma"/>
          <w:i/>
        </w:rPr>
        <w:t>in order to correct a patent error</w:t>
      </w:r>
      <w:r w:rsidR="00520C3A" w:rsidRPr="00520C3A">
        <w:rPr>
          <w:rFonts w:ascii="Tahoma" w:hAnsi="Tahoma" w:cs="Tahoma"/>
          <w:i/>
        </w:rPr>
        <w:t>”</w:t>
      </w:r>
      <w:r w:rsidR="001B1BC9" w:rsidRPr="00520C3A">
        <w:rPr>
          <w:rFonts w:ascii="Tahoma" w:hAnsi="Tahoma" w:cs="Tahoma"/>
          <w:i/>
        </w:rPr>
        <w:t>.</w:t>
      </w:r>
    </w:p>
    <w:p w:rsidR="001B1BC9" w:rsidRPr="00520C3A" w:rsidRDefault="001B1BC9" w:rsidP="001B1BC9">
      <w:pPr>
        <w:spacing w:after="0" w:line="360" w:lineRule="auto"/>
        <w:jc w:val="both"/>
        <w:rPr>
          <w:rFonts w:ascii="Tahoma" w:hAnsi="Tahoma" w:cs="Tahoma"/>
          <w:i/>
        </w:rPr>
      </w:pPr>
    </w:p>
    <w:p w:rsidR="001B1BC9" w:rsidRDefault="001B1BC9" w:rsidP="001B1BC9">
      <w:pPr>
        <w:spacing w:after="0" w:line="360" w:lineRule="auto"/>
        <w:jc w:val="both"/>
        <w:rPr>
          <w:rFonts w:ascii="Tahoma" w:hAnsi="Tahoma" w:cs="Tahoma"/>
          <w:sz w:val="24"/>
          <w:szCs w:val="24"/>
        </w:rPr>
      </w:pPr>
      <w:r>
        <w:rPr>
          <w:rFonts w:ascii="Tahoma" w:hAnsi="Tahoma" w:cs="Tahoma"/>
          <w:sz w:val="24"/>
          <w:szCs w:val="24"/>
        </w:rPr>
        <w:tab/>
        <w:t xml:space="preserve">The issue that arises is whether or not there is a patent error. An error is a mistake or a state of being wrong. It is clear in </w:t>
      </w:r>
      <w:r w:rsidRPr="001B1BC9">
        <w:rPr>
          <w:rFonts w:ascii="Tahoma" w:hAnsi="Tahoma" w:cs="Tahoma"/>
          <w:i/>
          <w:sz w:val="24"/>
          <w:szCs w:val="24"/>
        </w:rPr>
        <w:t>casu</w:t>
      </w:r>
      <w:r>
        <w:rPr>
          <w:rFonts w:ascii="Tahoma" w:hAnsi="Tahoma" w:cs="Tahoma"/>
          <w:sz w:val="24"/>
          <w:szCs w:val="24"/>
        </w:rPr>
        <w:t xml:space="preserve"> that the applicant in citing the respondent,</w:t>
      </w:r>
      <w:r w:rsidR="001D0C71">
        <w:rPr>
          <w:rFonts w:ascii="Tahoma" w:hAnsi="Tahoma" w:cs="Tahoma"/>
          <w:sz w:val="24"/>
          <w:szCs w:val="24"/>
        </w:rPr>
        <w:t xml:space="preserve"> made an error. The error on the part of the applicant was also a patent one it was obvious that the respondent had been wrongly described.</w:t>
      </w:r>
    </w:p>
    <w:p w:rsidR="008352EA" w:rsidRDefault="008352EA" w:rsidP="001B1BC9">
      <w:pPr>
        <w:spacing w:after="0" w:line="360" w:lineRule="auto"/>
        <w:jc w:val="both"/>
        <w:rPr>
          <w:rFonts w:ascii="Tahoma" w:hAnsi="Tahoma" w:cs="Tahoma"/>
          <w:sz w:val="24"/>
          <w:szCs w:val="24"/>
        </w:rPr>
      </w:pPr>
    </w:p>
    <w:p w:rsidR="008352EA" w:rsidRDefault="008352EA" w:rsidP="001B1BC9">
      <w:pPr>
        <w:spacing w:after="0" w:line="360" w:lineRule="auto"/>
        <w:jc w:val="both"/>
        <w:rPr>
          <w:rFonts w:ascii="Tahoma" w:hAnsi="Tahoma" w:cs="Tahoma"/>
          <w:sz w:val="24"/>
          <w:szCs w:val="24"/>
        </w:rPr>
      </w:pPr>
      <w:r>
        <w:rPr>
          <w:rFonts w:ascii="Tahoma" w:hAnsi="Tahoma" w:cs="Tahoma"/>
          <w:sz w:val="24"/>
          <w:szCs w:val="24"/>
        </w:rPr>
        <w:tab/>
        <w:t>The applicant argued that on the basis of this patent error,</w:t>
      </w:r>
      <w:r w:rsidR="006C3D36">
        <w:rPr>
          <w:rFonts w:ascii="Tahoma" w:hAnsi="Tahoma" w:cs="Tahoma"/>
          <w:sz w:val="24"/>
          <w:szCs w:val="24"/>
        </w:rPr>
        <w:t xml:space="preserve"> the court must correct its own decision handed down in 2009. It was further argued that no prejudice will be suffered as no new party is being brought before the court. Reliance was placed on the case of </w:t>
      </w:r>
      <w:r w:rsidR="006C3D36" w:rsidRPr="006E38DD">
        <w:rPr>
          <w:rFonts w:ascii="Tahoma" w:hAnsi="Tahoma" w:cs="Tahoma"/>
          <w:i/>
        </w:rPr>
        <w:t>Rugava v Star Lotto Zimbabwe (Private) Limited</w:t>
      </w:r>
      <w:r w:rsidR="006C3D36">
        <w:rPr>
          <w:rFonts w:ascii="Tahoma" w:hAnsi="Tahoma" w:cs="Tahoma"/>
          <w:sz w:val="24"/>
          <w:szCs w:val="24"/>
        </w:rPr>
        <w:t xml:space="preserve"> HB38/14.</w:t>
      </w:r>
      <w:r w:rsidR="00DB6C49">
        <w:rPr>
          <w:rFonts w:ascii="Tahoma" w:hAnsi="Tahoma" w:cs="Tahoma"/>
          <w:sz w:val="24"/>
          <w:szCs w:val="24"/>
        </w:rPr>
        <w:t xml:space="preserve"> The court quoted Gowora J’s (as she then was) findings in </w:t>
      </w:r>
      <w:r w:rsidR="00DB6C49" w:rsidRPr="00DB6C49">
        <w:rPr>
          <w:rFonts w:ascii="Tahoma" w:hAnsi="Tahoma" w:cs="Tahoma"/>
          <w:i/>
        </w:rPr>
        <w:t>Old Mutual Asset Management Pvt Ltd v F &amp; R</w:t>
      </w:r>
      <w:r w:rsidR="00DB6C49">
        <w:rPr>
          <w:rFonts w:ascii="Tahoma" w:hAnsi="Tahoma" w:cs="Tahoma"/>
          <w:sz w:val="24"/>
          <w:szCs w:val="24"/>
        </w:rPr>
        <w:t xml:space="preserve"> </w:t>
      </w:r>
      <w:r w:rsidR="00DB6C49" w:rsidRPr="00DB6C49">
        <w:rPr>
          <w:rFonts w:ascii="Tahoma" w:hAnsi="Tahoma" w:cs="Tahoma"/>
          <w:i/>
        </w:rPr>
        <w:t xml:space="preserve">Travel Tours and Car Sales </w:t>
      </w:r>
      <w:r w:rsidR="00DB6C49">
        <w:rPr>
          <w:rFonts w:ascii="Tahoma" w:hAnsi="Tahoma" w:cs="Tahoma"/>
          <w:sz w:val="24"/>
          <w:szCs w:val="24"/>
        </w:rPr>
        <w:t>in HH 53/07 where she stated as follows;</w:t>
      </w:r>
    </w:p>
    <w:p w:rsidR="00103803" w:rsidRDefault="00103803" w:rsidP="001B1BC9">
      <w:pPr>
        <w:spacing w:after="0" w:line="360" w:lineRule="auto"/>
        <w:jc w:val="both"/>
        <w:rPr>
          <w:rFonts w:ascii="Tahoma" w:hAnsi="Tahoma" w:cs="Tahoma"/>
          <w:sz w:val="24"/>
          <w:szCs w:val="24"/>
        </w:rPr>
      </w:pPr>
    </w:p>
    <w:p w:rsidR="00103803" w:rsidRDefault="00103803" w:rsidP="00D53DC0">
      <w:pPr>
        <w:spacing w:after="0" w:line="360" w:lineRule="auto"/>
        <w:ind w:left="1440"/>
        <w:jc w:val="both"/>
        <w:rPr>
          <w:rFonts w:ascii="Tahoma" w:hAnsi="Tahoma" w:cs="Tahoma"/>
          <w:i/>
          <w:sz w:val="24"/>
          <w:szCs w:val="24"/>
        </w:rPr>
      </w:pPr>
      <w:r w:rsidRPr="00D53DC0">
        <w:rPr>
          <w:rFonts w:ascii="Tahoma" w:hAnsi="Tahoma" w:cs="Tahoma"/>
          <w:i/>
          <w:sz w:val="24"/>
          <w:szCs w:val="24"/>
        </w:rPr>
        <w:lastRenderedPageBreak/>
        <w:t>“</w:t>
      </w:r>
      <w:r w:rsidR="00D53DC0" w:rsidRPr="00D53DC0">
        <w:rPr>
          <w:rFonts w:ascii="Tahoma" w:hAnsi="Tahoma" w:cs="Tahoma"/>
          <w:i/>
          <w:sz w:val="24"/>
          <w:szCs w:val="24"/>
        </w:rPr>
        <w:t>It is trite that an amendment even where it is intended to substitute a party will be granted unless the application to amend in mala fide or would cause prejudice to the other side which cannot be cured by costs”.</w:t>
      </w:r>
    </w:p>
    <w:p w:rsidR="006D23C2" w:rsidRDefault="006D23C2" w:rsidP="006D23C2">
      <w:pPr>
        <w:spacing w:after="0" w:line="360" w:lineRule="auto"/>
        <w:jc w:val="both"/>
        <w:rPr>
          <w:rFonts w:ascii="Tahoma" w:hAnsi="Tahoma" w:cs="Tahoma"/>
          <w:i/>
          <w:sz w:val="24"/>
          <w:szCs w:val="24"/>
        </w:rPr>
      </w:pPr>
    </w:p>
    <w:p w:rsidR="006D23C2" w:rsidRDefault="006D23C2" w:rsidP="006D23C2">
      <w:pPr>
        <w:spacing w:after="0" w:line="360" w:lineRule="auto"/>
        <w:jc w:val="both"/>
        <w:rPr>
          <w:rFonts w:ascii="Tahoma" w:hAnsi="Tahoma" w:cs="Tahoma"/>
          <w:sz w:val="24"/>
          <w:szCs w:val="24"/>
        </w:rPr>
      </w:pPr>
      <w:r>
        <w:rPr>
          <w:rFonts w:ascii="Tahoma" w:hAnsi="Tahoma" w:cs="Tahoma"/>
          <w:i/>
          <w:sz w:val="24"/>
          <w:szCs w:val="24"/>
        </w:rPr>
        <w:tab/>
      </w:r>
      <w:r w:rsidRPr="006D23C2">
        <w:rPr>
          <w:rFonts w:ascii="Tahoma" w:hAnsi="Tahoma" w:cs="Tahoma"/>
          <w:sz w:val="24"/>
          <w:szCs w:val="24"/>
        </w:rPr>
        <w:t>The position</w:t>
      </w:r>
      <w:r w:rsidR="00FF2C1B">
        <w:rPr>
          <w:rFonts w:ascii="Tahoma" w:hAnsi="Tahoma" w:cs="Tahoma"/>
          <w:sz w:val="24"/>
          <w:szCs w:val="24"/>
        </w:rPr>
        <w:t xml:space="preserve"> taken by the authority relied on is the position of law, the only proble</w:t>
      </w:r>
      <w:r w:rsidR="00540C71">
        <w:rPr>
          <w:rFonts w:ascii="Tahoma" w:hAnsi="Tahoma" w:cs="Tahoma"/>
          <w:sz w:val="24"/>
          <w:szCs w:val="24"/>
        </w:rPr>
        <w:t>m however is that this is not an</w:t>
      </w:r>
      <w:r w:rsidR="00FF2C1B">
        <w:rPr>
          <w:rFonts w:ascii="Tahoma" w:hAnsi="Tahoma" w:cs="Tahoma"/>
          <w:sz w:val="24"/>
          <w:szCs w:val="24"/>
        </w:rPr>
        <w:t xml:space="preserve"> appl</w:t>
      </w:r>
      <w:r w:rsidR="00540C71">
        <w:rPr>
          <w:rFonts w:ascii="Tahoma" w:hAnsi="Tahoma" w:cs="Tahoma"/>
          <w:sz w:val="24"/>
          <w:szCs w:val="24"/>
        </w:rPr>
        <w:t>ication for an amendment when</w:t>
      </w:r>
      <w:r w:rsidR="00FF2C1B">
        <w:rPr>
          <w:rFonts w:ascii="Tahoma" w:hAnsi="Tahoma" w:cs="Tahoma"/>
          <w:sz w:val="24"/>
          <w:szCs w:val="24"/>
        </w:rPr>
        <w:t xml:space="preserve"> a party is incorrectly described. This is an application for the court to e</w:t>
      </w:r>
      <w:r w:rsidR="00540C71">
        <w:rPr>
          <w:rFonts w:ascii="Tahoma" w:hAnsi="Tahoma" w:cs="Tahoma"/>
          <w:sz w:val="24"/>
          <w:szCs w:val="24"/>
        </w:rPr>
        <w:t>ngage itself in a matter that it</w:t>
      </w:r>
      <w:r w:rsidR="00FF2C1B">
        <w:rPr>
          <w:rFonts w:ascii="Tahoma" w:hAnsi="Tahoma" w:cs="Tahoma"/>
          <w:sz w:val="24"/>
          <w:szCs w:val="24"/>
        </w:rPr>
        <w:t xml:space="preserve"> dealt with to finality some 12 years ago. Can the court lawfully do that, I think not. In the case of </w:t>
      </w:r>
      <w:r w:rsidR="00FF2C1B" w:rsidRPr="009E44E0">
        <w:rPr>
          <w:rFonts w:ascii="Tahoma" w:hAnsi="Tahoma" w:cs="Tahoma"/>
          <w:i/>
        </w:rPr>
        <w:t>ZESA Holdings (Private) Limited v ITAYI UTAH</w:t>
      </w:r>
      <w:r w:rsidR="00FF2C1B">
        <w:rPr>
          <w:rFonts w:ascii="Tahoma" w:hAnsi="Tahoma" w:cs="Tahoma"/>
          <w:sz w:val="24"/>
          <w:szCs w:val="24"/>
        </w:rPr>
        <w:t xml:space="preserve"> SC 32/8 the Learned Judge stated that;</w:t>
      </w:r>
    </w:p>
    <w:p w:rsidR="00FF2C1B" w:rsidRPr="00FF2C1B" w:rsidRDefault="00FF2C1B" w:rsidP="006D23C2">
      <w:pPr>
        <w:spacing w:after="0" w:line="360" w:lineRule="auto"/>
        <w:jc w:val="both"/>
        <w:rPr>
          <w:rFonts w:ascii="Tahoma" w:hAnsi="Tahoma" w:cs="Tahoma"/>
          <w:i/>
        </w:rPr>
      </w:pPr>
      <w:r>
        <w:rPr>
          <w:rFonts w:ascii="Tahoma" w:hAnsi="Tahoma" w:cs="Tahoma"/>
          <w:sz w:val="24"/>
          <w:szCs w:val="24"/>
        </w:rPr>
        <w:tab/>
      </w:r>
      <w:r>
        <w:rPr>
          <w:rFonts w:ascii="Tahoma" w:hAnsi="Tahoma" w:cs="Tahoma"/>
          <w:sz w:val="24"/>
          <w:szCs w:val="24"/>
        </w:rPr>
        <w:tab/>
        <w:t>“</w:t>
      </w:r>
      <w:r w:rsidRPr="00FF2C1B">
        <w:rPr>
          <w:rFonts w:ascii="Tahoma" w:hAnsi="Tahoma" w:cs="Tahoma"/>
          <w:i/>
        </w:rPr>
        <w:t>Section 98 (9) of the Labour Act [Chapter 28:01] provides that;</w:t>
      </w:r>
    </w:p>
    <w:p w:rsidR="00D53DC0" w:rsidRDefault="00FF2C1B" w:rsidP="00E039A0">
      <w:pPr>
        <w:spacing w:after="0" w:line="360" w:lineRule="auto"/>
        <w:ind w:left="2160" w:hanging="720"/>
        <w:jc w:val="both"/>
        <w:rPr>
          <w:rFonts w:ascii="Tahoma" w:hAnsi="Tahoma" w:cs="Tahoma"/>
          <w:sz w:val="24"/>
          <w:szCs w:val="24"/>
        </w:rPr>
      </w:pPr>
      <w:r w:rsidRPr="00FF2C1B">
        <w:rPr>
          <w:rFonts w:ascii="Tahoma" w:hAnsi="Tahoma" w:cs="Tahoma"/>
          <w:i/>
        </w:rPr>
        <w:t>‘(9)</w:t>
      </w:r>
      <w:r w:rsidRPr="00FF2C1B">
        <w:rPr>
          <w:rFonts w:ascii="Tahoma" w:hAnsi="Tahoma" w:cs="Tahoma"/>
          <w:i/>
        </w:rPr>
        <w:tab/>
        <w:t>In hearing and determining any dispute an arbitrator shall have the same powers as the Labour court’</w:t>
      </w:r>
      <w:r w:rsidR="00E039A0">
        <w:rPr>
          <w:rFonts w:ascii="Tahoma" w:hAnsi="Tahoma" w:cs="Tahoma"/>
          <w:i/>
        </w:rPr>
        <w:t>.</w:t>
      </w:r>
      <w:r w:rsidR="00D53DC0">
        <w:rPr>
          <w:rFonts w:ascii="Tahoma" w:hAnsi="Tahoma" w:cs="Tahoma"/>
          <w:sz w:val="24"/>
          <w:szCs w:val="24"/>
        </w:rPr>
        <w:tab/>
      </w:r>
    </w:p>
    <w:p w:rsidR="006E20D8" w:rsidRPr="00E039A0" w:rsidRDefault="006E20D8" w:rsidP="00E039A0">
      <w:pPr>
        <w:spacing w:after="0" w:line="360" w:lineRule="auto"/>
        <w:ind w:left="720" w:firstLine="720"/>
        <w:jc w:val="both"/>
        <w:rPr>
          <w:rFonts w:ascii="Tahoma" w:hAnsi="Tahoma" w:cs="Tahoma"/>
          <w:i/>
        </w:rPr>
      </w:pPr>
      <w:r w:rsidRPr="00E039A0">
        <w:rPr>
          <w:rFonts w:ascii="Tahoma" w:hAnsi="Tahoma" w:cs="Tahoma"/>
          <w:i/>
        </w:rPr>
        <w:t xml:space="preserve">Thus when an arbitrator makes an award, his position is akin to that of </w:t>
      </w:r>
    </w:p>
    <w:p w:rsidR="006E20D8" w:rsidRPr="00E039A0" w:rsidRDefault="000B48C8" w:rsidP="00E039A0">
      <w:pPr>
        <w:spacing w:after="0" w:line="360" w:lineRule="auto"/>
        <w:ind w:left="1440"/>
        <w:jc w:val="both"/>
        <w:rPr>
          <w:rFonts w:ascii="Tahoma" w:hAnsi="Tahoma" w:cs="Tahoma"/>
          <w:i/>
        </w:rPr>
      </w:pPr>
      <w:r>
        <w:rPr>
          <w:rFonts w:ascii="Tahoma" w:hAnsi="Tahoma" w:cs="Tahoma"/>
          <w:i/>
        </w:rPr>
        <w:t xml:space="preserve">a </w:t>
      </w:r>
      <w:r w:rsidR="006E20D8" w:rsidRPr="00E039A0">
        <w:rPr>
          <w:rFonts w:ascii="Tahoma" w:hAnsi="Tahoma" w:cs="Tahoma"/>
          <w:i/>
        </w:rPr>
        <w:t>court of law. A court is defined to mean all its Judges</w:t>
      </w:r>
      <w:r w:rsidR="00E039A0" w:rsidRPr="00E039A0">
        <w:rPr>
          <w:rFonts w:ascii="Tahoma" w:hAnsi="Tahoma" w:cs="Tahoma"/>
          <w:i/>
        </w:rPr>
        <w:t xml:space="preserve"> sitting alone or wi</w:t>
      </w:r>
      <w:r>
        <w:rPr>
          <w:rFonts w:ascii="Tahoma" w:hAnsi="Tahoma" w:cs="Tahoma"/>
          <w:i/>
        </w:rPr>
        <w:t>th other J</w:t>
      </w:r>
      <w:r w:rsidR="00E039A0" w:rsidRPr="00E039A0">
        <w:rPr>
          <w:rFonts w:ascii="Tahoma" w:hAnsi="Tahoma" w:cs="Tahoma"/>
          <w:i/>
        </w:rPr>
        <w:t>udges. This is because they have the same powers and exercise parallel jurisdiction …. Accordingly the Res judicata or functus officio legal principles will apply should the matter be brought before the same or a different Judge, or in this case, arbitrator”.</w:t>
      </w:r>
    </w:p>
    <w:p w:rsidR="00E039A0" w:rsidRDefault="00E039A0" w:rsidP="00E039A0">
      <w:pPr>
        <w:spacing w:after="0" w:line="360" w:lineRule="auto"/>
        <w:jc w:val="both"/>
        <w:rPr>
          <w:rFonts w:ascii="Tahoma" w:hAnsi="Tahoma" w:cs="Tahoma"/>
          <w:sz w:val="24"/>
          <w:szCs w:val="24"/>
        </w:rPr>
      </w:pPr>
    </w:p>
    <w:p w:rsidR="00E039A0" w:rsidRDefault="00E039A0" w:rsidP="00E039A0">
      <w:pPr>
        <w:spacing w:after="0" w:line="360" w:lineRule="auto"/>
        <w:jc w:val="both"/>
        <w:rPr>
          <w:rFonts w:ascii="Tahoma" w:hAnsi="Tahoma" w:cs="Tahoma"/>
          <w:sz w:val="24"/>
          <w:szCs w:val="24"/>
        </w:rPr>
      </w:pPr>
      <w:r>
        <w:rPr>
          <w:rFonts w:ascii="Tahoma" w:hAnsi="Tahoma" w:cs="Tahoma"/>
          <w:sz w:val="24"/>
          <w:szCs w:val="24"/>
        </w:rPr>
        <w:tab/>
        <w:t>The Court in the above cited case, was referring to an arbitrator’s decision which had been brought before a different arbitrator after the dispute had been finalized by the initial arbitrator. The current dispute was brought before a Judge of the Labour court and a decision, a final decision was pronounced by the Labour court. It cannot be brought back before the same court. The court in my opinion is functus officio.</w:t>
      </w:r>
    </w:p>
    <w:p w:rsidR="00E039A0" w:rsidRDefault="00E039A0" w:rsidP="00E039A0">
      <w:pPr>
        <w:spacing w:after="0" w:line="360" w:lineRule="auto"/>
        <w:jc w:val="both"/>
        <w:rPr>
          <w:rFonts w:ascii="Tahoma" w:hAnsi="Tahoma" w:cs="Tahoma"/>
          <w:sz w:val="24"/>
          <w:szCs w:val="24"/>
        </w:rPr>
      </w:pPr>
    </w:p>
    <w:p w:rsidR="00E039A0" w:rsidRDefault="00E039A0" w:rsidP="00E039A0">
      <w:pPr>
        <w:spacing w:after="0" w:line="360" w:lineRule="auto"/>
        <w:jc w:val="both"/>
        <w:rPr>
          <w:rFonts w:ascii="Tahoma" w:hAnsi="Tahoma" w:cs="Tahoma"/>
          <w:sz w:val="24"/>
          <w:szCs w:val="24"/>
        </w:rPr>
      </w:pPr>
      <w:r>
        <w:rPr>
          <w:rFonts w:ascii="Tahoma" w:hAnsi="Tahoma" w:cs="Tahoma"/>
          <w:sz w:val="24"/>
          <w:szCs w:val="24"/>
        </w:rPr>
        <w:tab/>
        <w:t xml:space="preserve">In </w:t>
      </w:r>
      <w:r w:rsidRPr="003B3AE8">
        <w:rPr>
          <w:rFonts w:ascii="Tahoma" w:hAnsi="Tahoma" w:cs="Tahoma"/>
          <w:i/>
        </w:rPr>
        <w:t>Unitrack (Pvt) Ltd</w:t>
      </w:r>
      <w:r w:rsidR="003B3AE8" w:rsidRPr="003B3AE8">
        <w:rPr>
          <w:rFonts w:ascii="Tahoma" w:hAnsi="Tahoma" w:cs="Tahoma"/>
          <w:i/>
        </w:rPr>
        <w:t xml:space="preserve"> v Telone (Pvt) Ltd</w:t>
      </w:r>
      <w:r w:rsidR="003B3AE8">
        <w:rPr>
          <w:rFonts w:ascii="Tahoma" w:hAnsi="Tahoma" w:cs="Tahoma"/>
          <w:sz w:val="24"/>
          <w:szCs w:val="24"/>
        </w:rPr>
        <w:t xml:space="preserve"> SC 10/18 Mavangira AJA as she then was held as follows;</w:t>
      </w:r>
    </w:p>
    <w:p w:rsidR="003B3AE8" w:rsidRPr="00540016" w:rsidRDefault="003B3AE8" w:rsidP="00B3496F">
      <w:pPr>
        <w:spacing w:after="0" w:line="360" w:lineRule="auto"/>
        <w:ind w:left="1440"/>
        <w:jc w:val="both"/>
        <w:rPr>
          <w:rFonts w:ascii="Tahoma" w:hAnsi="Tahoma" w:cs="Tahoma"/>
          <w:i/>
        </w:rPr>
      </w:pPr>
      <w:r>
        <w:rPr>
          <w:rFonts w:ascii="Tahoma" w:hAnsi="Tahoma" w:cs="Tahoma"/>
          <w:sz w:val="24"/>
          <w:szCs w:val="24"/>
        </w:rPr>
        <w:lastRenderedPageBreak/>
        <w:t>“</w:t>
      </w:r>
      <w:r w:rsidRPr="00540016">
        <w:rPr>
          <w:rFonts w:ascii="Tahoma" w:hAnsi="Tahoma" w:cs="Tahoma"/>
          <w:i/>
        </w:rPr>
        <w:t>It is a general principle of our law that</w:t>
      </w:r>
      <w:r w:rsidR="00B3496F" w:rsidRPr="00540016">
        <w:rPr>
          <w:rFonts w:ascii="Tahoma" w:hAnsi="Tahoma" w:cs="Tahoma"/>
          <w:i/>
        </w:rPr>
        <w:t xml:space="preserve"> once a court or judicial office renders a decision regarding issues that have been submitted to it or him, it or he lacks any power or legal authority to re-examine or revisit that decision. Once a decision is made, the term ‘functus officio’ applies to the court or judicial officer concerned”.</w:t>
      </w:r>
    </w:p>
    <w:p w:rsidR="00FC35F3" w:rsidRPr="00540016" w:rsidRDefault="00FC35F3" w:rsidP="00FC35F3">
      <w:pPr>
        <w:spacing w:after="0" w:line="360" w:lineRule="auto"/>
        <w:jc w:val="both"/>
        <w:rPr>
          <w:rFonts w:ascii="Tahoma" w:hAnsi="Tahoma" w:cs="Tahoma"/>
        </w:rPr>
      </w:pPr>
    </w:p>
    <w:p w:rsidR="00FC35F3" w:rsidRDefault="00FC35F3" w:rsidP="00FC35F3">
      <w:pPr>
        <w:spacing w:after="0" w:line="360" w:lineRule="auto"/>
        <w:jc w:val="both"/>
        <w:rPr>
          <w:rFonts w:ascii="Tahoma" w:hAnsi="Tahoma" w:cs="Tahoma"/>
          <w:sz w:val="24"/>
          <w:szCs w:val="24"/>
        </w:rPr>
      </w:pPr>
      <w:r>
        <w:rPr>
          <w:rFonts w:ascii="Tahoma" w:hAnsi="Tahoma" w:cs="Tahoma"/>
          <w:sz w:val="24"/>
          <w:szCs w:val="24"/>
        </w:rPr>
        <w:t xml:space="preserve">In </w:t>
      </w:r>
      <w:r w:rsidRPr="00823B00">
        <w:rPr>
          <w:rFonts w:ascii="Tahoma" w:hAnsi="Tahoma" w:cs="Tahoma"/>
          <w:i/>
          <w:sz w:val="24"/>
          <w:szCs w:val="24"/>
        </w:rPr>
        <w:t>Kassim v Kassim</w:t>
      </w:r>
      <w:r>
        <w:rPr>
          <w:rFonts w:ascii="Tahoma" w:hAnsi="Tahoma" w:cs="Tahoma"/>
          <w:sz w:val="24"/>
          <w:szCs w:val="24"/>
        </w:rPr>
        <w:t xml:space="preserve"> 1989 (3) ZLR 234 (H) at 242 the court held that;</w:t>
      </w:r>
    </w:p>
    <w:p w:rsidR="00823B00" w:rsidRDefault="00823B00" w:rsidP="00FC35F3">
      <w:pPr>
        <w:spacing w:after="0" w:line="360" w:lineRule="auto"/>
        <w:jc w:val="both"/>
        <w:rPr>
          <w:rFonts w:ascii="Tahoma" w:hAnsi="Tahoma" w:cs="Tahoma"/>
          <w:sz w:val="24"/>
          <w:szCs w:val="24"/>
        </w:rPr>
      </w:pPr>
    </w:p>
    <w:p w:rsidR="00823B00" w:rsidRPr="00152539" w:rsidRDefault="00823B00" w:rsidP="00152539">
      <w:pPr>
        <w:spacing w:after="0" w:line="360" w:lineRule="auto"/>
        <w:ind w:left="1440"/>
        <w:jc w:val="both"/>
        <w:rPr>
          <w:rFonts w:ascii="Tahoma" w:hAnsi="Tahoma" w:cs="Tahoma"/>
          <w:i/>
        </w:rPr>
      </w:pPr>
      <w:r>
        <w:rPr>
          <w:rFonts w:ascii="Tahoma" w:hAnsi="Tahoma" w:cs="Tahoma"/>
          <w:sz w:val="24"/>
          <w:szCs w:val="24"/>
        </w:rPr>
        <w:t>“</w:t>
      </w:r>
      <w:r w:rsidRPr="00152539">
        <w:rPr>
          <w:rFonts w:ascii="Tahoma" w:hAnsi="Tahoma" w:cs="Tahoma"/>
          <w:i/>
        </w:rPr>
        <w:t>In general the court will not recall, vary or add to its own judgment once it has made a final adjudication on the merits. The principle is stated in Firestone South Africa (Pvt) Ltd v Genticuro Ag 1977 (4) SA 298 (A) at 306, where Trollip JA stated;</w:t>
      </w:r>
    </w:p>
    <w:p w:rsidR="00823B00" w:rsidRPr="00152539" w:rsidRDefault="00823B00" w:rsidP="00FC35F3">
      <w:pPr>
        <w:spacing w:after="0" w:line="360" w:lineRule="auto"/>
        <w:jc w:val="both"/>
        <w:rPr>
          <w:rFonts w:ascii="Tahoma" w:hAnsi="Tahoma" w:cs="Tahoma"/>
          <w:i/>
        </w:rPr>
      </w:pPr>
    </w:p>
    <w:p w:rsidR="00823B00" w:rsidRPr="00152539" w:rsidRDefault="00823B00" w:rsidP="000E2C2F">
      <w:pPr>
        <w:spacing w:after="0" w:line="360" w:lineRule="auto"/>
        <w:ind w:left="1440"/>
        <w:jc w:val="both"/>
        <w:rPr>
          <w:rFonts w:ascii="Tahoma" w:hAnsi="Tahoma" w:cs="Tahoma"/>
          <w:i/>
        </w:rPr>
      </w:pPr>
      <w:r w:rsidRPr="00152539">
        <w:rPr>
          <w:rFonts w:ascii="Tahoma" w:hAnsi="Tahoma" w:cs="Tahoma"/>
          <w:i/>
        </w:rPr>
        <w:t>‘The general principle, now well established in our law, is that, once a court has duly pronounced a final judgment or order, it</w:t>
      </w:r>
      <w:r w:rsidR="000E2C2F" w:rsidRPr="00152539">
        <w:rPr>
          <w:rFonts w:ascii="Tahoma" w:hAnsi="Tahoma" w:cs="Tahoma"/>
          <w:i/>
        </w:rPr>
        <w:t xml:space="preserve"> has itself no authority to correct, alter or supplement it. The reason is that it thereupon becomes functus officio, its jurisdiction in the case having been fully and finally exercised its authority over the subject matter has ceased”.</w:t>
      </w:r>
    </w:p>
    <w:p w:rsidR="00152539" w:rsidRDefault="00152539" w:rsidP="00152539">
      <w:pPr>
        <w:spacing w:after="0" w:line="360" w:lineRule="auto"/>
        <w:jc w:val="both"/>
        <w:rPr>
          <w:rFonts w:ascii="Tahoma" w:hAnsi="Tahoma" w:cs="Tahoma"/>
          <w:sz w:val="24"/>
          <w:szCs w:val="24"/>
        </w:rPr>
      </w:pPr>
    </w:p>
    <w:p w:rsidR="00152539" w:rsidRDefault="00152539" w:rsidP="002D6FFA">
      <w:pPr>
        <w:spacing w:after="0" w:line="360" w:lineRule="auto"/>
        <w:ind w:firstLine="720"/>
        <w:jc w:val="both"/>
        <w:rPr>
          <w:rFonts w:ascii="Tahoma" w:hAnsi="Tahoma" w:cs="Tahoma"/>
          <w:sz w:val="24"/>
          <w:szCs w:val="24"/>
        </w:rPr>
      </w:pPr>
      <w:r>
        <w:rPr>
          <w:rFonts w:ascii="Tahoma" w:hAnsi="Tahoma" w:cs="Tahoma"/>
          <w:sz w:val="24"/>
          <w:szCs w:val="24"/>
        </w:rPr>
        <w:t>In the ZESA Ho</w:t>
      </w:r>
      <w:r w:rsidR="002D6FFA">
        <w:rPr>
          <w:rFonts w:ascii="Tahoma" w:hAnsi="Tahoma" w:cs="Tahoma"/>
          <w:sz w:val="24"/>
          <w:szCs w:val="24"/>
        </w:rPr>
        <w:t>l</w:t>
      </w:r>
      <w:r>
        <w:rPr>
          <w:rFonts w:ascii="Tahoma" w:hAnsi="Tahoma" w:cs="Tahoma"/>
          <w:sz w:val="24"/>
          <w:szCs w:val="24"/>
        </w:rPr>
        <w:t>dings</w:t>
      </w:r>
      <w:r w:rsidR="002D6FFA">
        <w:rPr>
          <w:rFonts w:ascii="Tahoma" w:hAnsi="Tahoma" w:cs="Tahoma"/>
          <w:sz w:val="24"/>
          <w:szCs w:val="24"/>
        </w:rPr>
        <w:t xml:space="preserve"> case (supra) the learned Judge also stated that the other reason why the court cannot revisit its decision once it has finally pronounced itself is the equally important consideration is the public interest in bringing litigation to finality. The parties must be assured that once an order of court has been made, it is final and they can arrange their affairs in accordance with that order.</w:t>
      </w:r>
    </w:p>
    <w:p w:rsidR="002D6FFA" w:rsidRDefault="002D6FFA" w:rsidP="002D6FFA">
      <w:pPr>
        <w:spacing w:after="0" w:line="360" w:lineRule="auto"/>
        <w:ind w:firstLine="720"/>
        <w:jc w:val="both"/>
        <w:rPr>
          <w:rFonts w:ascii="Tahoma" w:hAnsi="Tahoma" w:cs="Tahoma"/>
          <w:sz w:val="24"/>
          <w:szCs w:val="24"/>
        </w:rPr>
      </w:pPr>
    </w:p>
    <w:p w:rsidR="002D6FFA" w:rsidRDefault="002D6FFA" w:rsidP="002D6FFA">
      <w:pPr>
        <w:spacing w:after="0" w:line="360" w:lineRule="auto"/>
        <w:ind w:firstLine="720"/>
        <w:jc w:val="both"/>
        <w:rPr>
          <w:rFonts w:ascii="Tahoma" w:hAnsi="Tahoma" w:cs="Tahoma"/>
          <w:sz w:val="24"/>
          <w:szCs w:val="24"/>
        </w:rPr>
      </w:pPr>
      <w:r>
        <w:rPr>
          <w:rFonts w:ascii="Tahoma" w:hAnsi="Tahoma" w:cs="Tahoma"/>
          <w:sz w:val="24"/>
          <w:szCs w:val="24"/>
        </w:rPr>
        <w:t>The applicant argued that the court must amend its decision in the interest of justice. The interests of justice demand</w:t>
      </w:r>
      <w:r w:rsidR="00540C71">
        <w:rPr>
          <w:rFonts w:ascii="Tahoma" w:hAnsi="Tahoma" w:cs="Tahoma"/>
          <w:sz w:val="24"/>
          <w:szCs w:val="24"/>
        </w:rPr>
        <w:t>,</w:t>
      </w:r>
      <w:r>
        <w:rPr>
          <w:rFonts w:ascii="Tahoma" w:hAnsi="Tahoma" w:cs="Tahoma"/>
          <w:sz w:val="24"/>
          <w:szCs w:val="24"/>
        </w:rPr>
        <w:t xml:space="preserve"> in my opinion</w:t>
      </w:r>
      <w:r w:rsidR="00540C71">
        <w:rPr>
          <w:rFonts w:ascii="Tahoma" w:hAnsi="Tahoma" w:cs="Tahoma"/>
          <w:sz w:val="24"/>
          <w:szCs w:val="24"/>
        </w:rPr>
        <w:t>,</w:t>
      </w:r>
      <w:r>
        <w:rPr>
          <w:rFonts w:ascii="Tahoma" w:hAnsi="Tahoma" w:cs="Tahoma"/>
          <w:sz w:val="24"/>
          <w:szCs w:val="24"/>
        </w:rPr>
        <w:t xml:space="preserve"> that a final decision be made by </w:t>
      </w:r>
      <w:r w:rsidR="00540C71">
        <w:rPr>
          <w:rFonts w:ascii="Tahoma" w:hAnsi="Tahoma" w:cs="Tahoma"/>
          <w:sz w:val="24"/>
          <w:szCs w:val="24"/>
        </w:rPr>
        <w:t>a court. T</w:t>
      </w:r>
      <w:r>
        <w:rPr>
          <w:rFonts w:ascii="Tahoma" w:hAnsi="Tahoma" w:cs="Tahoma"/>
          <w:sz w:val="24"/>
          <w:szCs w:val="24"/>
        </w:rPr>
        <w:t>he court</w:t>
      </w:r>
      <w:r w:rsidR="00540C71">
        <w:rPr>
          <w:rFonts w:ascii="Tahoma" w:hAnsi="Tahoma" w:cs="Tahoma"/>
          <w:sz w:val="24"/>
          <w:szCs w:val="24"/>
        </w:rPr>
        <w:t>’s decision</w:t>
      </w:r>
      <w:r>
        <w:rPr>
          <w:rFonts w:ascii="Tahoma" w:hAnsi="Tahoma" w:cs="Tahoma"/>
          <w:sz w:val="24"/>
          <w:szCs w:val="24"/>
        </w:rPr>
        <w:t xml:space="preserve"> cannot be sought to be amended more than 10 years later. </w:t>
      </w:r>
      <w:r>
        <w:rPr>
          <w:rFonts w:ascii="Tahoma" w:hAnsi="Tahoma" w:cs="Tahoma"/>
          <w:sz w:val="24"/>
          <w:szCs w:val="24"/>
        </w:rPr>
        <w:lastRenderedPageBreak/>
        <w:t>This will seriously prejudice the other side and the prejudice cannot be cured by an order of costs.</w:t>
      </w:r>
    </w:p>
    <w:p w:rsidR="0064168A" w:rsidRDefault="0064168A" w:rsidP="002D6FFA">
      <w:pPr>
        <w:spacing w:after="0" w:line="360" w:lineRule="auto"/>
        <w:ind w:firstLine="720"/>
        <w:jc w:val="both"/>
        <w:rPr>
          <w:rFonts w:ascii="Tahoma" w:hAnsi="Tahoma" w:cs="Tahoma"/>
          <w:sz w:val="24"/>
          <w:szCs w:val="24"/>
        </w:rPr>
      </w:pPr>
      <w:r>
        <w:rPr>
          <w:rFonts w:ascii="Tahoma" w:hAnsi="Tahoma" w:cs="Tahoma"/>
          <w:sz w:val="24"/>
          <w:szCs w:val="24"/>
        </w:rPr>
        <w:t>The legislature has indeed authorize</w:t>
      </w:r>
      <w:r w:rsidR="00B62DD9">
        <w:rPr>
          <w:rFonts w:ascii="Tahoma" w:hAnsi="Tahoma" w:cs="Tahoma"/>
          <w:sz w:val="24"/>
          <w:szCs w:val="24"/>
        </w:rPr>
        <w:t>d the alteration of judgments of</w:t>
      </w:r>
      <w:r>
        <w:rPr>
          <w:rFonts w:ascii="Tahoma" w:hAnsi="Tahoma" w:cs="Tahoma"/>
          <w:sz w:val="24"/>
          <w:szCs w:val="24"/>
        </w:rPr>
        <w:t xml:space="preserve"> the court by the same court in terms of section 92C. But this cannot be an authority that can be exercised so long after the decision was made. This would militate against the legal principles entranced in our law</w:t>
      </w:r>
      <w:r w:rsidR="003354A0">
        <w:rPr>
          <w:rFonts w:ascii="Tahoma" w:hAnsi="Tahoma" w:cs="Tahoma"/>
          <w:sz w:val="24"/>
          <w:szCs w:val="24"/>
        </w:rPr>
        <w:t xml:space="preserve">. The applicant in </w:t>
      </w:r>
      <w:r w:rsidR="003354A0" w:rsidRPr="003354A0">
        <w:rPr>
          <w:rFonts w:ascii="Tahoma" w:hAnsi="Tahoma" w:cs="Tahoma"/>
          <w:i/>
          <w:sz w:val="24"/>
          <w:szCs w:val="24"/>
        </w:rPr>
        <w:t>casu</w:t>
      </w:r>
      <w:r w:rsidR="003354A0">
        <w:rPr>
          <w:rFonts w:ascii="Tahoma" w:hAnsi="Tahoma" w:cs="Tahoma"/>
          <w:sz w:val="24"/>
          <w:szCs w:val="24"/>
        </w:rPr>
        <w:t xml:space="preserve"> ought to have applied to amend the incorrect citation before the final</w:t>
      </w:r>
      <w:r w:rsidR="00B62DD9">
        <w:rPr>
          <w:rFonts w:ascii="Tahoma" w:hAnsi="Tahoma" w:cs="Tahoma"/>
          <w:sz w:val="24"/>
          <w:szCs w:val="24"/>
        </w:rPr>
        <w:t xml:space="preserve"> judgment was pronounced or within 30 days</w:t>
      </w:r>
      <w:r w:rsidR="003354A0">
        <w:rPr>
          <w:rFonts w:ascii="Tahoma" w:hAnsi="Tahoma" w:cs="Tahoma"/>
          <w:sz w:val="24"/>
          <w:szCs w:val="24"/>
        </w:rPr>
        <w:t xml:space="preserve"> after the judgment had been issued but she chose to wait</w:t>
      </w:r>
      <w:r w:rsidR="00953E0E">
        <w:rPr>
          <w:rFonts w:ascii="Tahoma" w:hAnsi="Tahoma" w:cs="Tahoma"/>
          <w:sz w:val="24"/>
          <w:szCs w:val="24"/>
        </w:rPr>
        <w:t xml:space="preserve"> for more than 10 years before applying to correct her error. This is unacceptable.</w:t>
      </w:r>
    </w:p>
    <w:p w:rsidR="00953E0E" w:rsidRDefault="00953E0E" w:rsidP="002D6FFA">
      <w:pPr>
        <w:spacing w:after="0" w:line="360" w:lineRule="auto"/>
        <w:ind w:firstLine="720"/>
        <w:jc w:val="both"/>
        <w:rPr>
          <w:rFonts w:ascii="Tahoma" w:hAnsi="Tahoma" w:cs="Tahoma"/>
          <w:sz w:val="24"/>
          <w:szCs w:val="24"/>
        </w:rPr>
      </w:pPr>
    </w:p>
    <w:p w:rsidR="00953E0E" w:rsidRPr="009D5A3E" w:rsidRDefault="00B62DD9" w:rsidP="002D6FFA">
      <w:pPr>
        <w:spacing w:after="0" w:line="360" w:lineRule="auto"/>
        <w:ind w:firstLine="720"/>
        <w:jc w:val="both"/>
        <w:rPr>
          <w:rFonts w:ascii="Tahoma" w:hAnsi="Tahoma" w:cs="Tahoma"/>
          <w:i/>
          <w:sz w:val="24"/>
          <w:szCs w:val="24"/>
        </w:rPr>
      </w:pPr>
      <w:r>
        <w:rPr>
          <w:rFonts w:ascii="Tahoma" w:hAnsi="Tahoma" w:cs="Tahoma"/>
          <w:sz w:val="24"/>
          <w:szCs w:val="24"/>
        </w:rPr>
        <w:t>In the result</w:t>
      </w:r>
      <w:r w:rsidR="00953E0E">
        <w:rPr>
          <w:rFonts w:ascii="Tahoma" w:hAnsi="Tahoma" w:cs="Tahoma"/>
          <w:sz w:val="24"/>
          <w:szCs w:val="24"/>
        </w:rPr>
        <w:t xml:space="preserve">, the application fails on the basis that the court is </w:t>
      </w:r>
      <w:r w:rsidR="00953E0E" w:rsidRPr="009D5A3E">
        <w:rPr>
          <w:rFonts w:ascii="Tahoma" w:hAnsi="Tahoma" w:cs="Tahoma"/>
          <w:i/>
          <w:sz w:val="24"/>
          <w:szCs w:val="24"/>
        </w:rPr>
        <w:t>functus officio.</w:t>
      </w:r>
    </w:p>
    <w:p w:rsidR="00953E0E" w:rsidRDefault="00953E0E" w:rsidP="00953E0E">
      <w:pPr>
        <w:spacing w:after="0" w:line="360" w:lineRule="auto"/>
        <w:jc w:val="both"/>
        <w:rPr>
          <w:rFonts w:ascii="Tahoma" w:hAnsi="Tahoma" w:cs="Tahoma"/>
          <w:sz w:val="24"/>
          <w:szCs w:val="24"/>
        </w:rPr>
      </w:pPr>
    </w:p>
    <w:p w:rsidR="00953E0E" w:rsidRDefault="00953E0E" w:rsidP="00953E0E">
      <w:pPr>
        <w:spacing w:after="0" w:line="360" w:lineRule="auto"/>
        <w:jc w:val="both"/>
        <w:rPr>
          <w:rFonts w:ascii="Tahoma" w:hAnsi="Tahoma" w:cs="Tahoma"/>
          <w:sz w:val="24"/>
          <w:szCs w:val="24"/>
        </w:rPr>
      </w:pPr>
    </w:p>
    <w:p w:rsidR="00953E0E" w:rsidRPr="00953E0E" w:rsidRDefault="00953E0E" w:rsidP="00953E0E">
      <w:pPr>
        <w:spacing w:after="0" w:line="360" w:lineRule="auto"/>
        <w:jc w:val="both"/>
        <w:rPr>
          <w:rFonts w:ascii="Tahoma" w:hAnsi="Tahoma" w:cs="Tahoma"/>
          <w:sz w:val="40"/>
          <w:szCs w:val="40"/>
        </w:rPr>
      </w:pPr>
      <w:r w:rsidRPr="00953E0E">
        <w:rPr>
          <w:rFonts w:ascii="Tahoma" w:hAnsi="Tahoma" w:cs="Tahoma"/>
          <w:sz w:val="40"/>
          <w:szCs w:val="40"/>
        </w:rPr>
        <w:t>Order</w:t>
      </w:r>
    </w:p>
    <w:p w:rsidR="00953E0E" w:rsidRDefault="00953E0E" w:rsidP="00953E0E">
      <w:pPr>
        <w:spacing w:after="0" w:line="360" w:lineRule="auto"/>
        <w:jc w:val="both"/>
        <w:rPr>
          <w:rFonts w:ascii="Tahoma" w:hAnsi="Tahoma" w:cs="Tahoma"/>
          <w:sz w:val="24"/>
          <w:szCs w:val="24"/>
        </w:rPr>
      </w:pPr>
    </w:p>
    <w:p w:rsidR="00953E0E" w:rsidRDefault="00953E0E" w:rsidP="00953E0E">
      <w:pPr>
        <w:spacing w:after="0" w:line="360" w:lineRule="auto"/>
        <w:jc w:val="both"/>
        <w:rPr>
          <w:rFonts w:ascii="Tahoma" w:hAnsi="Tahoma" w:cs="Tahoma"/>
          <w:sz w:val="24"/>
          <w:szCs w:val="24"/>
        </w:rPr>
      </w:pPr>
    </w:p>
    <w:p w:rsidR="00953E0E" w:rsidRDefault="00953E0E" w:rsidP="00953E0E">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application is dismissed.</w:t>
      </w:r>
    </w:p>
    <w:p w:rsidR="00953E0E" w:rsidRDefault="00953E0E" w:rsidP="00953E0E">
      <w:pPr>
        <w:pStyle w:val="ListParagraph"/>
        <w:spacing w:after="0" w:line="360" w:lineRule="auto"/>
        <w:jc w:val="both"/>
        <w:rPr>
          <w:rFonts w:ascii="Tahoma" w:hAnsi="Tahoma" w:cs="Tahoma"/>
          <w:sz w:val="24"/>
          <w:szCs w:val="24"/>
        </w:rPr>
      </w:pPr>
    </w:p>
    <w:p w:rsidR="00953E0E" w:rsidRPr="00953E0E" w:rsidRDefault="00953E0E" w:rsidP="00953E0E">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Each party will bear its own costs.</w:t>
      </w:r>
    </w:p>
    <w:p w:rsidR="003B3AE8" w:rsidRPr="006D23C2" w:rsidRDefault="003B3AE8" w:rsidP="00E039A0">
      <w:pPr>
        <w:spacing w:after="0" w:line="360" w:lineRule="auto"/>
        <w:jc w:val="both"/>
        <w:rPr>
          <w:rFonts w:ascii="Tahoma" w:hAnsi="Tahoma" w:cs="Tahoma"/>
          <w:sz w:val="24"/>
          <w:szCs w:val="24"/>
        </w:rPr>
      </w:pPr>
    </w:p>
    <w:p w:rsidR="006E20D8" w:rsidRDefault="006E20D8" w:rsidP="006E20D8">
      <w:pPr>
        <w:spacing w:after="0" w:line="360" w:lineRule="auto"/>
        <w:jc w:val="both"/>
        <w:rPr>
          <w:rFonts w:ascii="Tahoma" w:hAnsi="Tahoma" w:cs="Tahoma"/>
          <w:i/>
          <w:sz w:val="24"/>
          <w:szCs w:val="24"/>
        </w:rPr>
      </w:pPr>
    </w:p>
    <w:p w:rsidR="003272A8" w:rsidRPr="00D53DC0" w:rsidRDefault="003272A8" w:rsidP="006E20D8">
      <w:pPr>
        <w:spacing w:after="0" w:line="360" w:lineRule="auto"/>
        <w:jc w:val="both"/>
        <w:rPr>
          <w:rFonts w:ascii="Tahoma" w:hAnsi="Tahoma" w:cs="Tahoma"/>
          <w:i/>
          <w:sz w:val="24"/>
          <w:szCs w:val="24"/>
        </w:rPr>
      </w:pPr>
    </w:p>
    <w:p w:rsidR="00692D4C" w:rsidRDefault="00692D4C" w:rsidP="004B7118">
      <w:pPr>
        <w:spacing w:after="0" w:line="360" w:lineRule="auto"/>
        <w:jc w:val="both"/>
        <w:rPr>
          <w:rFonts w:ascii="Tahoma" w:hAnsi="Tahoma" w:cs="Tahoma"/>
          <w:i/>
          <w:sz w:val="24"/>
          <w:szCs w:val="24"/>
        </w:rPr>
      </w:pPr>
    </w:p>
    <w:p w:rsidR="003272A8" w:rsidRPr="003272A8" w:rsidRDefault="003272A8" w:rsidP="004B7118">
      <w:pPr>
        <w:spacing w:after="0" w:line="360" w:lineRule="auto"/>
        <w:jc w:val="both"/>
        <w:rPr>
          <w:rFonts w:ascii="Tahoma" w:hAnsi="Tahoma" w:cs="Tahoma"/>
          <w:b/>
          <w:i/>
          <w:sz w:val="24"/>
          <w:szCs w:val="24"/>
        </w:rPr>
      </w:pPr>
      <w:r w:rsidRPr="003272A8">
        <w:rPr>
          <w:rFonts w:ascii="Tahoma" w:hAnsi="Tahoma" w:cs="Tahoma"/>
          <w:b/>
          <w:i/>
          <w:sz w:val="24"/>
          <w:szCs w:val="24"/>
        </w:rPr>
        <w:t>Messrs Atukwa Attorneys</w:t>
      </w:r>
      <w:r w:rsidRPr="003272A8">
        <w:rPr>
          <w:rFonts w:ascii="Tahoma" w:hAnsi="Tahoma" w:cs="Tahoma"/>
          <w:b/>
          <w:i/>
          <w:sz w:val="24"/>
          <w:szCs w:val="24"/>
        </w:rPr>
        <w:tab/>
        <w:t>-</w:t>
      </w:r>
      <w:r w:rsidRPr="003272A8">
        <w:rPr>
          <w:rFonts w:ascii="Tahoma" w:hAnsi="Tahoma" w:cs="Tahoma"/>
          <w:b/>
          <w:i/>
          <w:sz w:val="24"/>
          <w:szCs w:val="24"/>
        </w:rPr>
        <w:tab/>
        <w:t>Applicant’s Legal Practitioners</w:t>
      </w:r>
    </w:p>
    <w:p w:rsidR="003272A8" w:rsidRPr="003272A8" w:rsidRDefault="003272A8" w:rsidP="004B7118">
      <w:pPr>
        <w:spacing w:after="0" w:line="360" w:lineRule="auto"/>
        <w:jc w:val="both"/>
        <w:rPr>
          <w:rFonts w:ascii="Tahoma" w:hAnsi="Tahoma" w:cs="Tahoma"/>
          <w:b/>
          <w:i/>
          <w:sz w:val="24"/>
          <w:szCs w:val="24"/>
        </w:rPr>
      </w:pPr>
    </w:p>
    <w:p w:rsidR="003272A8" w:rsidRPr="003272A8" w:rsidRDefault="003272A8" w:rsidP="004B7118">
      <w:pPr>
        <w:spacing w:after="0" w:line="360" w:lineRule="auto"/>
        <w:jc w:val="both"/>
        <w:rPr>
          <w:rFonts w:ascii="Tahoma" w:hAnsi="Tahoma" w:cs="Tahoma"/>
          <w:b/>
          <w:i/>
          <w:sz w:val="24"/>
          <w:szCs w:val="24"/>
        </w:rPr>
      </w:pPr>
      <w:r w:rsidRPr="003272A8">
        <w:rPr>
          <w:rFonts w:ascii="Tahoma" w:hAnsi="Tahoma" w:cs="Tahoma"/>
          <w:b/>
          <w:i/>
          <w:sz w:val="24"/>
          <w:szCs w:val="24"/>
        </w:rPr>
        <w:t>Civil Division of the Attorney Generals’ Office – Respondent’s Legal Pract</w:t>
      </w:r>
      <w:r>
        <w:rPr>
          <w:rFonts w:ascii="Tahoma" w:hAnsi="Tahoma" w:cs="Tahoma"/>
          <w:b/>
          <w:i/>
          <w:sz w:val="24"/>
          <w:szCs w:val="24"/>
        </w:rPr>
        <w:t>it</w:t>
      </w:r>
      <w:r w:rsidRPr="003272A8">
        <w:rPr>
          <w:rFonts w:ascii="Tahoma" w:hAnsi="Tahoma" w:cs="Tahoma"/>
          <w:b/>
          <w:i/>
          <w:sz w:val="24"/>
          <w:szCs w:val="24"/>
        </w:rPr>
        <w:t>ioners</w:t>
      </w:r>
    </w:p>
    <w:sectPr w:rsidR="003272A8" w:rsidRPr="003272A8"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CE" w:rsidRDefault="001538CE" w:rsidP="002E1B63">
      <w:pPr>
        <w:spacing w:after="0" w:line="240" w:lineRule="auto"/>
      </w:pPr>
      <w:r>
        <w:separator/>
      </w:r>
    </w:p>
  </w:endnote>
  <w:endnote w:type="continuationSeparator" w:id="0">
    <w:p w:rsidR="001538CE" w:rsidRDefault="001538CE"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CE" w:rsidRDefault="001538CE" w:rsidP="002E1B63">
      <w:pPr>
        <w:spacing w:after="0" w:line="240" w:lineRule="auto"/>
      </w:pPr>
      <w:r>
        <w:separator/>
      </w:r>
    </w:p>
  </w:footnote>
  <w:footnote w:type="continuationSeparator" w:id="0">
    <w:p w:rsidR="001538CE" w:rsidRDefault="001538CE"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64168A" w:rsidRDefault="0064168A">
        <w:pPr>
          <w:pStyle w:val="Header"/>
          <w:jc w:val="right"/>
        </w:pPr>
      </w:p>
      <w:p w:rsidR="0064168A" w:rsidRDefault="0064168A">
        <w:pPr>
          <w:pStyle w:val="Header"/>
          <w:jc w:val="right"/>
          <w:rPr>
            <w:noProof/>
          </w:rPr>
        </w:pPr>
        <w:r>
          <w:fldChar w:fldCharType="begin"/>
        </w:r>
        <w:r>
          <w:instrText xml:space="preserve"> PAGE   \* MERGEFORMAT </w:instrText>
        </w:r>
        <w:r>
          <w:fldChar w:fldCharType="separate"/>
        </w:r>
        <w:r w:rsidR="00720F49">
          <w:rPr>
            <w:noProof/>
          </w:rPr>
          <w:t>5</w:t>
        </w:r>
        <w:r>
          <w:rPr>
            <w:noProof/>
          </w:rPr>
          <w:fldChar w:fldCharType="end"/>
        </w:r>
      </w:p>
      <w:p w:rsidR="0064168A" w:rsidRDefault="0064168A">
        <w:pPr>
          <w:pStyle w:val="Header"/>
          <w:jc w:val="right"/>
          <w:rPr>
            <w:noProof/>
          </w:rPr>
        </w:pPr>
        <w:r>
          <w:rPr>
            <w:noProof/>
          </w:rPr>
          <w:t>JUDGMENT NO. LC/H/</w:t>
        </w:r>
        <w:r w:rsidR="00FE6FF2">
          <w:rPr>
            <w:noProof/>
          </w:rPr>
          <w:t>157</w:t>
        </w:r>
        <w:r>
          <w:rPr>
            <w:noProof/>
          </w:rPr>
          <w:t>/2021</w:t>
        </w:r>
      </w:p>
      <w:p w:rsidR="0064168A" w:rsidRDefault="0064168A" w:rsidP="00833E26">
        <w:pPr>
          <w:pStyle w:val="Header"/>
          <w:jc w:val="center"/>
        </w:pPr>
        <w:r>
          <w:rPr>
            <w:noProof/>
          </w:rPr>
          <w:tab/>
          <w:t xml:space="preserve">                                                                                                                                       CASE NO. LC/H/APP/848/18</w:t>
        </w:r>
      </w:p>
    </w:sdtContent>
  </w:sdt>
  <w:p w:rsidR="0064168A" w:rsidRDefault="00641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54B68"/>
    <w:multiLevelType w:val="hybridMultilevel"/>
    <w:tmpl w:val="D1F8D364"/>
    <w:lvl w:ilvl="0" w:tplc="546E681E">
      <w:start w:val="9"/>
      <w:numFmt w:val="bullet"/>
      <w:lvlText w:val=""/>
      <w:lvlJc w:val="left"/>
      <w:pPr>
        <w:ind w:left="720" w:hanging="360"/>
      </w:pPr>
      <w:rPr>
        <w:rFonts w:ascii="Symbol" w:eastAsiaTheme="minorHAnsi" w:hAnsi="Symbol"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0"/>
  </w:num>
  <w:num w:numId="6">
    <w:abstractNumId w:val="11"/>
  </w:num>
  <w:num w:numId="7">
    <w:abstractNumId w:val="5"/>
  </w:num>
  <w:num w:numId="8">
    <w:abstractNumId w:val="8"/>
  </w:num>
  <w:num w:numId="9">
    <w:abstractNumId w:val="6"/>
  </w:num>
  <w:num w:numId="10">
    <w:abstractNumId w:val="9"/>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4CC"/>
    <w:rsid w:val="000029A6"/>
    <w:rsid w:val="00016EE7"/>
    <w:rsid w:val="00020499"/>
    <w:rsid w:val="00020D7A"/>
    <w:rsid w:val="0002481F"/>
    <w:rsid w:val="00025EDA"/>
    <w:rsid w:val="00030538"/>
    <w:rsid w:val="00046609"/>
    <w:rsid w:val="0005261C"/>
    <w:rsid w:val="00053B16"/>
    <w:rsid w:val="0006239A"/>
    <w:rsid w:val="000642DA"/>
    <w:rsid w:val="00067E67"/>
    <w:rsid w:val="00080978"/>
    <w:rsid w:val="00084141"/>
    <w:rsid w:val="0008442D"/>
    <w:rsid w:val="00087207"/>
    <w:rsid w:val="000901E3"/>
    <w:rsid w:val="00091B19"/>
    <w:rsid w:val="00092038"/>
    <w:rsid w:val="0009283E"/>
    <w:rsid w:val="00094DA1"/>
    <w:rsid w:val="000A1B33"/>
    <w:rsid w:val="000A1D3A"/>
    <w:rsid w:val="000A6910"/>
    <w:rsid w:val="000A6AB7"/>
    <w:rsid w:val="000B00F4"/>
    <w:rsid w:val="000B3C26"/>
    <w:rsid w:val="000B43EE"/>
    <w:rsid w:val="000B48C8"/>
    <w:rsid w:val="000C27E1"/>
    <w:rsid w:val="000C3722"/>
    <w:rsid w:val="000C6B55"/>
    <w:rsid w:val="000C6E53"/>
    <w:rsid w:val="000D424B"/>
    <w:rsid w:val="000D77F1"/>
    <w:rsid w:val="000E1896"/>
    <w:rsid w:val="000E2C2F"/>
    <w:rsid w:val="000E3EAB"/>
    <w:rsid w:val="000E474D"/>
    <w:rsid w:val="000E59F8"/>
    <w:rsid w:val="000E5EAF"/>
    <w:rsid w:val="000E69DF"/>
    <w:rsid w:val="000F163D"/>
    <w:rsid w:val="001009F1"/>
    <w:rsid w:val="00100BE0"/>
    <w:rsid w:val="00103803"/>
    <w:rsid w:val="001109B5"/>
    <w:rsid w:val="00110B2F"/>
    <w:rsid w:val="0011404F"/>
    <w:rsid w:val="0011581C"/>
    <w:rsid w:val="0012177F"/>
    <w:rsid w:val="00122409"/>
    <w:rsid w:val="00130AF8"/>
    <w:rsid w:val="0013151E"/>
    <w:rsid w:val="001321A0"/>
    <w:rsid w:val="0013354F"/>
    <w:rsid w:val="001358F7"/>
    <w:rsid w:val="001374B6"/>
    <w:rsid w:val="001442E7"/>
    <w:rsid w:val="00144612"/>
    <w:rsid w:val="00151D73"/>
    <w:rsid w:val="00152041"/>
    <w:rsid w:val="00152539"/>
    <w:rsid w:val="001538CE"/>
    <w:rsid w:val="00161586"/>
    <w:rsid w:val="00163E94"/>
    <w:rsid w:val="001674BF"/>
    <w:rsid w:val="00170D8E"/>
    <w:rsid w:val="0017425B"/>
    <w:rsid w:val="00184B01"/>
    <w:rsid w:val="0018758A"/>
    <w:rsid w:val="00190F8A"/>
    <w:rsid w:val="001958D6"/>
    <w:rsid w:val="0019705E"/>
    <w:rsid w:val="00197793"/>
    <w:rsid w:val="001A3A49"/>
    <w:rsid w:val="001B1BC9"/>
    <w:rsid w:val="001B1DF6"/>
    <w:rsid w:val="001B7A70"/>
    <w:rsid w:val="001B7CD3"/>
    <w:rsid w:val="001C36F0"/>
    <w:rsid w:val="001C6ABE"/>
    <w:rsid w:val="001C7EFA"/>
    <w:rsid w:val="001D0C71"/>
    <w:rsid w:val="001D24A7"/>
    <w:rsid w:val="001D2758"/>
    <w:rsid w:val="001D6399"/>
    <w:rsid w:val="001E30AC"/>
    <w:rsid w:val="001F1C6A"/>
    <w:rsid w:val="002009EF"/>
    <w:rsid w:val="00203A26"/>
    <w:rsid w:val="00205812"/>
    <w:rsid w:val="002155AD"/>
    <w:rsid w:val="0021679E"/>
    <w:rsid w:val="00216B43"/>
    <w:rsid w:val="00217328"/>
    <w:rsid w:val="002210B0"/>
    <w:rsid w:val="00221EA5"/>
    <w:rsid w:val="00225E4A"/>
    <w:rsid w:val="002262E8"/>
    <w:rsid w:val="00230ECB"/>
    <w:rsid w:val="002324D0"/>
    <w:rsid w:val="00232C1C"/>
    <w:rsid w:val="00234172"/>
    <w:rsid w:val="0024027D"/>
    <w:rsid w:val="00241E38"/>
    <w:rsid w:val="0024238F"/>
    <w:rsid w:val="002477BE"/>
    <w:rsid w:val="0026176B"/>
    <w:rsid w:val="00261DF0"/>
    <w:rsid w:val="0026230C"/>
    <w:rsid w:val="00271300"/>
    <w:rsid w:val="00283CAE"/>
    <w:rsid w:val="00283D98"/>
    <w:rsid w:val="00283F6F"/>
    <w:rsid w:val="00286290"/>
    <w:rsid w:val="00286FC7"/>
    <w:rsid w:val="002922BF"/>
    <w:rsid w:val="00297DB3"/>
    <w:rsid w:val="002A4FD2"/>
    <w:rsid w:val="002C3E31"/>
    <w:rsid w:val="002D40E8"/>
    <w:rsid w:val="002D49DB"/>
    <w:rsid w:val="002D516A"/>
    <w:rsid w:val="002D6B74"/>
    <w:rsid w:val="002D6FFA"/>
    <w:rsid w:val="002E1B63"/>
    <w:rsid w:val="002E2866"/>
    <w:rsid w:val="002E3B7B"/>
    <w:rsid w:val="002E615E"/>
    <w:rsid w:val="002F08AE"/>
    <w:rsid w:val="002F400E"/>
    <w:rsid w:val="003005C1"/>
    <w:rsid w:val="00301C4F"/>
    <w:rsid w:val="0030798C"/>
    <w:rsid w:val="003110B9"/>
    <w:rsid w:val="00314C28"/>
    <w:rsid w:val="00316D8A"/>
    <w:rsid w:val="00321135"/>
    <w:rsid w:val="00321E25"/>
    <w:rsid w:val="003272A8"/>
    <w:rsid w:val="00331C57"/>
    <w:rsid w:val="0033393C"/>
    <w:rsid w:val="003354A0"/>
    <w:rsid w:val="00345392"/>
    <w:rsid w:val="0034663B"/>
    <w:rsid w:val="00346D8D"/>
    <w:rsid w:val="00351CF8"/>
    <w:rsid w:val="0035275B"/>
    <w:rsid w:val="00352E04"/>
    <w:rsid w:val="0035359E"/>
    <w:rsid w:val="00356915"/>
    <w:rsid w:val="00366B3E"/>
    <w:rsid w:val="0037089B"/>
    <w:rsid w:val="00372B3E"/>
    <w:rsid w:val="00375EF8"/>
    <w:rsid w:val="00376A6A"/>
    <w:rsid w:val="003813FA"/>
    <w:rsid w:val="00382E5F"/>
    <w:rsid w:val="00384859"/>
    <w:rsid w:val="00384FC5"/>
    <w:rsid w:val="003924BE"/>
    <w:rsid w:val="00396D58"/>
    <w:rsid w:val="0039713D"/>
    <w:rsid w:val="003A5BCD"/>
    <w:rsid w:val="003A6C08"/>
    <w:rsid w:val="003A718D"/>
    <w:rsid w:val="003B160D"/>
    <w:rsid w:val="003B3AE8"/>
    <w:rsid w:val="003B5991"/>
    <w:rsid w:val="003B6072"/>
    <w:rsid w:val="003B621E"/>
    <w:rsid w:val="003B6C64"/>
    <w:rsid w:val="003B7212"/>
    <w:rsid w:val="003C2070"/>
    <w:rsid w:val="003C4131"/>
    <w:rsid w:val="003C564B"/>
    <w:rsid w:val="003D5B46"/>
    <w:rsid w:val="003E172D"/>
    <w:rsid w:val="003E51D5"/>
    <w:rsid w:val="003F153D"/>
    <w:rsid w:val="00400976"/>
    <w:rsid w:val="004043F0"/>
    <w:rsid w:val="0040494B"/>
    <w:rsid w:val="00404DFF"/>
    <w:rsid w:val="00406BB1"/>
    <w:rsid w:val="00421E4A"/>
    <w:rsid w:val="00432E54"/>
    <w:rsid w:val="00437C82"/>
    <w:rsid w:val="004504DD"/>
    <w:rsid w:val="0045490B"/>
    <w:rsid w:val="004721BA"/>
    <w:rsid w:val="0047590A"/>
    <w:rsid w:val="00475EF2"/>
    <w:rsid w:val="00475FDE"/>
    <w:rsid w:val="00477D79"/>
    <w:rsid w:val="00477F15"/>
    <w:rsid w:val="00484506"/>
    <w:rsid w:val="00485080"/>
    <w:rsid w:val="00485DB9"/>
    <w:rsid w:val="00487C8A"/>
    <w:rsid w:val="0049288B"/>
    <w:rsid w:val="00494124"/>
    <w:rsid w:val="004A5C00"/>
    <w:rsid w:val="004B275D"/>
    <w:rsid w:val="004B27CD"/>
    <w:rsid w:val="004B5D82"/>
    <w:rsid w:val="004B7118"/>
    <w:rsid w:val="004C3871"/>
    <w:rsid w:val="004C54CE"/>
    <w:rsid w:val="004D18DE"/>
    <w:rsid w:val="004D5AED"/>
    <w:rsid w:val="004E1B29"/>
    <w:rsid w:val="004E5BCA"/>
    <w:rsid w:val="004F14B2"/>
    <w:rsid w:val="004F2711"/>
    <w:rsid w:val="004F3196"/>
    <w:rsid w:val="004F3D73"/>
    <w:rsid w:val="004F4029"/>
    <w:rsid w:val="004F7023"/>
    <w:rsid w:val="004F7093"/>
    <w:rsid w:val="0050111D"/>
    <w:rsid w:val="00511750"/>
    <w:rsid w:val="005136B6"/>
    <w:rsid w:val="005152A7"/>
    <w:rsid w:val="00515E12"/>
    <w:rsid w:val="0051793A"/>
    <w:rsid w:val="00520C3A"/>
    <w:rsid w:val="00523DF5"/>
    <w:rsid w:val="00525AD7"/>
    <w:rsid w:val="00526165"/>
    <w:rsid w:val="00526382"/>
    <w:rsid w:val="00534648"/>
    <w:rsid w:val="00535F13"/>
    <w:rsid w:val="00540016"/>
    <w:rsid w:val="005407F8"/>
    <w:rsid w:val="00540C71"/>
    <w:rsid w:val="00541D30"/>
    <w:rsid w:val="00544539"/>
    <w:rsid w:val="00550614"/>
    <w:rsid w:val="0055392F"/>
    <w:rsid w:val="00553DFD"/>
    <w:rsid w:val="00553FB7"/>
    <w:rsid w:val="00556920"/>
    <w:rsid w:val="005611A2"/>
    <w:rsid w:val="00561A29"/>
    <w:rsid w:val="005652E7"/>
    <w:rsid w:val="00566059"/>
    <w:rsid w:val="0058004B"/>
    <w:rsid w:val="00582ADB"/>
    <w:rsid w:val="005838DE"/>
    <w:rsid w:val="00586AD5"/>
    <w:rsid w:val="0059003E"/>
    <w:rsid w:val="005910C6"/>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08"/>
    <w:rsid w:val="005C3D75"/>
    <w:rsid w:val="005C5732"/>
    <w:rsid w:val="005D0191"/>
    <w:rsid w:val="005D39A8"/>
    <w:rsid w:val="005D68F2"/>
    <w:rsid w:val="005E17F7"/>
    <w:rsid w:val="005E2A42"/>
    <w:rsid w:val="005E3ADD"/>
    <w:rsid w:val="005E7D66"/>
    <w:rsid w:val="005F1F7B"/>
    <w:rsid w:val="005F66DF"/>
    <w:rsid w:val="006005B2"/>
    <w:rsid w:val="00604405"/>
    <w:rsid w:val="006045BE"/>
    <w:rsid w:val="00605603"/>
    <w:rsid w:val="00606DBA"/>
    <w:rsid w:val="0061198E"/>
    <w:rsid w:val="00616C0C"/>
    <w:rsid w:val="00617757"/>
    <w:rsid w:val="006200B5"/>
    <w:rsid w:val="006263B1"/>
    <w:rsid w:val="00626537"/>
    <w:rsid w:val="006306E9"/>
    <w:rsid w:val="00632E12"/>
    <w:rsid w:val="0064168A"/>
    <w:rsid w:val="006417FA"/>
    <w:rsid w:val="00642336"/>
    <w:rsid w:val="00642B49"/>
    <w:rsid w:val="00642FA2"/>
    <w:rsid w:val="00643D91"/>
    <w:rsid w:val="00643EFB"/>
    <w:rsid w:val="00644C27"/>
    <w:rsid w:val="00654EFC"/>
    <w:rsid w:val="00660070"/>
    <w:rsid w:val="006612E6"/>
    <w:rsid w:val="006639EC"/>
    <w:rsid w:val="00664256"/>
    <w:rsid w:val="0066442B"/>
    <w:rsid w:val="006765F4"/>
    <w:rsid w:val="00676B8B"/>
    <w:rsid w:val="00680C2E"/>
    <w:rsid w:val="0068322F"/>
    <w:rsid w:val="00683F82"/>
    <w:rsid w:val="006848BE"/>
    <w:rsid w:val="0068514E"/>
    <w:rsid w:val="006909A8"/>
    <w:rsid w:val="00692D4C"/>
    <w:rsid w:val="006A0459"/>
    <w:rsid w:val="006A049D"/>
    <w:rsid w:val="006A0D50"/>
    <w:rsid w:val="006A17E1"/>
    <w:rsid w:val="006A1DDE"/>
    <w:rsid w:val="006A4955"/>
    <w:rsid w:val="006A580F"/>
    <w:rsid w:val="006A7F23"/>
    <w:rsid w:val="006B0CCB"/>
    <w:rsid w:val="006B357A"/>
    <w:rsid w:val="006B3B44"/>
    <w:rsid w:val="006B4FF5"/>
    <w:rsid w:val="006C329F"/>
    <w:rsid w:val="006C34EF"/>
    <w:rsid w:val="006C3D36"/>
    <w:rsid w:val="006C3ECD"/>
    <w:rsid w:val="006C4B12"/>
    <w:rsid w:val="006C7FC6"/>
    <w:rsid w:val="006D1D06"/>
    <w:rsid w:val="006D23C2"/>
    <w:rsid w:val="006E1834"/>
    <w:rsid w:val="006E20D8"/>
    <w:rsid w:val="006E38DD"/>
    <w:rsid w:val="006E665E"/>
    <w:rsid w:val="006F3FDA"/>
    <w:rsid w:val="006F414B"/>
    <w:rsid w:val="006F49E1"/>
    <w:rsid w:val="006F4BC9"/>
    <w:rsid w:val="006F6A1C"/>
    <w:rsid w:val="006F7ABF"/>
    <w:rsid w:val="00703BFE"/>
    <w:rsid w:val="00704680"/>
    <w:rsid w:val="00706851"/>
    <w:rsid w:val="00714452"/>
    <w:rsid w:val="00717AED"/>
    <w:rsid w:val="00717D13"/>
    <w:rsid w:val="00720F49"/>
    <w:rsid w:val="00725829"/>
    <w:rsid w:val="007275B3"/>
    <w:rsid w:val="007324AA"/>
    <w:rsid w:val="00737591"/>
    <w:rsid w:val="00743190"/>
    <w:rsid w:val="0075127E"/>
    <w:rsid w:val="007540A4"/>
    <w:rsid w:val="00760206"/>
    <w:rsid w:val="0077115B"/>
    <w:rsid w:val="00771E47"/>
    <w:rsid w:val="007820F7"/>
    <w:rsid w:val="00784EA8"/>
    <w:rsid w:val="00787846"/>
    <w:rsid w:val="00793501"/>
    <w:rsid w:val="007A17BF"/>
    <w:rsid w:val="007A3B7B"/>
    <w:rsid w:val="007C195F"/>
    <w:rsid w:val="007C4853"/>
    <w:rsid w:val="007C68AA"/>
    <w:rsid w:val="007C6DC9"/>
    <w:rsid w:val="007D6DBF"/>
    <w:rsid w:val="007E22C3"/>
    <w:rsid w:val="007E28D7"/>
    <w:rsid w:val="007E49FA"/>
    <w:rsid w:val="007E4B86"/>
    <w:rsid w:val="007E5349"/>
    <w:rsid w:val="007E7122"/>
    <w:rsid w:val="007F0582"/>
    <w:rsid w:val="007F0867"/>
    <w:rsid w:val="007F1B8C"/>
    <w:rsid w:val="007F42E5"/>
    <w:rsid w:val="007F4649"/>
    <w:rsid w:val="007F50AF"/>
    <w:rsid w:val="007F5FAF"/>
    <w:rsid w:val="007F6C82"/>
    <w:rsid w:val="00800163"/>
    <w:rsid w:val="00802F52"/>
    <w:rsid w:val="00803686"/>
    <w:rsid w:val="008054E0"/>
    <w:rsid w:val="00805B4A"/>
    <w:rsid w:val="00810040"/>
    <w:rsid w:val="00810E8E"/>
    <w:rsid w:val="008134E8"/>
    <w:rsid w:val="00823B00"/>
    <w:rsid w:val="00824BC3"/>
    <w:rsid w:val="008250BF"/>
    <w:rsid w:val="00825157"/>
    <w:rsid w:val="0082579A"/>
    <w:rsid w:val="00833479"/>
    <w:rsid w:val="00833E26"/>
    <w:rsid w:val="008352EA"/>
    <w:rsid w:val="008421C1"/>
    <w:rsid w:val="008446D3"/>
    <w:rsid w:val="00844CA2"/>
    <w:rsid w:val="00847C92"/>
    <w:rsid w:val="008502F8"/>
    <w:rsid w:val="00853050"/>
    <w:rsid w:val="00854C90"/>
    <w:rsid w:val="0085529C"/>
    <w:rsid w:val="0085577A"/>
    <w:rsid w:val="0085733D"/>
    <w:rsid w:val="00860479"/>
    <w:rsid w:val="008625DC"/>
    <w:rsid w:val="00867E2D"/>
    <w:rsid w:val="008755ED"/>
    <w:rsid w:val="008809FE"/>
    <w:rsid w:val="00883EFC"/>
    <w:rsid w:val="00887F43"/>
    <w:rsid w:val="00891299"/>
    <w:rsid w:val="0089440C"/>
    <w:rsid w:val="008947AD"/>
    <w:rsid w:val="00895198"/>
    <w:rsid w:val="008A1E89"/>
    <w:rsid w:val="008B023E"/>
    <w:rsid w:val="008B77DD"/>
    <w:rsid w:val="008C2173"/>
    <w:rsid w:val="008C6007"/>
    <w:rsid w:val="008D0393"/>
    <w:rsid w:val="008D0502"/>
    <w:rsid w:val="008D5645"/>
    <w:rsid w:val="008D5990"/>
    <w:rsid w:val="008D7BFF"/>
    <w:rsid w:val="008E0EF8"/>
    <w:rsid w:val="008E19CC"/>
    <w:rsid w:val="008E2E57"/>
    <w:rsid w:val="008F14A6"/>
    <w:rsid w:val="008F45D2"/>
    <w:rsid w:val="008F585B"/>
    <w:rsid w:val="008F6422"/>
    <w:rsid w:val="0090358C"/>
    <w:rsid w:val="00904A75"/>
    <w:rsid w:val="00910B91"/>
    <w:rsid w:val="00912658"/>
    <w:rsid w:val="009128A5"/>
    <w:rsid w:val="00915C41"/>
    <w:rsid w:val="00916F91"/>
    <w:rsid w:val="00917626"/>
    <w:rsid w:val="0092028F"/>
    <w:rsid w:val="00930641"/>
    <w:rsid w:val="00931E5A"/>
    <w:rsid w:val="00942148"/>
    <w:rsid w:val="0094433D"/>
    <w:rsid w:val="00945D39"/>
    <w:rsid w:val="0094685D"/>
    <w:rsid w:val="0095283B"/>
    <w:rsid w:val="00953E0E"/>
    <w:rsid w:val="00956724"/>
    <w:rsid w:val="009573DE"/>
    <w:rsid w:val="00957DC5"/>
    <w:rsid w:val="009609A0"/>
    <w:rsid w:val="00963FDC"/>
    <w:rsid w:val="00964109"/>
    <w:rsid w:val="00970F32"/>
    <w:rsid w:val="00972E9C"/>
    <w:rsid w:val="009754C2"/>
    <w:rsid w:val="00977E8B"/>
    <w:rsid w:val="00987180"/>
    <w:rsid w:val="00990998"/>
    <w:rsid w:val="00997C5C"/>
    <w:rsid w:val="009A52D2"/>
    <w:rsid w:val="009B3D38"/>
    <w:rsid w:val="009B4F95"/>
    <w:rsid w:val="009B55B7"/>
    <w:rsid w:val="009B787C"/>
    <w:rsid w:val="009D0E3C"/>
    <w:rsid w:val="009D4878"/>
    <w:rsid w:val="009D487C"/>
    <w:rsid w:val="009D510C"/>
    <w:rsid w:val="009D5A3E"/>
    <w:rsid w:val="009D633C"/>
    <w:rsid w:val="009E2DFE"/>
    <w:rsid w:val="009E44E0"/>
    <w:rsid w:val="009E533D"/>
    <w:rsid w:val="009F33B4"/>
    <w:rsid w:val="009F35F9"/>
    <w:rsid w:val="00A0505E"/>
    <w:rsid w:val="00A100C5"/>
    <w:rsid w:val="00A154A8"/>
    <w:rsid w:val="00A16F55"/>
    <w:rsid w:val="00A17923"/>
    <w:rsid w:val="00A2152C"/>
    <w:rsid w:val="00A2236E"/>
    <w:rsid w:val="00A22854"/>
    <w:rsid w:val="00A228E5"/>
    <w:rsid w:val="00A23628"/>
    <w:rsid w:val="00A24D89"/>
    <w:rsid w:val="00A26D1B"/>
    <w:rsid w:val="00A34027"/>
    <w:rsid w:val="00A34C82"/>
    <w:rsid w:val="00A37354"/>
    <w:rsid w:val="00A43322"/>
    <w:rsid w:val="00A50BDA"/>
    <w:rsid w:val="00A61BB9"/>
    <w:rsid w:val="00A6455E"/>
    <w:rsid w:val="00A66117"/>
    <w:rsid w:val="00A70435"/>
    <w:rsid w:val="00A842E8"/>
    <w:rsid w:val="00A91B33"/>
    <w:rsid w:val="00A94BF2"/>
    <w:rsid w:val="00A96D37"/>
    <w:rsid w:val="00A96D47"/>
    <w:rsid w:val="00AA1631"/>
    <w:rsid w:val="00AA4716"/>
    <w:rsid w:val="00AA6E4D"/>
    <w:rsid w:val="00AB00D2"/>
    <w:rsid w:val="00AB0516"/>
    <w:rsid w:val="00AB12AC"/>
    <w:rsid w:val="00AB401F"/>
    <w:rsid w:val="00AB4EE9"/>
    <w:rsid w:val="00AB5375"/>
    <w:rsid w:val="00AD070F"/>
    <w:rsid w:val="00AD1A4A"/>
    <w:rsid w:val="00AD1B95"/>
    <w:rsid w:val="00AD2B8F"/>
    <w:rsid w:val="00AD45A0"/>
    <w:rsid w:val="00AD5F3C"/>
    <w:rsid w:val="00AD6895"/>
    <w:rsid w:val="00AE234C"/>
    <w:rsid w:val="00AE3110"/>
    <w:rsid w:val="00AE5455"/>
    <w:rsid w:val="00AF121E"/>
    <w:rsid w:val="00AF4692"/>
    <w:rsid w:val="00B01197"/>
    <w:rsid w:val="00B10290"/>
    <w:rsid w:val="00B173AC"/>
    <w:rsid w:val="00B2216B"/>
    <w:rsid w:val="00B317C8"/>
    <w:rsid w:val="00B32833"/>
    <w:rsid w:val="00B3496F"/>
    <w:rsid w:val="00B3533D"/>
    <w:rsid w:val="00B35FB6"/>
    <w:rsid w:val="00B36F28"/>
    <w:rsid w:val="00B433C6"/>
    <w:rsid w:val="00B514A6"/>
    <w:rsid w:val="00B600F8"/>
    <w:rsid w:val="00B62DD9"/>
    <w:rsid w:val="00B6348A"/>
    <w:rsid w:val="00B647B4"/>
    <w:rsid w:val="00B64850"/>
    <w:rsid w:val="00B67651"/>
    <w:rsid w:val="00B700A5"/>
    <w:rsid w:val="00B85BD9"/>
    <w:rsid w:val="00BB19A1"/>
    <w:rsid w:val="00BC12ED"/>
    <w:rsid w:val="00BC15CD"/>
    <w:rsid w:val="00BC4B1E"/>
    <w:rsid w:val="00BC6AD9"/>
    <w:rsid w:val="00BD3495"/>
    <w:rsid w:val="00BF1D84"/>
    <w:rsid w:val="00BF1F30"/>
    <w:rsid w:val="00BF2F8F"/>
    <w:rsid w:val="00BF3273"/>
    <w:rsid w:val="00BF68E7"/>
    <w:rsid w:val="00C01DC0"/>
    <w:rsid w:val="00C14B80"/>
    <w:rsid w:val="00C21FD6"/>
    <w:rsid w:val="00C23F93"/>
    <w:rsid w:val="00C303F5"/>
    <w:rsid w:val="00C329F1"/>
    <w:rsid w:val="00C3688A"/>
    <w:rsid w:val="00C36D65"/>
    <w:rsid w:val="00C37A46"/>
    <w:rsid w:val="00C410AE"/>
    <w:rsid w:val="00C42CF1"/>
    <w:rsid w:val="00C44B35"/>
    <w:rsid w:val="00C51B1B"/>
    <w:rsid w:val="00C524F5"/>
    <w:rsid w:val="00C62115"/>
    <w:rsid w:val="00C6452B"/>
    <w:rsid w:val="00C65E4B"/>
    <w:rsid w:val="00C756CC"/>
    <w:rsid w:val="00C75E14"/>
    <w:rsid w:val="00C806AE"/>
    <w:rsid w:val="00C819F9"/>
    <w:rsid w:val="00C81CFF"/>
    <w:rsid w:val="00C854E2"/>
    <w:rsid w:val="00C85EBA"/>
    <w:rsid w:val="00C92F12"/>
    <w:rsid w:val="00C952F3"/>
    <w:rsid w:val="00C97E19"/>
    <w:rsid w:val="00CA0C38"/>
    <w:rsid w:val="00CA16F6"/>
    <w:rsid w:val="00CA3C3E"/>
    <w:rsid w:val="00CA55B8"/>
    <w:rsid w:val="00CB0155"/>
    <w:rsid w:val="00CB1222"/>
    <w:rsid w:val="00CB1C1C"/>
    <w:rsid w:val="00CC0882"/>
    <w:rsid w:val="00CC093B"/>
    <w:rsid w:val="00CC187C"/>
    <w:rsid w:val="00CD1744"/>
    <w:rsid w:val="00CD7C56"/>
    <w:rsid w:val="00CE43AE"/>
    <w:rsid w:val="00CE6C68"/>
    <w:rsid w:val="00CE711E"/>
    <w:rsid w:val="00CF1E5E"/>
    <w:rsid w:val="00CF2F5F"/>
    <w:rsid w:val="00D026A2"/>
    <w:rsid w:val="00D033BD"/>
    <w:rsid w:val="00D13E4E"/>
    <w:rsid w:val="00D16B2C"/>
    <w:rsid w:val="00D21D98"/>
    <w:rsid w:val="00D36CA5"/>
    <w:rsid w:val="00D407F2"/>
    <w:rsid w:val="00D445FA"/>
    <w:rsid w:val="00D453E5"/>
    <w:rsid w:val="00D4769D"/>
    <w:rsid w:val="00D53DC0"/>
    <w:rsid w:val="00D546EA"/>
    <w:rsid w:val="00D56579"/>
    <w:rsid w:val="00D567A0"/>
    <w:rsid w:val="00D579E4"/>
    <w:rsid w:val="00D63F0E"/>
    <w:rsid w:val="00D701AC"/>
    <w:rsid w:val="00D764A7"/>
    <w:rsid w:val="00D80508"/>
    <w:rsid w:val="00D81F24"/>
    <w:rsid w:val="00D84D3A"/>
    <w:rsid w:val="00D86EC2"/>
    <w:rsid w:val="00D97025"/>
    <w:rsid w:val="00DA4F16"/>
    <w:rsid w:val="00DA687E"/>
    <w:rsid w:val="00DA7712"/>
    <w:rsid w:val="00DB1DDD"/>
    <w:rsid w:val="00DB2E44"/>
    <w:rsid w:val="00DB3E6C"/>
    <w:rsid w:val="00DB409E"/>
    <w:rsid w:val="00DB40E3"/>
    <w:rsid w:val="00DB6C49"/>
    <w:rsid w:val="00DB6D33"/>
    <w:rsid w:val="00DD4FB3"/>
    <w:rsid w:val="00DD5ABA"/>
    <w:rsid w:val="00DE0976"/>
    <w:rsid w:val="00DE5C97"/>
    <w:rsid w:val="00DE7463"/>
    <w:rsid w:val="00DE7661"/>
    <w:rsid w:val="00DF20DA"/>
    <w:rsid w:val="00DF3B3D"/>
    <w:rsid w:val="00DF4E02"/>
    <w:rsid w:val="00E02466"/>
    <w:rsid w:val="00E039A0"/>
    <w:rsid w:val="00E05609"/>
    <w:rsid w:val="00E07199"/>
    <w:rsid w:val="00E11904"/>
    <w:rsid w:val="00E12E35"/>
    <w:rsid w:val="00E12FE3"/>
    <w:rsid w:val="00E21064"/>
    <w:rsid w:val="00E242DA"/>
    <w:rsid w:val="00E27594"/>
    <w:rsid w:val="00E328D8"/>
    <w:rsid w:val="00E3294C"/>
    <w:rsid w:val="00E348D4"/>
    <w:rsid w:val="00E34FBC"/>
    <w:rsid w:val="00E358BE"/>
    <w:rsid w:val="00E37D59"/>
    <w:rsid w:val="00E4367C"/>
    <w:rsid w:val="00E4619A"/>
    <w:rsid w:val="00E46B82"/>
    <w:rsid w:val="00E508A4"/>
    <w:rsid w:val="00E5110B"/>
    <w:rsid w:val="00E51E5B"/>
    <w:rsid w:val="00E5497A"/>
    <w:rsid w:val="00E5503E"/>
    <w:rsid w:val="00E56024"/>
    <w:rsid w:val="00E57FD0"/>
    <w:rsid w:val="00E64F16"/>
    <w:rsid w:val="00E66BE9"/>
    <w:rsid w:val="00E707B5"/>
    <w:rsid w:val="00E70F13"/>
    <w:rsid w:val="00E71832"/>
    <w:rsid w:val="00E76D61"/>
    <w:rsid w:val="00E7756A"/>
    <w:rsid w:val="00E80932"/>
    <w:rsid w:val="00E82C6C"/>
    <w:rsid w:val="00E86393"/>
    <w:rsid w:val="00EB0E7D"/>
    <w:rsid w:val="00EC0A7C"/>
    <w:rsid w:val="00EC7253"/>
    <w:rsid w:val="00ED5A77"/>
    <w:rsid w:val="00EE31B6"/>
    <w:rsid w:val="00EE49D4"/>
    <w:rsid w:val="00EE5F34"/>
    <w:rsid w:val="00EF0817"/>
    <w:rsid w:val="00F0304B"/>
    <w:rsid w:val="00F0664B"/>
    <w:rsid w:val="00F07EB4"/>
    <w:rsid w:val="00F112EA"/>
    <w:rsid w:val="00F2114B"/>
    <w:rsid w:val="00F22B99"/>
    <w:rsid w:val="00F23737"/>
    <w:rsid w:val="00F24630"/>
    <w:rsid w:val="00F35C92"/>
    <w:rsid w:val="00F4268F"/>
    <w:rsid w:val="00F44F01"/>
    <w:rsid w:val="00F45528"/>
    <w:rsid w:val="00F51A57"/>
    <w:rsid w:val="00F53212"/>
    <w:rsid w:val="00F57B71"/>
    <w:rsid w:val="00F62C80"/>
    <w:rsid w:val="00F74975"/>
    <w:rsid w:val="00F75CEC"/>
    <w:rsid w:val="00F770D5"/>
    <w:rsid w:val="00F80FB6"/>
    <w:rsid w:val="00F81665"/>
    <w:rsid w:val="00F87179"/>
    <w:rsid w:val="00F9229F"/>
    <w:rsid w:val="00F93762"/>
    <w:rsid w:val="00F941A3"/>
    <w:rsid w:val="00F97F0E"/>
    <w:rsid w:val="00FA1133"/>
    <w:rsid w:val="00FA4057"/>
    <w:rsid w:val="00FA489B"/>
    <w:rsid w:val="00FB26B5"/>
    <w:rsid w:val="00FB605D"/>
    <w:rsid w:val="00FC322A"/>
    <w:rsid w:val="00FC35F3"/>
    <w:rsid w:val="00FC7F0E"/>
    <w:rsid w:val="00FD0A3E"/>
    <w:rsid w:val="00FD5B44"/>
    <w:rsid w:val="00FE1736"/>
    <w:rsid w:val="00FE2014"/>
    <w:rsid w:val="00FE58C4"/>
    <w:rsid w:val="00FE6FF2"/>
    <w:rsid w:val="00FF2C1B"/>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2021-09-30T10:12:00Z</cp:lastPrinted>
  <dcterms:created xsi:type="dcterms:W3CDTF">2021-11-05T07:48:00Z</dcterms:created>
  <dcterms:modified xsi:type="dcterms:W3CDTF">2021-11-05T07:48:00Z</dcterms:modified>
</cp:coreProperties>
</file>