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8D0502">
        <w:rPr>
          <w:rFonts w:ascii="Tahoma" w:hAnsi="Tahoma" w:cs="Tahoma"/>
          <w:b/>
          <w:sz w:val="24"/>
          <w:szCs w:val="24"/>
        </w:rPr>
        <w:t>NO. LC/H/</w:t>
      </w:r>
      <w:r w:rsidR="00942E31">
        <w:rPr>
          <w:rFonts w:ascii="Tahoma" w:hAnsi="Tahoma" w:cs="Tahoma"/>
          <w:b/>
          <w:sz w:val="24"/>
          <w:szCs w:val="24"/>
        </w:rPr>
        <w:t>190</w:t>
      </w:r>
      <w:r w:rsidR="008D0502">
        <w:rPr>
          <w:rFonts w:ascii="Tahoma" w:hAnsi="Tahoma" w:cs="Tahoma"/>
          <w:b/>
          <w:sz w:val="24"/>
          <w:szCs w:val="24"/>
        </w:rPr>
        <w:t>/2020</w:t>
      </w:r>
    </w:p>
    <w:p w:rsidR="00AA4716" w:rsidRDefault="00DE5C97" w:rsidP="000029A6">
      <w:pPr>
        <w:spacing w:after="0" w:line="360" w:lineRule="auto"/>
        <w:jc w:val="both"/>
        <w:rPr>
          <w:rFonts w:ascii="Tahoma" w:hAnsi="Tahoma" w:cs="Tahoma"/>
          <w:b/>
          <w:sz w:val="24"/>
          <w:szCs w:val="24"/>
        </w:rPr>
      </w:pPr>
      <w:r>
        <w:rPr>
          <w:rFonts w:ascii="Tahoma" w:hAnsi="Tahoma" w:cs="Tahoma"/>
          <w:b/>
          <w:sz w:val="24"/>
          <w:szCs w:val="24"/>
        </w:rPr>
        <w:t>HARARE, 12 JUNE</w:t>
      </w:r>
      <w:r w:rsidR="0061198E">
        <w:rPr>
          <w:rFonts w:ascii="Tahoma" w:hAnsi="Tahoma" w:cs="Tahoma"/>
          <w:b/>
          <w:sz w:val="24"/>
          <w:szCs w:val="24"/>
        </w:rPr>
        <w:t xml:space="preserve">, </w:t>
      </w:r>
      <w:r w:rsidR="00997C5C">
        <w:rPr>
          <w:rFonts w:ascii="Tahoma" w:hAnsi="Tahoma" w:cs="Tahoma"/>
          <w:b/>
          <w:sz w:val="24"/>
          <w:szCs w:val="24"/>
        </w:rPr>
        <w:t>2020</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LC/H/APP/849/18</w:t>
      </w:r>
    </w:p>
    <w:p w:rsidR="0008442D" w:rsidRPr="00DF3B3D" w:rsidRDefault="0008442D" w:rsidP="000029A6">
      <w:pPr>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proofErr w:type="spellStart"/>
      <w:r>
        <w:rPr>
          <w:rFonts w:ascii="Tahoma" w:hAnsi="Tahoma" w:cs="Tahoma"/>
          <w:b/>
          <w:sz w:val="24"/>
          <w:szCs w:val="24"/>
        </w:rPr>
        <w:t>Xref</w:t>
      </w:r>
      <w:proofErr w:type="spellEnd"/>
      <w:r>
        <w:rPr>
          <w:rFonts w:ascii="Tahoma" w:hAnsi="Tahoma" w:cs="Tahoma"/>
          <w:b/>
          <w:sz w:val="24"/>
          <w:szCs w:val="24"/>
        </w:rPr>
        <w:t>: LC/H/APP/849/18</w:t>
      </w:r>
    </w:p>
    <w:p w:rsidR="00AA4716" w:rsidRDefault="00942E31" w:rsidP="000029A6">
      <w:pPr>
        <w:spacing w:after="0" w:line="360" w:lineRule="auto"/>
        <w:jc w:val="both"/>
        <w:rPr>
          <w:rFonts w:ascii="Tahoma" w:hAnsi="Tahoma" w:cs="Tahoma"/>
          <w:b/>
          <w:sz w:val="24"/>
          <w:szCs w:val="24"/>
        </w:rPr>
      </w:pPr>
      <w:r>
        <w:rPr>
          <w:rFonts w:ascii="Tahoma" w:hAnsi="Tahoma" w:cs="Tahoma"/>
          <w:b/>
          <w:sz w:val="24"/>
          <w:szCs w:val="24"/>
        </w:rPr>
        <w:t>AND 14 AUGUST</w:t>
      </w:r>
      <w:r w:rsidR="006F7ABF">
        <w:rPr>
          <w:rFonts w:ascii="Tahoma" w:hAnsi="Tahoma" w:cs="Tahoma"/>
          <w:b/>
          <w:sz w:val="24"/>
          <w:szCs w:val="24"/>
        </w:rPr>
        <w:t xml:space="preserve">, </w:t>
      </w:r>
      <w:r w:rsidR="008D0502">
        <w:rPr>
          <w:rFonts w:ascii="Tahoma" w:hAnsi="Tahoma" w:cs="Tahoma"/>
          <w:b/>
          <w:sz w:val="24"/>
          <w:szCs w:val="24"/>
        </w:rPr>
        <w:t>2020</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4F2711" w:rsidRDefault="0008442D" w:rsidP="00997C5C">
      <w:pPr>
        <w:spacing w:after="0" w:line="480" w:lineRule="auto"/>
        <w:jc w:val="both"/>
        <w:rPr>
          <w:rFonts w:ascii="Tahoma" w:hAnsi="Tahoma" w:cs="Tahoma"/>
          <w:b/>
          <w:sz w:val="24"/>
          <w:szCs w:val="24"/>
        </w:rPr>
      </w:pPr>
      <w:r>
        <w:rPr>
          <w:rFonts w:ascii="Tahoma" w:hAnsi="Tahoma" w:cs="Tahoma"/>
          <w:b/>
          <w:sz w:val="24"/>
          <w:szCs w:val="24"/>
        </w:rPr>
        <w:t>GERALD KAMBADZA</w:t>
      </w:r>
      <w:r w:rsidR="0061198E">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997C5C">
        <w:rPr>
          <w:rFonts w:ascii="Tahoma" w:hAnsi="Tahoma" w:cs="Tahoma"/>
          <w:b/>
          <w:sz w:val="24"/>
          <w:szCs w:val="24"/>
        </w:rPr>
        <w:tab/>
        <w:t>Applicant</w:t>
      </w:r>
    </w:p>
    <w:p w:rsidR="004F2711" w:rsidRDefault="00997C5C" w:rsidP="00997C5C">
      <w:pPr>
        <w:spacing w:after="0" w:line="480" w:lineRule="auto"/>
        <w:jc w:val="both"/>
        <w:rPr>
          <w:rFonts w:ascii="Tahoma" w:hAnsi="Tahoma" w:cs="Tahoma"/>
          <w:b/>
          <w:sz w:val="24"/>
          <w:szCs w:val="24"/>
        </w:rPr>
      </w:pPr>
      <w:r>
        <w:rPr>
          <w:rFonts w:ascii="Tahoma" w:hAnsi="Tahoma" w:cs="Tahoma"/>
          <w:b/>
          <w:sz w:val="24"/>
          <w:szCs w:val="24"/>
        </w:rPr>
        <w:t>Versus</w:t>
      </w:r>
    </w:p>
    <w:p w:rsidR="00997C5C" w:rsidRDefault="0008442D" w:rsidP="00997C5C">
      <w:pPr>
        <w:spacing w:after="0" w:line="480" w:lineRule="auto"/>
        <w:jc w:val="both"/>
        <w:rPr>
          <w:rFonts w:ascii="Tahoma" w:hAnsi="Tahoma" w:cs="Tahoma"/>
          <w:b/>
          <w:sz w:val="24"/>
          <w:szCs w:val="24"/>
        </w:rPr>
      </w:pPr>
      <w:r>
        <w:rPr>
          <w:rFonts w:ascii="Tahoma" w:hAnsi="Tahoma" w:cs="Tahoma"/>
          <w:b/>
          <w:sz w:val="24"/>
          <w:szCs w:val="24"/>
        </w:rPr>
        <w:t>LILFORD NHANDARA</w:t>
      </w:r>
      <w:r>
        <w:rPr>
          <w:rFonts w:ascii="Tahoma" w:hAnsi="Tahoma" w:cs="Tahoma"/>
          <w:b/>
          <w:sz w:val="24"/>
          <w:szCs w:val="24"/>
        </w:rPr>
        <w:tab/>
      </w:r>
      <w:r w:rsidR="008D0502">
        <w:rPr>
          <w:rFonts w:ascii="Tahoma" w:hAnsi="Tahoma" w:cs="Tahoma"/>
          <w:b/>
          <w:sz w:val="24"/>
          <w:szCs w:val="24"/>
        </w:rPr>
        <w:tab/>
      </w:r>
      <w:r w:rsidR="00375EF8">
        <w:rPr>
          <w:rFonts w:ascii="Tahoma" w:hAnsi="Tahoma" w:cs="Tahoma"/>
          <w:b/>
          <w:sz w:val="24"/>
          <w:szCs w:val="24"/>
        </w:rPr>
        <w:tab/>
      </w:r>
      <w:r w:rsidR="00CC0882">
        <w:rPr>
          <w:rFonts w:ascii="Tahoma" w:hAnsi="Tahoma" w:cs="Tahoma"/>
          <w:b/>
          <w:sz w:val="24"/>
          <w:szCs w:val="24"/>
        </w:rPr>
        <w:tab/>
      </w:r>
      <w:r w:rsidR="004F2711">
        <w:rPr>
          <w:rFonts w:ascii="Tahoma" w:hAnsi="Tahoma" w:cs="Tahoma"/>
          <w:b/>
          <w:sz w:val="24"/>
          <w:szCs w:val="24"/>
        </w:rPr>
        <w:tab/>
      </w:r>
      <w:r w:rsidR="004F2711">
        <w:rPr>
          <w:rFonts w:ascii="Tahoma" w:hAnsi="Tahoma" w:cs="Tahoma"/>
          <w:b/>
          <w:sz w:val="24"/>
          <w:szCs w:val="24"/>
        </w:rPr>
        <w:tab/>
      </w:r>
      <w:r w:rsidR="00F80FB6">
        <w:rPr>
          <w:rFonts w:ascii="Tahoma" w:hAnsi="Tahoma" w:cs="Tahoma"/>
          <w:b/>
          <w:sz w:val="24"/>
          <w:szCs w:val="24"/>
        </w:rPr>
        <w:tab/>
      </w:r>
      <w:r w:rsidR="00997C5C">
        <w:rPr>
          <w:rFonts w:ascii="Tahoma" w:hAnsi="Tahoma" w:cs="Tahoma"/>
          <w:b/>
          <w:sz w:val="24"/>
          <w:szCs w:val="24"/>
        </w:rPr>
        <w:t>1</w:t>
      </w:r>
      <w:r w:rsidR="00997C5C" w:rsidRPr="00997C5C">
        <w:rPr>
          <w:rFonts w:ascii="Tahoma" w:hAnsi="Tahoma" w:cs="Tahoma"/>
          <w:b/>
          <w:sz w:val="24"/>
          <w:szCs w:val="24"/>
          <w:vertAlign w:val="superscript"/>
        </w:rPr>
        <w:t>st</w:t>
      </w:r>
      <w:r w:rsidR="00997C5C">
        <w:rPr>
          <w:rFonts w:ascii="Tahoma" w:hAnsi="Tahoma" w:cs="Tahoma"/>
          <w:b/>
          <w:sz w:val="24"/>
          <w:szCs w:val="24"/>
        </w:rPr>
        <w:t xml:space="preserve"> </w:t>
      </w:r>
      <w:r w:rsidR="004F2711">
        <w:rPr>
          <w:rFonts w:ascii="Tahoma" w:hAnsi="Tahoma" w:cs="Tahoma"/>
          <w:b/>
          <w:sz w:val="24"/>
          <w:szCs w:val="24"/>
        </w:rPr>
        <w:t>Respondent</w:t>
      </w:r>
      <w:r w:rsidR="00283F6F">
        <w:rPr>
          <w:rFonts w:ascii="Tahoma" w:hAnsi="Tahoma" w:cs="Tahoma"/>
          <w:b/>
          <w:sz w:val="24"/>
          <w:szCs w:val="24"/>
        </w:rPr>
        <w:tab/>
      </w:r>
    </w:p>
    <w:p w:rsidR="00283F6F" w:rsidRDefault="0008442D" w:rsidP="00997C5C">
      <w:pPr>
        <w:spacing w:after="0" w:line="480" w:lineRule="auto"/>
        <w:jc w:val="both"/>
        <w:rPr>
          <w:rFonts w:ascii="Tahoma" w:hAnsi="Tahoma" w:cs="Tahoma"/>
          <w:b/>
          <w:sz w:val="24"/>
          <w:szCs w:val="24"/>
        </w:rPr>
      </w:pPr>
      <w:r>
        <w:rPr>
          <w:rFonts w:ascii="Tahoma" w:hAnsi="Tahoma" w:cs="Tahoma"/>
          <w:b/>
          <w:sz w:val="24"/>
          <w:szCs w:val="24"/>
        </w:rPr>
        <w:t>ZIMBABWE LEAF TOBACCO COMPANY (PVT) LTD</w:t>
      </w:r>
      <w:r>
        <w:rPr>
          <w:rFonts w:ascii="Tahoma" w:hAnsi="Tahoma" w:cs="Tahoma"/>
          <w:b/>
          <w:sz w:val="24"/>
          <w:szCs w:val="24"/>
        </w:rPr>
        <w:tab/>
      </w:r>
      <w:r>
        <w:rPr>
          <w:rFonts w:ascii="Tahoma" w:hAnsi="Tahoma" w:cs="Tahoma"/>
          <w:b/>
          <w:sz w:val="24"/>
          <w:szCs w:val="24"/>
        </w:rPr>
        <w:tab/>
      </w:r>
      <w:r w:rsidR="00997C5C">
        <w:rPr>
          <w:rFonts w:ascii="Tahoma" w:hAnsi="Tahoma" w:cs="Tahoma"/>
          <w:b/>
          <w:sz w:val="24"/>
          <w:szCs w:val="24"/>
        </w:rPr>
        <w:t>2</w:t>
      </w:r>
      <w:r w:rsidR="00997C5C" w:rsidRPr="00997C5C">
        <w:rPr>
          <w:rFonts w:ascii="Tahoma" w:hAnsi="Tahoma" w:cs="Tahoma"/>
          <w:b/>
          <w:sz w:val="24"/>
          <w:szCs w:val="24"/>
          <w:vertAlign w:val="superscript"/>
        </w:rPr>
        <w:t>nd</w:t>
      </w:r>
      <w:r w:rsidR="00997C5C">
        <w:rPr>
          <w:rFonts w:ascii="Tahoma" w:hAnsi="Tahoma" w:cs="Tahoma"/>
          <w:b/>
          <w:sz w:val="24"/>
          <w:szCs w:val="24"/>
        </w:rPr>
        <w:t xml:space="preserve"> 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997C5C" w:rsidP="00AA4716">
      <w:pPr>
        <w:spacing w:after="0" w:line="360" w:lineRule="auto"/>
        <w:jc w:val="both"/>
        <w:rPr>
          <w:rFonts w:ascii="Tahoma" w:hAnsi="Tahoma" w:cs="Tahoma"/>
          <w:sz w:val="24"/>
          <w:szCs w:val="24"/>
        </w:rPr>
      </w:pPr>
      <w:r>
        <w:rPr>
          <w:rFonts w:ascii="Tahoma" w:hAnsi="Tahoma" w:cs="Tahoma"/>
          <w:sz w:val="24"/>
          <w:szCs w:val="24"/>
        </w:rPr>
        <w:t xml:space="preserve">For </w:t>
      </w:r>
      <w:r w:rsidR="0061198E">
        <w:rPr>
          <w:rFonts w:ascii="Tahoma" w:hAnsi="Tahoma" w:cs="Tahoma"/>
          <w:sz w:val="24"/>
          <w:szCs w:val="24"/>
        </w:rPr>
        <w:t>Applicant</w:t>
      </w:r>
      <w:r w:rsidR="008D0502">
        <w:rPr>
          <w:rFonts w:ascii="Tahoma" w:hAnsi="Tahoma" w:cs="Tahoma"/>
          <w:sz w:val="24"/>
          <w:szCs w:val="24"/>
        </w:rPr>
        <w:t>:</w:t>
      </w:r>
      <w:r w:rsidR="0061198E">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r w:rsidR="008D0502">
        <w:rPr>
          <w:rFonts w:ascii="Tahoma" w:hAnsi="Tahoma" w:cs="Tahoma"/>
          <w:sz w:val="24"/>
          <w:szCs w:val="24"/>
        </w:rPr>
        <w:t>In Person</w:t>
      </w:r>
    </w:p>
    <w:p w:rsidR="0008442D" w:rsidRDefault="0008442D" w:rsidP="0008442D">
      <w:pPr>
        <w:spacing w:after="0" w:line="360" w:lineRule="auto"/>
        <w:jc w:val="both"/>
        <w:rPr>
          <w:rFonts w:ascii="Tahoma" w:hAnsi="Tahoma" w:cs="Tahoma"/>
          <w:sz w:val="24"/>
          <w:szCs w:val="24"/>
        </w:rPr>
      </w:pPr>
      <w:r>
        <w:rPr>
          <w:rFonts w:ascii="Tahoma" w:hAnsi="Tahoma" w:cs="Tahoma"/>
          <w:sz w:val="24"/>
          <w:szCs w:val="24"/>
        </w:rPr>
        <w:t xml:space="preserve">For </w:t>
      </w:r>
      <w:r w:rsidR="004F2711">
        <w:rPr>
          <w:rFonts w:ascii="Tahoma" w:hAnsi="Tahoma" w:cs="Tahoma"/>
          <w:sz w:val="24"/>
          <w:szCs w:val="24"/>
        </w:rPr>
        <w:t>Respondent</w:t>
      </w:r>
      <w:r>
        <w:rPr>
          <w:rFonts w:ascii="Tahoma" w:hAnsi="Tahoma" w:cs="Tahoma"/>
          <w:sz w:val="24"/>
          <w:szCs w:val="24"/>
        </w:rPr>
        <w:t>s</w:t>
      </w:r>
      <w:r w:rsidR="008D0502">
        <w:rPr>
          <w:rFonts w:ascii="Tahoma" w:hAnsi="Tahoma" w:cs="Tahoma"/>
          <w:sz w:val="24"/>
          <w:szCs w:val="24"/>
        </w:rPr>
        <w:t>:</w:t>
      </w:r>
      <w:r w:rsidR="008D0502">
        <w:rPr>
          <w:rFonts w:ascii="Tahoma" w:hAnsi="Tahoma" w:cs="Tahoma"/>
          <w:sz w:val="24"/>
          <w:szCs w:val="24"/>
        </w:rPr>
        <w:tab/>
      </w:r>
      <w:r w:rsidR="00283F6F">
        <w:rPr>
          <w:rFonts w:ascii="Tahoma" w:hAnsi="Tahoma" w:cs="Tahoma"/>
          <w:sz w:val="24"/>
          <w:szCs w:val="24"/>
        </w:rPr>
        <w:tab/>
      </w:r>
      <w:r w:rsidR="00283F6F">
        <w:rPr>
          <w:rFonts w:ascii="Tahoma" w:hAnsi="Tahoma" w:cs="Tahoma"/>
          <w:sz w:val="24"/>
          <w:szCs w:val="24"/>
        </w:rPr>
        <w:tab/>
      </w:r>
      <w:r w:rsidR="004F2711">
        <w:rPr>
          <w:rFonts w:ascii="Tahoma" w:hAnsi="Tahoma" w:cs="Tahoma"/>
          <w:sz w:val="24"/>
          <w:szCs w:val="24"/>
        </w:rPr>
        <w:tab/>
      </w:r>
      <w:r>
        <w:rPr>
          <w:rFonts w:ascii="Tahoma" w:hAnsi="Tahoma" w:cs="Tahoma"/>
          <w:sz w:val="24"/>
          <w:szCs w:val="24"/>
        </w:rPr>
        <w:t xml:space="preserve">Gill, </w:t>
      </w:r>
      <w:proofErr w:type="spellStart"/>
      <w:r>
        <w:rPr>
          <w:rFonts w:ascii="Tahoma" w:hAnsi="Tahoma" w:cs="Tahoma"/>
          <w:sz w:val="24"/>
          <w:szCs w:val="24"/>
        </w:rPr>
        <w:t>Godlonton</w:t>
      </w:r>
      <w:proofErr w:type="spellEnd"/>
      <w:r>
        <w:rPr>
          <w:rFonts w:ascii="Tahoma" w:hAnsi="Tahoma" w:cs="Tahoma"/>
          <w:sz w:val="24"/>
          <w:szCs w:val="24"/>
        </w:rPr>
        <w:t xml:space="preserve"> &amp; </w:t>
      </w:r>
      <w:proofErr w:type="spellStart"/>
      <w:r>
        <w:rPr>
          <w:rFonts w:ascii="Tahoma" w:hAnsi="Tahoma" w:cs="Tahoma"/>
          <w:sz w:val="24"/>
          <w:szCs w:val="24"/>
        </w:rPr>
        <w:t>Gerrans</w:t>
      </w:r>
      <w:proofErr w:type="spellEnd"/>
      <w:r>
        <w:rPr>
          <w:rFonts w:ascii="Tahoma" w:hAnsi="Tahoma" w:cs="Tahoma"/>
          <w:sz w:val="24"/>
          <w:szCs w:val="24"/>
        </w:rPr>
        <w:t xml:space="preserve"> Legal Practitioners</w:t>
      </w:r>
    </w:p>
    <w:p w:rsidR="00997C5C" w:rsidRPr="00DF3B3D" w:rsidRDefault="00997C5C" w:rsidP="00997C5C">
      <w:pPr>
        <w:spacing w:after="0" w:line="360" w:lineRule="auto"/>
        <w:ind w:left="4320" w:hanging="4320"/>
        <w:jc w:val="both"/>
        <w:rPr>
          <w:rFonts w:ascii="Tahoma" w:hAnsi="Tahoma" w:cs="Tahoma"/>
          <w:sz w:val="24"/>
          <w:szCs w:val="24"/>
        </w:rPr>
      </w:pPr>
    </w:p>
    <w:p w:rsidR="004F2711" w:rsidRPr="00DF3B3D" w:rsidRDefault="004F2711" w:rsidP="004F2711">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AB401F" w:rsidRDefault="00AB401F" w:rsidP="0008442D">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r>
      <w:r w:rsidRPr="00AB401F">
        <w:rPr>
          <w:rFonts w:ascii="Tahoma" w:hAnsi="Tahoma" w:cs="Tahoma"/>
          <w:sz w:val="24"/>
          <w:szCs w:val="24"/>
        </w:rPr>
        <w:t>This is an application for condonation</w:t>
      </w:r>
      <w:r>
        <w:rPr>
          <w:rFonts w:ascii="Tahoma" w:hAnsi="Tahoma" w:cs="Tahoma"/>
          <w:sz w:val="24"/>
          <w:szCs w:val="24"/>
        </w:rPr>
        <w:t xml:space="preserve"> for late filing of an application for review.</w:t>
      </w:r>
    </w:p>
    <w:p w:rsidR="00AB401F" w:rsidRDefault="00AB401F" w:rsidP="0008442D">
      <w:pPr>
        <w:spacing w:after="0" w:line="360" w:lineRule="auto"/>
        <w:jc w:val="both"/>
        <w:rPr>
          <w:rFonts w:ascii="Tahoma" w:hAnsi="Tahoma" w:cs="Tahoma"/>
          <w:sz w:val="24"/>
          <w:szCs w:val="24"/>
        </w:rPr>
      </w:pPr>
    </w:p>
    <w:p w:rsidR="00AB401F" w:rsidRPr="00AB401F" w:rsidRDefault="00AB401F" w:rsidP="0008442D">
      <w:pPr>
        <w:spacing w:after="0" w:line="360" w:lineRule="auto"/>
        <w:jc w:val="both"/>
        <w:rPr>
          <w:rFonts w:ascii="Tahoma" w:hAnsi="Tahoma" w:cs="Tahoma"/>
          <w:b/>
          <w:sz w:val="24"/>
          <w:szCs w:val="24"/>
        </w:rPr>
      </w:pPr>
      <w:r w:rsidRPr="00AB401F">
        <w:rPr>
          <w:rFonts w:ascii="Tahoma" w:hAnsi="Tahoma" w:cs="Tahoma"/>
          <w:b/>
          <w:sz w:val="24"/>
          <w:szCs w:val="24"/>
        </w:rPr>
        <w:t>Factual Background</w:t>
      </w:r>
    </w:p>
    <w:p w:rsidR="00AB401F" w:rsidRDefault="00AB401F" w:rsidP="0008442D">
      <w:pPr>
        <w:spacing w:after="0" w:line="360" w:lineRule="auto"/>
        <w:jc w:val="both"/>
        <w:rPr>
          <w:rFonts w:ascii="Tahoma" w:hAnsi="Tahoma" w:cs="Tahoma"/>
          <w:sz w:val="24"/>
          <w:szCs w:val="24"/>
        </w:rPr>
      </w:pPr>
    </w:p>
    <w:p w:rsidR="000B3C26" w:rsidRDefault="00AB401F" w:rsidP="0008442D">
      <w:pPr>
        <w:spacing w:after="0" w:line="360" w:lineRule="auto"/>
        <w:jc w:val="both"/>
        <w:rPr>
          <w:rFonts w:ascii="Tahoma" w:hAnsi="Tahoma" w:cs="Tahoma"/>
          <w:sz w:val="24"/>
          <w:szCs w:val="24"/>
        </w:rPr>
      </w:pPr>
      <w:r>
        <w:rPr>
          <w:rFonts w:ascii="Tahoma" w:hAnsi="Tahoma" w:cs="Tahoma"/>
          <w:sz w:val="24"/>
          <w:szCs w:val="24"/>
        </w:rPr>
        <w:t>The applicant who was employed by the 2</w:t>
      </w:r>
      <w:r w:rsidRPr="00AB401F">
        <w:rPr>
          <w:rFonts w:ascii="Tahoma" w:hAnsi="Tahoma" w:cs="Tahoma"/>
          <w:sz w:val="24"/>
          <w:szCs w:val="24"/>
          <w:vertAlign w:val="superscript"/>
        </w:rPr>
        <w:t>nd</w:t>
      </w:r>
      <w:r>
        <w:rPr>
          <w:rFonts w:ascii="Tahoma" w:hAnsi="Tahoma" w:cs="Tahoma"/>
          <w:sz w:val="24"/>
          <w:szCs w:val="24"/>
        </w:rPr>
        <w:t xml:space="preserve"> respondent was charged with Habitual and substantial neglect of his duties in terms of section 4 (g) of Statutory Instrument 15/2006.</w:t>
      </w:r>
    </w:p>
    <w:p w:rsidR="000B3C26" w:rsidRDefault="000B3C26" w:rsidP="0008442D">
      <w:pPr>
        <w:spacing w:after="0" w:line="360" w:lineRule="auto"/>
        <w:jc w:val="both"/>
        <w:rPr>
          <w:rFonts w:ascii="Tahoma" w:hAnsi="Tahoma" w:cs="Tahoma"/>
          <w:sz w:val="24"/>
          <w:szCs w:val="24"/>
        </w:rPr>
      </w:pPr>
    </w:p>
    <w:p w:rsidR="000B3C26" w:rsidRDefault="000B3C26" w:rsidP="0008442D">
      <w:pPr>
        <w:spacing w:after="0" w:line="360" w:lineRule="auto"/>
        <w:jc w:val="both"/>
        <w:rPr>
          <w:rFonts w:ascii="Tahoma" w:hAnsi="Tahoma" w:cs="Tahoma"/>
          <w:sz w:val="24"/>
          <w:szCs w:val="24"/>
        </w:rPr>
      </w:pPr>
    </w:p>
    <w:p w:rsidR="0035359E" w:rsidRDefault="000B3C26" w:rsidP="0008442D">
      <w:pPr>
        <w:spacing w:after="0" w:line="360" w:lineRule="auto"/>
        <w:jc w:val="both"/>
        <w:rPr>
          <w:rFonts w:ascii="Tahoma" w:hAnsi="Tahoma" w:cs="Tahoma"/>
          <w:sz w:val="24"/>
          <w:szCs w:val="24"/>
        </w:rPr>
      </w:pPr>
      <w:r>
        <w:rPr>
          <w:rFonts w:ascii="Tahoma" w:hAnsi="Tahoma" w:cs="Tahoma"/>
          <w:sz w:val="24"/>
          <w:szCs w:val="24"/>
        </w:rPr>
        <w:tab/>
        <w:t>He was found guilty and dismissed. His internal appeals were not successful</w:t>
      </w:r>
      <w:r w:rsidR="0035359E">
        <w:rPr>
          <w:rFonts w:ascii="Tahoma" w:hAnsi="Tahoma" w:cs="Tahoma"/>
          <w:sz w:val="24"/>
          <w:szCs w:val="24"/>
        </w:rPr>
        <w:t xml:space="preserve"> and the matter was eventually referred to a Labour Officer.</w:t>
      </w:r>
    </w:p>
    <w:p w:rsidR="0035359E" w:rsidRDefault="0035359E" w:rsidP="0008442D">
      <w:pPr>
        <w:spacing w:after="0" w:line="360" w:lineRule="auto"/>
        <w:jc w:val="both"/>
        <w:rPr>
          <w:rFonts w:ascii="Tahoma" w:hAnsi="Tahoma" w:cs="Tahoma"/>
          <w:sz w:val="24"/>
          <w:szCs w:val="24"/>
        </w:rPr>
      </w:pPr>
    </w:p>
    <w:p w:rsidR="0035359E" w:rsidRDefault="0035359E" w:rsidP="0008442D">
      <w:pPr>
        <w:spacing w:after="0" w:line="360" w:lineRule="auto"/>
        <w:jc w:val="both"/>
        <w:rPr>
          <w:rFonts w:ascii="Tahoma" w:hAnsi="Tahoma" w:cs="Tahoma"/>
          <w:sz w:val="24"/>
          <w:szCs w:val="24"/>
        </w:rPr>
      </w:pPr>
      <w:r>
        <w:rPr>
          <w:rFonts w:ascii="Tahoma" w:hAnsi="Tahoma" w:cs="Tahoma"/>
          <w:sz w:val="24"/>
          <w:szCs w:val="24"/>
        </w:rPr>
        <w:tab/>
        <w:t>The Labour Officer made a draft ruling upholding the decision to dismiss the applicant on 20 August 2018.</w:t>
      </w:r>
    </w:p>
    <w:p w:rsidR="0035359E" w:rsidRDefault="0035359E" w:rsidP="0008442D">
      <w:pPr>
        <w:spacing w:after="0" w:line="360" w:lineRule="auto"/>
        <w:jc w:val="both"/>
        <w:rPr>
          <w:rFonts w:ascii="Tahoma" w:hAnsi="Tahoma" w:cs="Tahoma"/>
          <w:sz w:val="24"/>
          <w:szCs w:val="24"/>
        </w:rPr>
      </w:pPr>
    </w:p>
    <w:p w:rsidR="0035359E" w:rsidRDefault="0035359E" w:rsidP="0008442D">
      <w:pPr>
        <w:spacing w:after="0" w:line="360" w:lineRule="auto"/>
        <w:jc w:val="both"/>
        <w:rPr>
          <w:rFonts w:ascii="Tahoma" w:hAnsi="Tahoma" w:cs="Tahoma"/>
          <w:sz w:val="24"/>
          <w:szCs w:val="24"/>
        </w:rPr>
      </w:pPr>
      <w:r>
        <w:rPr>
          <w:rFonts w:ascii="Tahoma" w:hAnsi="Tahoma" w:cs="Tahoma"/>
          <w:sz w:val="24"/>
          <w:szCs w:val="24"/>
        </w:rPr>
        <w:tab/>
        <w:t>The applicant thought that the Labour Officer would apply for confirmation and on 25 September 2018 he wrote to the Labour officer asking him to apply for confirmation.</w:t>
      </w:r>
      <w:r>
        <w:rPr>
          <w:rFonts w:ascii="Tahoma" w:hAnsi="Tahoma" w:cs="Tahoma"/>
          <w:sz w:val="24"/>
          <w:szCs w:val="24"/>
        </w:rPr>
        <w:tab/>
      </w:r>
      <w:r>
        <w:rPr>
          <w:rFonts w:ascii="Tahoma" w:hAnsi="Tahoma" w:cs="Tahoma"/>
          <w:sz w:val="24"/>
          <w:szCs w:val="24"/>
        </w:rPr>
        <w:tab/>
      </w:r>
    </w:p>
    <w:p w:rsidR="0035359E" w:rsidRDefault="0035359E" w:rsidP="0035359E">
      <w:pPr>
        <w:spacing w:after="0" w:line="360" w:lineRule="auto"/>
        <w:ind w:firstLine="720"/>
        <w:jc w:val="both"/>
        <w:rPr>
          <w:rFonts w:ascii="Tahoma" w:hAnsi="Tahoma" w:cs="Tahoma"/>
          <w:sz w:val="24"/>
          <w:szCs w:val="24"/>
        </w:rPr>
      </w:pPr>
      <w:r>
        <w:rPr>
          <w:rFonts w:ascii="Tahoma" w:hAnsi="Tahoma" w:cs="Tahoma"/>
          <w:sz w:val="24"/>
          <w:szCs w:val="24"/>
        </w:rPr>
        <w:t>To date there has been no progress in the confirmation process. The 2</w:t>
      </w:r>
      <w:r w:rsidRPr="0035359E">
        <w:rPr>
          <w:rFonts w:ascii="Tahoma" w:hAnsi="Tahoma" w:cs="Tahoma"/>
          <w:sz w:val="24"/>
          <w:szCs w:val="24"/>
          <w:vertAlign w:val="superscript"/>
        </w:rPr>
        <w:t>nd</w:t>
      </w:r>
      <w:r>
        <w:rPr>
          <w:rFonts w:ascii="Tahoma" w:hAnsi="Tahoma" w:cs="Tahoma"/>
          <w:sz w:val="24"/>
          <w:szCs w:val="24"/>
        </w:rPr>
        <w:t xml:space="preserve"> respondent’s lawyers had indicated in a related matter as follows;</w:t>
      </w:r>
    </w:p>
    <w:p w:rsidR="0035359E" w:rsidRDefault="0035359E" w:rsidP="0035359E">
      <w:pPr>
        <w:spacing w:after="0" w:line="360" w:lineRule="auto"/>
        <w:ind w:firstLine="720"/>
        <w:jc w:val="both"/>
        <w:rPr>
          <w:rFonts w:ascii="Tahoma" w:hAnsi="Tahoma" w:cs="Tahoma"/>
          <w:sz w:val="24"/>
          <w:szCs w:val="24"/>
        </w:rPr>
      </w:pPr>
    </w:p>
    <w:p w:rsidR="0035359E" w:rsidRPr="00676B8B" w:rsidRDefault="0035359E" w:rsidP="00676B8B">
      <w:pPr>
        <w:spacing w:after="0" w:line="360" w:lineRule="auto"/>
        <w:ind w:left="1440"/>
        <w:jc w:val="both"/>
        <w:rPr>
          <w:rFonts w:ascii="Tahoma" w:hAnsi="Tahoma" w:cs="Tahoma"/>
          <w:i/>
          <w:sz w:val="24"/>
          <w:szCs w:val="24"/>
        </w:rPr>
      </w:pPr>
      <w:r w:rsidRPr="00676B8B">
        <w:rPr>
          <w:rFonts w:ascii="Tahoma" w:hAnsi="Tahoma" w:cs="Tahoma"/>
          <w:i/>
          <w:sz w:val="24"/>
          <w:szCs w:val="24"/>
        </w:rPr>
        <w:t xml:space="preserve">“I need to alert this </w:t>
      </w:r>
      <w:proofErr w:type="spellStart"/>
      <w:r w:rsidRPr="00676B8B">
        <w:rPr>
          <w:rFonts w:ascii="Tahoma" w:hAnsi="Tahoma" w:cs="Tahoma"/>
          <w:i/>
          <w:sz w:val="24"/>
          <w:szCs w:val="24"/>
        </w:rPr>
        <w:t>honourable</w:t>
      </w:r>
      <w:proofErr w:type="spellEnd"/>
      <w:r w:rsidRPr="00676B8B">
        <w:rPr>
          <w:rFonts w:ascii="Tahoma" w:hAnsi="Tahoma" w:cs="Tahoma"/>
          <w:i/>
          <w:sz w:val="24"/>
          <w:szCs w:val="24"/>
        </w:rPr>
        <w:t xml:space="preserve"> court of the Supreme court decision in Drum City (</w:t>
      </w:r>
      <w:proofErr w:type="spellStart"/>
      <w:r w:rsidRPr="00676B8B">
        <w:rPr>
          <w:rFonts w:ascii="Tahoma" w:hAnsi="Tahoma" w:cs="Tahoma"/>
          <w:i/>
          <w:sz w:val="24"/>
          <w:szCs w:val="24"/>
        </w:rPr>
        <w:t>Pvt</w:t>
      </w:r>
      <w:proofErr w:type="spellEnd"/>
      <w:r w:rsidRPr="00676B8B">
        <w:rPr>
          <w:rFonts w:ascii="Tahoma" w:hAnsi="Tahoma" w:cs="Tahoma"/>
          <w:i/>
          <w:sz w:val="24"/>
          <w:szCs w:val="24"/>
        </w:rPr>
        <w:t xml:space="preserve">) Limited </w:t>
      </w:r>
      <w:proofErr w:type="spellStart"/>
      <w:r w:rsidRPr="00676B8B">
        <w:rPr>
          <w:rFonts w:ascii="Tahoma" w:hAnsi="Tahoma" w:cs="Tahoma"/>
          <w:i/>
          <w:sz w:val="24"/>
          <w:szCs w:val="24"/>
        </w:rPr>
        <w:t>vs</w:t>
      </w:r>
      <w:proofErr w:type="spellEnd"/>
      <w:r w:rsidRPr="00676B8B">
        <w:rPr>
          <w:rFonts w:ascii="Tahoma" w:hAnsi="Tahoma" w:cs="Tahoma"/>
          <w:i/>
          <w:sz w:val="24"/>
          <w:szCs w:val="24"/>
        </w:rPr>
        <w:t xml:space="preserve"> Brenda </w:t>
      </w:r>
      <w:proofErr w:type="spellStart"/>
      <w:r w:rsidRPr="00676B8B">
        <w:rPr>
          <w:rFonts w:ascii="Tahoma" w:hAnsi="Tahoma" w:cs="Tahoma"/>
          <w:i/>
          <w:sz w:val="24"/>
          <w:szCs w:val="24"/>
        </w:rPr>
        <w:t>Garudzo</w:t>
      </w:r>
      <w:proofErr w:type="spellEnd"/>
      <w:r w:rsidRPr="00676B8B">
        <w:rPr>
          <w:rFonts w:ascii="Tahoma" w:hAnsi="Tahoma" w:cs="Tahoma"/>
          <w:i/>
          <w:sz w:val="24"/>
          <w:szCs w:val="24"/>
        </w:rPr>
        <w:t xml:space="preserve"> SC57/18, </w:t>
      </w:r>
      <w:r w:rsidR="007F6C82" w:rsidRPr="00676B8B">
        <w:rPr>
          <w:rFonts w:ascii="Tahoma" w:hAnsi="Tahoma" w:cs="Tahoma"/>
          <w:i/>
          <w:sz w:val="24"/>
          <w:szCs w:val="24"/>
        </w:rPr>
        <w:t>page 6 thereof</w:t>
      </w:r>
      <w:r w:rsidR="00676B8B" w:rsidRPr="00676B8B">
        <w:rPr>
          <w:rFonts w:ascii="Tahoma" w:hAnsi="Tahoma" w:cs="Tahoma"/>
          <w:i/>
          <w:sz w:val="24"/>
          <w:szCs w:val="24"/>
        </w:rPr>
        <w:t xml:space="preserve">, in which the Supreme Court held that this </w:t>
      </w:r>
      <w:proofErr w:type="spellStart"/>
      <w:r w:rsidR="00676B8B" w:rsidRPr="00676B8B">
        <w:rPr>
          <w:rFonts w:ascii="Tahoma" w:hAnsi="Tahoma" w:cs="Tahoma"/>
          <w:i/>
          <w:sz w:val="24"/>
          <w:szCs w:val="24"/>
        </w:rPr>
        <w:t>honourable</w:t>
      </w:r>
      <w:proofErr w:type="spellEnd"/>
      <w:r w:rsidR="00676B8B" w:rsidRPr="00676B8B">
        <w:rPr>
          <w:rFonts w:ascii="Tahoma" w:hAnsi="Tahoma" w:cs="Tahoma"/>
          <w:i/>
          <w:sz w:val="24"/>
          <w:szCs w:val="24"/>
        </w:rPr>
        <w:t xml:space="preserve"> court would have no jurisdiction to confirm and register a draft ruling by the Labour Officer which is made in </w:t>
      </w:r>
      <w:proofErr w:type="spellStart"/>
      <w:r w:rsidR="00676B8B" w:rsidRPr="00676B8B">
        <w:rPr>
          <w:rFonts w:ascii="Tahoma" w:hAnsi="Tahoma" w:cs="Tahoma"/>
          <w:i/>
          <w:sz w:val="24"/>
          <w:szCs w:val="24"/>
        </w:rPr>
        <w:t>favour</w:t>
      </w:r>
      <w:proofErr w:type="spellEnd"/>
      <w:r w:rsidR="00676B8B" w:rsidRPr="00676B8B">
        <w:rPr>
          <w:rFonts w:ascii="Tahoma" w:hAnsi="Tahoma" w:cs="Tahoma"/>
          <w:i/>
          <w:sz w:val="24"/>
          <w:szCs w:val="24"/>
        </w:rPr>
        <w:t xml:space="preserve"> of an employer against an aggrieved employee”.</w:t>
      </w:r>
    </w:p>
    <w:p w:rsidR="00676B8B" w:rsidRDefault="00676B8B" w:rsidP="00676B8B">
      <w:pPr>
        <w:spacing w:after="0" w:line="360" w:lineRule="auto"/>
        <w:jc w:val="both"/>
        <w:rPr>
          <w:rFonts w:ascii="Tahoma" w:hAnsi="Tahoma" w:cs="Tahoma"/>
          <w:sz w:val="24"/>
          <w:szCs w:val="24"/>
        </w:rPr>
      </w:pPr>
    </w:p>
    <w:p w:rsidR="00676B8B" w:rsidRDefault="00676B8B" w:rsidP="00676B8B">
      <w:pPr>
        <w:spacing w:after="0" w:line="360" w:lineRule="auto"/>
        <w:jc w:val="both"/>
        <w:rPr>
          <w:rFonts w:ascii="Tahoma" w:hAnsi="Tahoma" w:cs="Tahoma"/>
          <w:sz w:val="24"/>
          <w:szCs w:val="24"/>
        </w:rPr>
      </w:pPr>
      <w:r>
        <w:rPr>
          <w:rFonts w:ascii="Tahoma" w:hAnsi="Tahoma" w:cs="Tahoma"/>
          <w:sz w:val="24"/>
          <w:szCs w:val="24"/>
        </w:rPr>
        <w:tab/>
        <w:t>Perhaps this is why the confirmation proceedings have not progressed to date being that the ruling was in August 2018. I am not sure and it is really not relevant to the determination of the current application.</w:t>
      </w:r>
    </w:p>
    <w:p w:rsidR="00930641" w:rsidRDefault="00930641" w:rsidP="00676B8B">
      <w:pPr>
        <w:spacing w:after="0" w:line="360" w:lineRule="auto"/>
        <w:jc w:val="both"/>
        <w:rPr>
          <w:rFonts w:ascii="Tahoma" w:hAnsi="Tahoma" w:cs="Tahoma"/>
          <w:sz w:val="24"/>
          <w:szCs w:val="24"/>
        </w:rPr>
      </w:pPr>
    </w:p>
    <w:p w:rsidR="00930641" w:rsidRDefault="00930641" w:rsidP="00676B8B">
      <w:pPr>
        <w:spacing w:after="0" w:line="360" w:lineRule="auto"/>
        <w:jc w:val="both"/>
        <w:rPr>
          <w:rFonts w:ascii="Tahoma" w:hAnsi="Tahoma" w:cs="Tahoma"/>
          <w:sz w:val="24"/>
          <w:szCs w:val="24"/>
        </w:rPr>
      </w:pPr>
      <w:r>
        <w:rPr>
          <w:rFonts w:ascii="Tahoma" w:hAnsi="Tahoma" w:cs="Tahoma"/>
          <w:sz w:val="24"/>
          <w:szCs w:val="24"/>
        </w:rPr>
        <w:tab/>
        <w:t>It is against this background that the applicant has decided to file this application for condonation for late noting of an application for review.</w:t>
      </w:r>
    </w:p>
    <w:p w:rsidR="00484506" w:rsidRDefault="00484506" w:rsidP="00676B8B">
      <w:pPr>
        <w:spacing w:after="0" w:line="360" w:lineRule="auto"/>
        <w:jc w:val="both"/>
        <w:rPr>
          <w:rFonts w:ascii="Tahoma" w:hAnsi="Tahoma" w:cs="Tahoma"/>
          <w:sz w:val="24"/>
          <w:szCs w:val="24"/>
        </w:rPr>
      </w:pPr>
    </w:p>
    <w:p w:rsidR="00930641" w:rsidRDefault="00930641" w:rsidP="00676B8B">
      <w:pPr>
        <w:spacing w:after="0" w:line="360" w:lineRule="auto"/>
        <w:jc w:val="both"/>
        <w:rPr>
          <w:rFonts w:ascii="Tahoma" w:hAnsi="Tahoma" w:cs="Tahoma"/>
          <w:sz w:val="24"/>
          <w:szCs w:val="24"/>
        </w:rPr>
      </w:pPr>
    </w:p>
    <w:p w:rsidR="00930641" w:rsidRDefault="00930641" w:rsidP="00676B8B">
      <w:pPr>
        <w:spacing w:after="0" w:line="360" w:lineRule="auto"/>
        <w:jc w:val="both"/>
        <w:rPr>
          <w:rFonts w:ascii="Tahoma" w:hAnsi="Tahoma" w:cs="Tahoma"/>
          <w:sz w:val="24"/>
          <w:szCs w:val="24"/>
        </w:rPr>
      </w:pPr>
      <w:r>
        <w:rPr>
          <w:rFonts w:ascii="Tahoma" w:hAnsi="Tahoma" w:cs="Tahoma"/>
          <w:sz w:val="24"/>
          <w:szCs w:val="24"/>
        </w:rPr>
        <w:lastRenderedPageBreak/>
        <w:tab/>
        <w:t>In considering an application of this nature, the court must consider several factors which include</w:t>
      </w:r>
      <w:r w:rsidR="00484506">
        <w:rPr>
          <w:rFonts w:ascii="Tahoma" w:hAnsi="Tahoma" w:cs="Tahoma"/>
          <w:sz w:val="24"/>
          <w:szCs w:val="24"/>
        </w:rPr>
        <w:t>;</w:t>
      </w:r>
    </w:p>
    <w:p w:rsidR="00484506" w:rsidRDefault="00484506" w:rsidP="00676B8B">
      <w:pPr>
        <w:spacing w:after="0" w:line="360" w:lineRule="auto"/>
        <w:jc w:val="both"/>
        <w:rPr>
          <w:rFonts w:ascii="Tahoma" w:hAnsi="Tahoma" w:cs="Tahoma"/>
          <w:sz w:val="24"/>
          <w:szCs w:val="24"/>
        </w:rPr>
      </w:pPr>
    </w:p>
    <w:p w:rsidR="00810E8E" w:rsidRPr="00810E8E" w:rsidRDefault="00484506" w:rsidP="00484506">
      <w:pPr>
        <w:pStyle w:val="ListParagraph"/>
        <w:numPr>
          <w:ilvl w:val="0"/>
          <w:numId w:val="10"/>
        </w:numPr>
        <w:spacing w:after="0" w:line="360" w:lineRule="auto"/>
        <w:jc w:val="both"/>
        <w:rPr>
          <w:rFonts w:ascii="Tahoma" w:hAnsi="Tahoma" w:cs="Tahoma"/>
          <w:i/>
          <w:sz w:val="24"/>
          <w:szCs w:val="24"/>
        </w:rPr>
      </w:pPr>
      <w:r>
        <w:rPr>
          <w:rFonts w:ascii="Tahoma" w:hAnsi="Tahoma" w:cs="Tahoma"/>
          <w:sz w:val="24"/>
          <w:szCs w:val="24"/>
        </w:rPr>
        <w:t>Whether or not the delay involved was inordinate</w:t>
      </w:r>
      <w:r w:rsidR="00810E8E">
        <w:rPr>
          <w:rFonts w:ascii="Tahoma" w:hAnsi="Tahoma" w:cs="Tahoma"/>
          <w:sz w:val="24"/>
          <w:szCs w:val="24"/>
        </w:rPr>
        <w:t>.</w:t>
      </w:r>
    </w:p>
    <w:p w:rsidR="00810E8E" w:rsidRPr="00810E8E" w:rsidRDefault="00810E8E" w:rsidP="00484506">
      <w:pPr>
        <w:pStyle w:val="ListParagraph"/>
        <w:numPr>
          <w:ilvl w:val="0"/>
          <w:numId w:val="10"/>
        </w:numPr>
        <w:spacing w:after="0" w:line="360" w:lineRule="auto"/>
        <w:jc w:val="both"/>
        <w:rPr>
          <w:rFonts w:ascii="Tahoma" w:hAnsi="Tahoma" w:cs="Tahoma"/>
          <w:i/>
          <w:sz w:val="24"/>
          <w:szCs w:val="24"/>
        </w:rPr>
      </w:pPr>
      <w:r>
        <w:rPr>
          <w:rFonts w:ascii="Tahoma" w:hAnsi="Tahoma" w:cs="Tahoma"/>
          <w:sz w:val="24"/>
          <w:szCs w:val="24"/>
        </w:rPr>
        <w:t>The prospects of success should the application be granted.</w:t>
      </w:r>
    </w:p>
    <w:p w:rsidR="00810E8E" w:rsidRPr="00810E8E" w:rsidRDefault="00810E8E" w:rsidP="00484506">
      <w:pPr>
        <w:pStyle w:val="ListParagraph"/>
        <w:numPr>
          <w:ilvl w:val="0"/>
          <w:numId w:val="10"/>
        </w:numPr>
        <w:spacing w:after="0" w:line="360" w:lineRule="auto"/>
        <w:jc w:val="both"/>
        <w:rPr>
          <w:rFonts w:ascii="Tahoma" w:hAnsi="Tahoma" w:cs="Tahoma"/>
          <w:i/>
          <w:sz w:val="24"/>
          <w:szCs w:val="24"/>
        </w:rPr>
      </w:pPr>
      <w:r>
        <w:rPr>
          <w:rFonts w:ascii="Tahoma" w:hAnsi="Tahoma" w:cs="Tahoma"/>
          <w:sz w:val="24"/>
          <w:szCs w:val="24"/>
        </w:rPr>
        <w:t>The possible prejudice to the other side should the application be granted.</w:t>
      </w:r>
    </w:p>
    <w:p w:rsidR="00810E8E" w:rsidRDefault="00810E8E" w:rsidP="00810E8E">
      <w:pPr>
        <w:spacing w:after="0" w:line="360" w:lineRule="auto"/>
        <w:jc w:val="both"/>
        <w:rPr>
          <w:rFonts w:ascii="Tahoma" w:hAnsi="Tahoma" w:cs="Tahoma"/>
          <w:sz w:val="24"/>
          <w:szCs w:val="24"/>
        </w:rPr>
      </w:pPr>
    </w:p>
    <w:p w:rsidR="00810E8E" w:rsidRPr="005E2FE2" w:rsidRDefault="00810E8E" w:rsidP="00810E8E">
      <w:pPr>
        <w:spacing w:after="0" w:line="360" w:lineRule="auto"/>
        <w:jc w:val="both"/>
        <w:rPr>
          <w:rFonts w:ascii="Tahoma" w:hAnsi="Tahoma" w:cs="Tahoma"/>
          <w:i/>
          <w:sz w:val="24"/>
          <w:szCs w:val="24"/>
        </w:rPr>
      </w:pPr>
      <w:r>
        <w:rPr>
          <w:rFonts w:ascii="Tahoma" w:hAnsi="Tahoma" w:cs="Tahoma"/>
          <w:sz w:val="24"/>
          <w:szCs w:val="24"/>
        </w:rPr>
        <w:t xml:space="preserve">See – </w:t>
      </w:r>
      <w:r w:rsidRPr="005E2FE2">
        <w:rPr>
          <w:rFonts w:ascii="Tahoma" w:hAnsi="Tahoma" w:cs="Tahoma"/>
          <w:i/>
          <w:sz w:val="24"/>
          <w:szCs w:val="24"/>
        </w:rPr>
        <w:t>Civil Aviation v Hall 1990 (2) ZLR 354</w:t>
      </w:r>
    </w:p>
    <w:p w:rsidR="00810E8E" w:rsidRDefault="00810E8E" w:rsidP="00810E8E">
      <w:pPr>
        <w:spacing w:after="0" w:line="360" w:lineRule="auto"/>
        <w:jc w:val="both"/>
        <w:rPr>
          <w:rFonts w:ascii="Tahoma" w:hAnsi="Tahoma" w:cs="Tahoma"/>
          <w:sz w:val="24"/>
          <w:szCs w:val="24"/>
        </w:rPr>
      </w:pPr>
    </w:p>
    <w:p w:rsidR="00810E8E" w:rsidRPr="005E2FE2" w:rsidRDefault="00810E8E" w:rsidP="00810E8E">
      <w:pPr>
        <w:pStyle w:val="ListParagraph"/>
        <w:numPr>
          <w:ilvl w:val="0"/>
          <w:numId w:val="11"/>
        </w:numPr>
        <w:spacing w:after="0" w:line="360" w:lineRule="auto"/>
        <w:jc w:val="both"/>
        <w:rPr>
          <w:rFonts w:ascii="Tahoma" w:hAnsi="Tahoma" w:cs="Tahoma"/>
          <w:i/>
          <w:sz w:val="24"/>
          <w:szCs w:val="24"/>
        </w:rPr>
      </w:pPr>
      <w:r w:rsidRPr="005E2FE2">
        <w:rPr>
          <w:rFonts w:ascii="Tahoma" w:hAnsi="Tahoma" w:cs="Tahoma"/>
          <w:i/>
          <w:sz w:val="24"/>
          <w:szCs w:val="24"/>
        </w:rPr>
        <w:t xml:space="preserve">Dc </w:t>
      </w:r>
      <w:proofErr w:type="spellStart"/>
      <w:r w:rsidRPr="005E2FE2">
        <w:rPr>
          <w:rFonts w:ascii="Tahoma" w:hAnsi="Tahoma" w:cs="Tahoma"/>
          <w:i/>
          <w:sz w:val="24"/>
          <w:szCs w:val="24"/>
        </w:rPr>
        <w:t>Kuszaka</w:t>
      </w:r>
      <w:proofErr w:type="spellEnd"/>
      <w:r w:rsidRPr="005E2FE2">
        <w:rPr>
          <w:rFonts w:ascii="Tahoma" w:hAnsi="Tahoma" w:cs="Tahoma"/>
          <w:i/>
          <w:sz w:val="24"/>
          <w:szCs w:val="24"/>
        </w:rPr>
        <w:t xml:space="preserve"> –</w:t>
      </w:r>
      <w:proofErr w:type="spellStart"/>
      <w:r w:rsidRPr="005E2FE2">
        <w:rPr>
          <w:rFonts w:ascii="Tahoma" w:hAnsi="Tahoma" w:cs="Tahoma"/>
          <w:i/>
          <w:sz w:val="24"/>
          <w:szCs w:val="24"/>
        </w:rPr>
        <w:t>Damowskiet</w:t>
      </w:r>
      <w:proofErr w:type="spellEnd"/>
      <w:r w:rsidRPr="005E2FE2">
        <w:rPr>
          <w:rFonts w:ascii="Tahoma" w:hAnsi="Tahoma" w:cs="Tahoma"/>
          <w:i/>
          <w:sz w:val="24"/>
          <w:szCs w:val="24"/>
        </w:rPr>
        <w:t xml:space="preserve"> Uxor v Steel No. 1966 RLR 60</w:t>
      </w:r>
    </w:p>
    <w:p w:rsidR="0008442D" w:rsidRPr="005E2FE2" w:rsidRDefault="00810E8E" w:rsidP="00810E8E">
      <w:pPr>
        <w:pStyle w:val="ListParagraph"/>
        <w:numPr>
          <w:ilvl w:val="0"/>
          <w:numId w:val="11"/>
        </w:numPr>
        <w:spacing w:after="0" w:line="360" w:lineRule="auto"/>
        <w:jc w:val="both"/>
        <w:rPr>
          <w:rFonts w:ascii="Tahoma" w:hAnsi="Tahoma" w:cs="Tahoma"/>
          <w:i/>
          <w:sz w:val="24"/>
          <w:szCs w:val="24"/>
        </w:rPr>
      </w:pPr>
      <w:proofErr w:type="spellStart"/>
      <w:r w:rsidRPr="005E2FE2">
        <w:rPr>
          <w:rFonts w:ascii="Tahoma" w:hAnsi="Tahoma" w:cs="Tahoma"/>
          <w:i/>
          <w:sz w:val="24"/>
          <w:szCs w:val="24"/>
        </w:rPr>
        <w:t>Lamin</w:t>
      </w:r>
      <w:proofErr w:type="spellEnd"/>
      <w:r w:rsidRPr="005E2FE2">
        <w:rPr>
          <w:rFonts w:ascii="Tahoma" w:hAnsi="Tahoma" w:cs="Tahoma"/>
          <w:i/>
          <w:sz w:val="24"/>
          <w:szCs w:val="24"/>
        </w:rPr>
        <w:t xml:space="preserve"> </w:t>
      </w:r>
      <w:r w:rsidR="005973ED" w:rsidRPr="005E2FE2">
        <w:rPr>
          <w:rFonts w:ascii="Tahoma" w:hAnsi="Tahoma" w:cs="Tahoma"/>
          <w:i/>
          <w:sz w:val="24"/>
          <w:szCs w:val="24"/>
        </w:rPr>
        <w:tab/>
      </w:r>
      <w:r w:rsidR="000C3722" w:rsidRPr="005E2FE2">
        <w:rPr>
          <w:rFonts w:ascii="Tahoma" w:hAnsi="Tahoma" w:cs="Tahoma"/>
          <w:i/>
          <w:sz w:val="24"/>
          <w:szCs w:val="24"/>
        </w:rPr>
        <w:t>(</w:t>
      </w:r>
      <w:proofErr w:type="spellStart"/>
      <w:r w:rsidR="000C3722" w:rsidRPr="005E2FE2">
        <w:rPr>
          <w:rFonts w:ascii="Tahoma" w:hAnsi="Tahoma" w:cs="Tahoma"/>
          <w:i/>
          <w:sz w:val="24"/>
          <w:szCs w:val="24"/>
        </w:rPr>
        <w:t>Pvt</w:t>
      </w:r>
      <w:proofErr w:type="spellEnd"/>
      <w:r w:rsidR="000C3722" w:rsidRPr="005E2FE2">
        <w:rPr>
          <w:rFonts w:ascii="Tahoma" w:hAnsi="Tahoma" w:cs="Tahoma"/>
          <w:i/>
          <w:sz w:val="24"/>
          <w:szCs w:val="24"/>
        </w:rPr>
        <w:t xml:space="preserve">) Ltd v Bedford and </w:t>
      </w:r>
      <w:proofErr w:type="spellStart"/>
      <w:r w:rsidR="000C3722" w:rsidRPr="005E2FE2">
        <w:rPr>
          <w:rFonts w:ascii="Tahoma" w:hAnsi="Tahoma" w:cs="Tahoma"/>
          <w:i/>
          <w:sz w:val="24"/>
          <w:szCs w:val="24"/>
        </w:rPr>
        <w:t>anor</w:t>
      </w:r>
      <w:proofErr w:type="spellEnd"/>
      <w:r w:rsidR="000C3722" w:rsidRPr="005E2FE2">
        <w:rPr>
          <w:rFonts w:ascii="Tahoma" w:hAnsi="Tahoma" w:cs="Tahoma"/>
          <w:i/>
          <w:sz w:val="24"/>
          <w:szCs w:val="24"/>
        </w:rPr>
        <w:t xml:space="preserve"> SC 65/88</w:t>
      </w:r>
    </w:p>
    <w:p w:rsidR="000C3722" w:rsidRDefault="000C3722" w:rsidP="000C3722">
      <w:pPr>
        <w:spacing w:after="0" w:line="360" w:lineRule="auto"/>
        <w:jc w:val="both"/>
        <w:rPr>
          <w:rFonts w:ascii="Tahoma" w:hAnsi="Tahoma" w:cs="Tahoma"/>
          <w:i/>
          <w:sz w:val="24"/>
          <w:szCs w:val="24"/>
        </w:rPr>
      </w:pPr>
    </w:p>
    <w:p w:rsidR="000C3722" w:rsidRDefault="000C3722" w:rsidP="000C3722">
      <w:pPr>
        <w:spacing w:after="0" w:line="360" w:lineRule="auto"/>
        <w:jc w:val="both"/>
        <w:rPr>
          <w:rFonts w:ascii="Tahoma" w:hAnsi="Tahoma" w:cs="Tahoma"/>
          <w:sz w:val="24"/>
          <w:szCs w:val="24"/>
        </w:rPr>
      </w:pPr>
      <w:r w:rsidRPr="000C3722">
        <w:rPr>
          <w:rFonts w:ascii="Tahoma" w:hAnsi="Tahoma" w:cs="Tahoma"/>
          <w:sz w:val="24"/>
          <w:szCs w:val="24"/>
        </w:rPr>
        <w:t>The court will consider</w:t>
      </w:r>
      <w:r>
        <w:rPr>
          <w:rFonts w:ascii="Tahoma" w:hAnsi="Tahoma" w:cs="Tahoma"/>
          <w:sz w:val="24"/>
          <w:szCs w:val="24"/>
        </w:rPr>
        <w:t xml:space="preserve"> </w:t>
      </w:r>
      <w:proofErr w:type="spellStart"/>
      <w:r w:rsidRPr="000C3722">
        <w:rPr>
          <w:rFonts w:ascii="Tahoma" w:hAnsi="Tahoma" w:cs="Tahoma"/>
          <w:i/>
          <w:sz w:val="24"/>
          <w:szCs w:val="24"/>
        </w:rPr>
        <w:t>seriatin</w:t>
      </w:r>
      <w:proofErr w:type="spellEnd"/>
      <w:r>
        <w:rPr>
          <w:rFonts w:ascii="Tahoma" w:hAnsi="Tahoma" w:cs="Tahoma"/>
          <w:sz w:val="24"/>
          <w:szCs w:val="24"/>
        </w:rPr>
        <w:t xml:space="preserve"> the issues for consideration.</w:t>
      </w:r>
    </w:p>
    <w:p w:rsidR="000C3722" w:rsidRDefault="000C3722" w:rsidP="000C3722">
      <w:pPr>
        <w:spacing w:after="0" w:line="360" w:lineRule="auto"/>
        <w:jc w:val="both"/>
        <w:rPr>
          <w:rFonts w:ascii="Tahoma" w:hAnsi="Tahoma" w:cs="Tahoma"/>
          <w:sz w:val="24"/>
          <w:szCs w:val="24"/>
        </w:rPr>
      </w:pPr>
    </w:p>
    <w:p w:rsidR="000C3722" w:rsidRPr="000C3722" w:rsidRDefault="000C3722" w:rsidP="000C3722">
      <w:pPr>
        <w:spacing w:after="0" w:line="360" w:lineRule="auto"/>
        <w:jc w:val="both"/>
        <w:rPr>
          <w:rFonts w:ascii="Tahoma" w:hAnsi="Tahoma" w:cs="Tahoma"/>
          <w:sz w:val="24"/>
          <w:szCs w:val="24"/>
          <w:u w:val="single"/>
        </w:rPr>
      </w:pPr>
      <w:r w:rsidRPr="000C3722">
        <w:rPr>
          <w:rFonts w:ascii="Tahoma" w:hAnsi="Tahoma" w:cs="Tahoma"/>
          <w:sz w:val="24"/>
          <w:szCs w:val="24"/>
          <w:u w:val="single"/>
        </w:rPr>
        <w:t>The length of the delay</w:t>
      </w:r>
    </w:p>
    <w:p w:rsidR="000C3722" w:rsidRDefault="000C3722" w:rsidP="000C3722">
      <w:pPr>
        <w:spacing w:after="0" w:line="360" w:lineRule="auto"/>
        <w:jc w:val="both"/>
        <w:rPr>
          <w:rFonts w:ascii="Tahoma" w:hAnsi="Tahoma" w:cs="Tahoma"/>
          <w:sz w:val="24"/>
          <w:szCs w:val="24"/>
        </w:rPr>
      </w:pPr>
    </w:p>
    <w:p w:rsidR="000C3722" w:rsidRDefault="000C3722" w:rsidP="000C3722">
      <w:pPr>
        <w:spacing w:after="0" w:line="360" w:lineRule="auto"/>
        <w:jc w:val="both"/>
        <w:rPr>
          <w:rFonts w:ascii="Tahoma" w:hAnsi="Tahoma" w:cs="Tahoma"/>
          <w:sz w:val="24"/>
          <w:szCs w:val="24"/>
        </w:rPr>
      </w:pPr>
      <w:r>
        <w:rPr>
          <w:rFonts w:ascii="Tahoma" w:hAnsi="Tahoma" w:cs="Tahoma"/>
          <w:sz w:val="24"/>
          <w:szCs w:val="24"/>
        </w:rPr>
        <w:t>The ruling which is being sought to be reviewed, should this application succeed, was on 20 August 2018. The application for condonation was filed on 23 March 2020. This is roughly 19 months after the ruling by the 2</w:t>
      </w:r>
      <w:r w:rsidRPr="000C3722">
        <w:rPr>
          <w:rFonts w:ascii="Tahoma" w:hAnsi="Tahoma" w:cs="Tahoma"/>
          <w:sz w:val="24"/>
          <w:szCs w:val="24"/>
          <w:vertAlign w:val="superscript"/>
        </w:rPr>
        <w:t>nd</w:t>
      </w:r>
      <w:r>
        <w:rPr>
          <w:rFonts w:ascii="Tahoma" w:hAnsi="Tahoma" w:cs="Tahoma"/>
          <w:sz w:val="24"/>
          <w:szCs w:val="24"/>
        </w:rPr>
        <w:t xml:space="preserve"> respondent.</w:t>
      </w:r>
    </w:p>
    <w:p w:rsidR="006C34EF" w:rsidRDefault="006C34EF" w:rsidP="000C3722">
      <w:pPr>
        <w:spacing w:after="0" w:line="360" w:lineRule="auto"/>
        <w:jc w:val="both"/>
        <w:rPr>
          <w:rFonts w:ascii="Tahoma" w:hAnsi="Tahoma" w:cs="Tahoma"/>
          <w:sz w:val="24"/>
          <w:szCs w:val="24"/>
        </w:rPr>
      </w:pPr>
    </w:p>
    <w:p w:rsidR="006C34EF" w:rsidRDefault="006C34EF" w:rsidP="000C3722">
      <w:pPr>
        <w:spacing w:after="0" w:line="360" w:lineRule="auto"/>
        <w:jc w:val="both"/>
        <w:rPr>
          <w:rFonts w:ascii="Tahoma" w:hAnsi="Tahoma" w:cs="Tahoma"/>
          <w:sz w:val="24"/>
          <w:szCs w:val="24"/>
        </w:rPr>
      </w:pPr>
      <w:r>
        <w:rPr>
          <w:rFonts w:ascii="Tahoma" w:hAnsi="Tahoma" w:cs="Tahoma"/>
          <w:sz w:val="24"/>
          <w:szCs w:val="24"/>
        </w:rPr>
        <w:tab/>
        <w:t>The delay is clearly inordinate. The rules of court require that an application for review be filed within 21 days. The applicant submits that he became aware of the draft ruling on 25 September 2018. From September 2018 the date of this application is a period of 18 months. The applicant, from his affidavit, new that he wanted to challenge the draft ruling on procedura</w:t>
      </w:r>
      <w:r w:rsidR="0030798C">
        <w:rPr>
          <w:rFonts w:ascii="Tahoma" w:hAnsi="Tahoma" w:cs="Tahoma"/>
          <w:sz w:val="24"/>
          <w:szCs w:val="24"/>
        </w:rPr>
        <w:t>l issues but he did not</w:t>
      </w:r>
      <w:r w:rsidR="00534C10">
        <w:rPr>
          <w:rFonts w:ascii="Tahoma" w:hAnsi="Tahoma" w:cs="Tahoma"/>
          <w:sz w:val="24"/>
          <w:szCs w:val="24"/>
        </w:rPr>
        <w:t>, choosing</w:t>
      </w:r>
      <w:r>
        <w:rPr>
          <w:rFonts w:ascii="Tahoma" w:hAnsi="Tahoma" w:cs="Tahoma"/>
          <w:sz w:val="24"/>
          <w:szCs w:val="24"/>
        </w:rPr>
        <w:t xml:space="preserve"> rather to wait until the application by the Labour office</w:t>
      </w:r>
      <w:r w:rsidR="00534C10">
        <w:rPr>
          <w:rFonts w:ascii="Tahoma" w:hAnsi="Tahoma" w:cs="Tahoma"/>
          <w:sz w:val="24"/>
          <w:szCs w:val="24"/>
        </w:rPr>
        <w:t>r for confirmation of the draft ruling</w:t>
      </w:r>
    </w:p>
    <w:p w:rsidR="00644C27" w:rsidRDefault="00644C27" w:rsidP="000C3722">
      <w:pPr>
        <w:spacing w:after="0" w:line="360" w:lineRule="auto"/>
        <w:jc w:val="both"/>
        <w:rPr>
          <w:rFonts w:ascii="Tahoma" w:hAnsi="Tahoma" w:cs="Tahoma"/>
          <w:sz w:val="24"/>
          <w:szCs w:val="24"/>
        </w:rPr>
      </w:pPr>
    </w:p>
    <w:p w:rsidR="00644C27" w:rsidRDefault="00644C27" w:rsidP="000C3722">
      <w:pPr>
        <w:spacing w:after="0" w:line="360" w:lineRule="auto"/>
        <w:jc w:val="both"/>
        <w:rPr>
          <w:rFonts w:ascii="Tahoma" w:hAnsi="Tahoma" w:cs="Tahoma"/>
          <w:sz w:val="24"/>
          <w:szCs w:val="24"/>
        </w:rPr>
      </w:pPr>
      <w:r>
        <w:rPr>
          <w:rFonts w:ascii="Tahoma" w:hAnsi="Tahoma" w:cs="Tahoma"/>
          <w:sz w:val="24"/>
          <w:szCs w:val="24"/>
        </w:rPr>
        <w:lastRenderedPageBreak/>
        <w:tab/>
        <w:t>The applicant waited and nudged the Labour officer to make the application when all he needed to do was file the application he is now seeking to file. The delay of over one and half years is ordina</w:t>
      </w:r>
      <w:r w:rsidR="00E76D61">
        <w:rPr>
          <w:rFonts w:ascii="Tahoma" w:hAnsi="Tahoma" w:cs="Tahoma"/>
          <w:sz w:val="24"/>
          <w:szCs w:val="24"/>
        </w:rPr>
        <w:t>te.</w:t>
      </w:r>
    </w:p>
    <w:p w:rsidR="00E76D61" w:rsidRDefault="00E76D61" w:rsidP="000C3722">
      <w:pPr>
        <w:spacing w:after="0" w:line="360" w:lineRule="auto"/>
        <w:jc w:val="both"/>
        <w:rPr>
          <w:rFonts w:ascii="Tahoma" w:hAnsi="Tahoma" w:cs="Tahoma"/>
          <w:sz w:val="24"/>
          <w:szCs w:val="24"/>
        </w:rPr>
      </w:pPr>
    </w:p>
    <w:p w:rsidR="00E76D61" w:rsidRPr="00E76D61" w:rsidRDefault="00E76D61" w:rsidP="000C3722">
      <w:pPr>
        <w:spacing w:after="0" w:line="360" w:lineRule="auto"/>
        <w:jc w:val="both"/>
        <w:rPr>
          <w:rFonts w:ascii="Tahoma" w:hAnsi="Tahoma" w:cs="Tahoma"/>
          <w:sz w:val="24"/>
          <w:szCs w:val="24"/>
          <w:u w:val="single"/>
        </w:rPr>
      </w:pPr>
      <w:r w:rsidRPr="00E76D61">
        <w:rPr>
          <w:rFonts w:ascii="Tahoma" w:hAnsi="Tahoma" w:cs="Tahoma"/>
          <w:sz w:val="24"/>
          <w:szCs w:val="24"/>
          <w:u w:val="single"/>
        </w:rPr>
        <w:t>The explanation for the delay</w:t>
      </w:r>
    </w:p>
    <w:p w:rsidR="00E76D61" w:rsidRDefault="00E76D61" w:rsidP="000C3722">
      <w:pPr>
        <w:spacing w:after="0" w:line="360" w:lineRule="auto"/>
        <w:jc w:val="both"/>
        <w:rPr>
          <w:rFonts w:ascii="Tahoma" w:hAnsi="Tahoma" w:cs="Tahoma"/>
          <w:sz w:val="24"/>
          <w:szCs w:val="24"/>
        </w:rPr>
      </w:pPr>
    </w:p>
    <w:p w:rsidR="00E76D61" w:rsidRDefault="00E76D61" w:rsidP="00E76D61">
      <w:pPr>
        <w:spacing w:after="0" w:line="360" w:lineRule="auto"/>
        <w:ind w:firstLine="720"/>
        <w:jc w:val="both"/>
        <w:rPr>
          <w:rFonts w:ascii="Tahoma" w:hAnsi="Tahoma" w:cs="Tahoma"/>
          <w:sz w:val="24"/>
          <w:szCs w:val="24"/>
        </w:rPr>
      </w:pPr>
      <w:r>
        <w:rPr>
          <w:rFonts w:ascii="Tahoma" w:hAnsi="Tahoma" w:cs="Tahoma"/>
          <w:sz w:val="24"/>
          <w:szCs w:val="24"/>
        </w:rPr>
        <w:t xml:space="preserve">The explanation </w:t>
      </w:r>
      <w:proofErr w:type="spellStart"/>
      <w:r>
        <w:rPr>
          <w:rFonts w:ascii="Tahoma" w:hAnsi="Tahoma" w:cs="Tahoma"/>
          <w:sz w:val="24"/>
          <w:szCs w:val="24"/>
        </w:rPr>
        <w:t>profered</w:t>
      </w:r>
      <w:proofErr w:type="spellEnd"/>
      <w:r>
        <w:rPr>
          <w:rFonts w:ascii="Tahoma" w:hAnsi="Tahoma" w:cs="Tahoma"/>
          <w:sz w:val="24"/>
          <w:szCs w:val="24"/>
        </w:rPr>
        <w:t xml:space="preserve"> by the applicant is that he was of the view that the Labour Officer would file an application for confirmation of the draft ruling and it is then that he would </w:t>
      </w:r>
      <w:r w:rsidR="005E2FE2">
        <w:rPr>
          <w:rFonts w:ascii="Tahoma" w:hAnsi="Tahoma" w:cs="Tahoma"/>
          <w:sz w:val="24"/>
          <w:szCs w:val="24"/>
        </w:rPr>
        <w:t xml:space="preserve">have </w:t>
      </w:r>
      <w:r>
        <w:rPr>
          <w:rFonts w:ascii="Tahoma" w:hAnsi="Tahoma" w:cs="Tahoma"/>
          <w:sz w:val="24"/>
          <w:szCs w:val="24"/>
        </w:rPr>
        <w:t>challenge</w:t>
      </w:r>
      <w:r w:rsidR="005E2FE2">
        <w:rPr>
          <w:rFonts w:ascii="Tahoma" w:hAnsi="Tahoma" w:cs="Tahoma"/>
          <w:sz w:val="24"/>
          <w:szCs w:val="24"/>
        </w:rPr>
        <w:t>d</w:t>
      </w:r>
      <w:r>
        <w:rPr>
          <w:rFonts w:ascii="Tahoma" w:hAnsi="Tahoma" w:cs="Tahoma"/>
          <w:sz w:val="24"/>
          <w:szCs w:val="24"/>
        </w:rPr>
        <w:t xml:space="preserve"> the draft ruling.</w:t>
      </w:r>
    </w:p>
    <w:p w:rsidR="00E76D61" w:rsidRDefault="00E76D61" w:rsidP="00E76D61">
      <w:pPr>
        <w:spacing w:after="0" w:line="360" w:lineRule="auto"/>
        <w:ind w:firstLine="720"/>
        <w:jc w:val="both"/>
        <w:rPr>
          <w:rFonts w:ascii="Tahoma" w:hAnsi="Tahoma" w:cs="Tahoma"/>
          <w:sz w:val="24"/>
          <w:szCs w:val="24"/>
        </w:rPr>
      </w:pPr>
    </w:p>
    <w:p w:rsidR="00E76D61" w:rsidRDefault="00E76D61" w:rsidP="00E76D61">
      <w:pPr>
        <w:spacing w:after="0" w:line="360" w:lineRule="auto"/>
        <w:ind w:firstLine="720"/>
        <w:jc w:val="both"/>
        <w:rPr>
          <w:rFonts w:ascii="Tahoma" w:hAnsi="Tahoma" w:cs="Tahoma"/>
          <w:sz w:val="24"/>
          <w:szCs w:val="24"/>
        </w:rPr>
      </w:pPr>
      <w:r>
        <w:rPr>
          <w:rFonts w:ascii="Tahoma" w:hAnsi="Tahoma" w:cs="Tahoma"/>
          <w:sz w:val="24"/>
          <w:szCs w:val="24"/>
        </w:rPr>
        <w:t>The applicant realized after continued research and scrutiny of the 2</w:t>
      </w:r>
      <w:r w:rsidRPr="00E76D61">
        <w:rPr>
          <w:rFonts w:ascii="Tahoma" w:hAnsi="Tahoma" w:cs="Tahoma"/>
          <w:sz w:val="24"/>
          <w:szCs w:val="24"/>
          <w:vertAlign w:val="superscript"/>
        </w:rPr>
        <w:t>nd</w:t>
      </w:r>
      <w:r>
        <w:rPr>
          <w:rFonts w:ascii="Tahoma" w:hAnsi="Tahoma" w:cs="Tahoma"/>
          <w:sz w:val="24"/>
          <w:szCs w:val="24"/>
        </w:rPr>
        <w:t xml:space="preserve"> respondent’s</w:t>
      </w:r>
      <w:r w:rsidR="005E2FE2">
        <w:rPr>
          <w:rFonts w:ascii="Tahoma" w:hAnsi="Tahoma" w:cs="Tahoma"/>
          <w:sz w:val="24"/>
          <w:szCs w:val="24"/>
        </w:rPr>
        <w:t xml:space="preserve"> respo</w:t>
      </w:r>
      <w:r w:rsidR="006A0D50">
        <w:rPr>
          <w:rFonts w:ascii="Tahoma" w:hAnsi="Tahoma" w:cs="Tahoma"/>
          <w:sz w:val="24"/>
          <w:szCs w:val="24"/>
        </w:rPr>
        <w:t>nding affidav</w:t>
      </w:r>
      <w:r w:rsidR="005E2FE2">
        <w:rPr>
          <w:rFonts w:ascii="Tahoma" w:hAnsi="Tahoma" w:cs="Tahoma"/>
          <w:sz w:val="24"/>
          <w:szCs w:val="24"/>
        </w:rPr>
        <w:t>it that he would not realize his desired route of challenging the draft ruling</w:t>
      </w:r>
      <w:r w:rsidR="006A0D50">
        <w:rPr>
          <w:rFonts w:ascii="Tahoma" w:hAnsi="Tahoma" w:cs="Tahoma"/>
          <w:sz w:val="24"/>
          <w:szCs w:val="24"/>
        </w:rPr>
        <w:t xml:space="preserve"> and it is only then that he was jolted into seeking another way of challenging the draft ruling.</w:t>
      </w:r>
    </w:p>
    <w:p w:rsidR="006A0D50" w:rsidRDefault="006A0D50" w:rsidP="00E76D61">
      <w:pPr>
        <w:spacing w:after="0" w:line="360" w:lineRule="auto"/>
        <w:ind w:firstLine="720"/>
        <w:jc w:val="both"/>
        <w:rPr>
          <w:rFonts w:ascii="Tahoma" w:hAnsi="Tahoma" w:cs="Tahoma"/>
          <w:sz w:val="24"/>
          <w:szCs w:val="24"/>
        </w:rPr>
      </w:pPr>
    </w:p>
    <w:p w:rsidR="006A0D50" w:rsidRDefault="006A0D50" w:rsidP="00E76D61">
      <w:pPr>
        <w:spacing w:after="0" w:line="360" w:lineRule="auto"/>
        <w:ind w:firstLine="720"/>
        <w:jc w:val="both"/>
        <w:rPr>
          <w:rFonts w:ascii="Tahoma" w:hAnsi="Tahoma" w:cs="Tahoma"/>
          <w:sz w:val="24"/>
          <w:szCs w:val="24"/>
        </w:rPr>
      </w:pPr>
      <w:r>
        <w:rPr>
          <w:rFonts w:ascii="Tahoma" w:hAnsi="Tahoma" w:cs="Tahoma"/>
          <w:sz w:val="24"/>
          <w:szCs w:val="24"/>
        </w:rPr>
        <w:t>He was thus ignorant of the fact</w:t>
      </w:r>
      <w:r w:rsidR="003B7212">
        <w:rPr>
          <w:rFonts w:ascii="Tahoma" w:hAnsi="Tahoma" w:cs="Tahoma"/>
          <w:sz w:val="24"/>
          <w:szCs w:val="24"/>
        </w:rPr>
        <w:t xml:space="preserve"> that</w:t>
      </w:r>
      <w:r w:rsidR="0035275B">
        <w:rPr>
          <w:rFonts w:ascii="Tahoma" w:hAnsi="Tahoma" w:cs="Tahoma"/>
          <w:sz w:val="24"/>
          <w:szCs w:val="24"/>
        </w:rPr>
        <w:t xml:space="preserve"> he could have filed an application for review even while he waited for the confirmation proceeding as these are two independent processes which could have run concurrently.</w:t>
      </w:r>
    </w:p>
    <w:p w:rsidR="0035275B" w:rsidRDefault="0035275B" w:rsidP="00E76D61">
      <w:pPr>
        <w:spacing w:after="0" w:line="360" w:lineRule="auto"/>
        <w:ind w:firstLine="720"/>
        <w:jc w:val="both"/>
        <w:rPr>
          <w:rFonts w:ascii="Tahoma" w:hAnsi="Tahoma" w:cs="Tahoma"/>
          <w:sz w:val="24"/>
          <w:szCs w:val="24"/>
        </w:rPr>
      </w:pPr>
    </w:p>
    <w:p w:rsidR="0035275B" w:rsidRDefault="0035275B" w:rsidP="00E76D61">
      <w:pPr>
        <w:spacing w:after="0" w:line="360" w:lineRule="auto"/>
        <w:ind w:firstLine="720"/>
        <w:jc w:val="both"/>
        <w:rPr>
          <w:rFonts w:ascii="Tahoma" w:hAnsi="Tahoma" w:cs="Tahoma"/>
          <w:sz w:val="24"/>
          <w:szCs w:val="24"/>
        </w:rPr>
      </w:pPr>
      <w:r>
        <w:rPr>
          <w:rFonts w:ascii="Tahoma" w:hAnsi="Tahoma" w:cs="Tahoma"/>
          <w:sz w:val="24"/>
          <w:szCs w:val="24"/>
        </w:rPr>
        <w:t>This explanation is a plea in ignorance of the law. It is trite</w:t>
      </w:r>
      <w:r w:rsidR="006F6A1C">
        <w:rPr>
          <w:rFonts w:ascii="Tahoma" w:hAnsi="Tahoma" w:cs="Tahoma"/>
          <w:sz w:val="24"/>
          <w:szCs w:val="24"/>
        </w:rPr>
        <w:t xml:space="preserve"> that being ignorant of the law is not an acceptable </w:t>
      </w:r>
      <w:proofErr w:type="spellStart"/>
      <w:r w:rsidR="006F6A1C">
        <w:rPr>
          <w:rFonts w:ascii="Tahoma" w:hAnsi="Tahoma" w:cs="Tahoma"/>
          <w:sz w:val="24"/>
          <w:szCs w:val="24"/>
        </w:rPr>
        <w:t>defence</w:t>
      </w:r>
      <w:proofErr w:type="spellEnd"/>
      <w:r w:rsidR="006F6A1C">
        <w:rPr>
          <w:rFonts w:ascii="Tahoma" w:hAnsi="Tahoma" w:cs="Tahoma"/>
          <w:sz w:val="24"/>
          <w:szCs w:val="24"/>
        </w:rPr>
        <w:t>. The applicant could have sought legal advice and filed his application for review within the prescribed time from September 2018 instead of waiting until March 2020 to seek condonation. The explanation is unacceptable.</w:t>
      </w:r>
    </w:p>
    <w:p w:rsidR="005E2FE2" w:rsidRDefault="005E2FE2" w:rsidP="00E76D61">
      <w:pPr>
        <w:spacing w:after="0" w:line="360" w:lineRule="auto"/>
        <w:ind w:firstLine="720"/>
        <w:jc w:val="both"/>
        <w:rPr>
          <w:rFonts w:ascii="Tahoma" w:hAnsi="Tahoma" w:cs="Tahoma"/>
          <w:sz w:val="24"/>
          <w:szCs w:val="24"/>
        </w:rPr>
      </w:pPr>
    </w:p>
    <w:p w:rsidR="005E2FE2" w:rsidRPr="005E2FE2" w:rsidRDefault="005E2FE2" w:rsidP="00E76D61">
      <w:pPr>
        <w:spacing w:after="0" w:line="360" w:lineRule="auto"/>
        <w:ind w:firstLine="720"/>
        <w:jc w:val="both"/>
        <w:rPr>
          <w:rFonts w:ascii="Tahoma" w:hAnsi="Tahoma" w:cs="Tahoma"/>
          <w:i/>
          <w:sz w:val="24"/>
          <w:szCs w:val="24"/>
        </w:rPr>
      </w:pPr>
      <w:r>
        <w:rPr>
          <w:rFonts w:ascii="Tahoma" w:hAnsi="Tahoma" w:cs="Tahoma"/>
          <w:sz w:val="24"/>
          <w:szCs w:val="24"/>
        </w:rPr>
        <w:t xml:space="preserve">See in this regard the case of </w:t>
      </w:r>
      <w:r w:rsidRPr="005E2FE2">
        <w:rPr>
          <w:rFonts w:ascii="Tahoma" w:hAnsi="Tahoma" w:cs="Tahoma"/>
          <w:i/>
          <w:sz w:val="24"/>
          <w:szCs w:val="24"/>
        </w:rPr>
        <w:t xml:space="preserve">Martin </w:t>
      </w:r>
      <w:proofErr w:type="spellStart"/>
      <w:r w:rsidRPr="005E2FE2">
        <w:rPr>
          <w:rFonts w:ascii="Tahoma" w:hAnsi="Tahoma" w:cs="Tahoma"/>
          <w:i/>
          <w:sz w:val="24"/>
          <w:szCs w:val="24"/>
        </w:rPr>
        <w:t>Jongwe</w:t>
      </w:r>
      <w:proofErr w:type="spellEnd"/>
      <w:r w:rsidRPr="005E2FE2">
        <w:rPr>
          <w:rFonts w:ascii="Tahoma" w:hAnsi="Tahoma" w:cs="Tahoma"/>
          <w:i/>
          <w:sz w:val="24"/>
          <w:szCs w:val="24"/>
        </w:rPr>
        <w:t xml:space="preserve"> v National Foods Limited and </w:t>
      </w:r>
      <w:proofErr w:type="spellStart"/>
      <w:r w:rsidRPr="005E2FE2">
        <w:rPr>
          <w:rFonts w:ascii="Tahoma" w:hAnsi="Tahoma" w:cs="Tahoma"/>
          <w:i/>
          <w:sz w:val="24"/>
          <w:szCs w:val="24"/>
        </w:rPr>
        <w:t>anor</w:t>
      </w:r>
      <w:proofErr w:type="spellEnd"/>
      <w:r>
        <w:rPr>
          <w:rFonts w:ascii="Tahoma" w:hAnsi="Tahoma" w:cs="Tahoma"/>
          <w:sz w:val="24"/>
          <w:szCs w:val="24"/>
        </w:rPr>
        <w:t xml:space="preserve"> </w:t>
      </w:r>
      <w:r w:rsidRPr="005E2FE2">
        <w:rPr>
          <w:rFonts w:ascii="Tahoma" w:hAnsi="Tahoma" w:cs="Tahoma"/>
          <w:i/>
          <w:sz w:val="24"/>
          <w:szCs w:val="24"/>
        </w:rPr>
        <w:t>HB 147/18.</w:t>
      </w:r>
    </w:p>
    <w:p w:rsidR="006F6A1C" w:rsidRDefault="006F6A1C" w:rsidP="006F6A1C">
      <w:pPr>
        <w:spacing w:after="0" w:line="360" w:lineRule="auto"/>
        <w:jc w:val="both"/>
        <w:rPr>
          <w:rFonts w:ascii="Tahoma" w:hAnsi="Tahoma" w:cs="Tahoma"/>
          <w:sz w:val="24"/>
          <w:szCs w:val="24"/>
        </w:rPr>
      </w:pPr>
    </w:p>
    <w:p w:rsidR="006F6A1C" w:rsidRPr="006F6A1C" w:rsidRDefault="006F6A1C" w:rsidP="006F6A1C">
      <w:pPr>
        <w:spacing w:after="0" w:line="360" w:lineRule="auto"/>
        <w:jc w:val="both"/>
        <w:rPr>
          <w:rFonts w:ascii="Tahoma" w:hAnsi="Tahoma" w:cs="Tahoma"/>
          <w:sz w:val="24"/>
          <w:szCs w:val="24"/>
          <w:u w:val="single"/>
        </w:rPr>
      </w:pPr>
      <w:r w:rsidRPr="006F6A1C">
        <w:rPr>
          <w:rFonts w:ascii="Tahoma" w:hAnsi="Tahoma" w:cs="Tahoma"/>
          <w:sz w:val="24"/>
          <w:szCs w:val="24"/>
          <w:u w:val="single"/>
        </w:rPr>
        <w:t>Prospects of success on the merits of the intended application</w:t>
      </w:r>
    </w:p>
    <w:p w:rsidR="006F6A1C" w:rsidRPr="006F6A1C" w:rsidRDefault="006F6A1C" w:rsidP="006F6A1C">
      <w:pPr>
        <w:spacing w:after="0" w:line="360" w:lineRule="auto"/>
        <w:jc w:val="both"/>
        <w:rPr>
          <w:rFonts w:ascii="Tahoma" w:hAnsi="Tahoma" w:cs="Tahoma"/>
          <w:sz w:val="24"/>
          <w:szCs w:val="24"/>
          <w:u w:val="single"/>
        </w:rPr>
      </w:pPr>
    </w:p>
    <w:p w:rsidR="006F6A1C" w:rsidRDefault="006F6A1C" w:rsidP="006F6A1C">
      <w:pPr>
        <w:spacing w:after="0" w:line="360" w:lineRule="auto"/>
        <w:ind w:firstLine="720"/>
        <w:jc w:val="both"/>
        <w:rPr>
          <w:rFonts w:ascii="Tahoma" w:hAnsi="Tahoma" w:cs="Tahoma"/>
          <w:sz w:val="24"/>
          <w:szCs w:val="24"/>
        </w:rPr>
      </w:pPr>
      <w:r>
        <w:rPr>
          <w:rFonts w:ascii="Tahoma" w:hAnsi="Tahoma" w:cs="Tahoma"/>
          <w:sz w:val="24"/>
          <w:szCs w:val="24"/>
        </w:rPr>
        <w:t>The applicant believes that he has good prospects of success because the 1</w:t>
      </w:r>
      <w:r w:rsidRPr="006F6A1C">
        <w:rPr>
          <w:rFonts w:ascii="Tahoma" w:hAnsi="Tahoma" w:cs="Tahoma"/>
          <w:sz w:val="24"/>
          <w:szCs w:val="24"/>
          <w:vertAlign w:val="superscript"/>
        </w:rPr>
        <w:t>st</w:t>
      </w:r>
      <w:r>
        <w:rPr>
          <w:rFonts w:ascii="Tahoma" w:hAnsi="Tahoma" w:cs="Tahoma"/>
          <w:sz w:val="24"/>
          <w:szCs w:val="24"/>
        </w:rPr>
        <w:t xml:space="preserve"> respondent, the Labour officer erroneously dealt with the matter as a forum of first instance and this led him to</w:t>
      </w:r>
      <w:r w:rsidR="00384FC5">
        <w:rPr>
          <w:rFonts w:ascii="Tahoma" w:hAnsi="Tahoma" w:cs="Tahoma"/>
          <w:sz w:val="24"/>
          <w:szCs w:val="24"/>
        </w:rPr>
        <w:t xml:space="preserve"> adopt a wrong procedure and erroneously issue a draft ruling when he ought to have dealt with matter as an appeal hearing.</w:t>
      </w:r>
    </w:p>
    <w:p w:rsidR="00384FC5" w:rsidRDefault="00384FC5" w:rsidP="006F6A1C">
      <w:pPr>
        <w:spacing w:after="0" w:line="360" w:lineRule="auto"/>
        <w:ind w:firstLine="720"/>
        <w:jc w:val="both"/>
        <w:rPr>
          <w:rFonts w:ascii="Tahoma" w:hAnsi="Tahoma" w:cs="Tahoma"/>
          <w:sz w:val="24"/>
          <w:szCs w:val="24"/>
        </w:rPr>
      </w:pPr>
    </w:p>
    <w:p w:rsidR="00384FC5" w:rsidRDefault="00384FC5" w:rsidP="006F6A1C">
      <w:pPr>
        <w:spacing w:after="0" w:line="360" w:lineRule="auto"/>
        <w:ind w:firstLine="720"/>
        <w:jc w:val="both"/>
        <w:rPr>
          <w:rFonts w:ascii="Tahoma" w:hAnsi="Tahoma" w:cs="Tahoma"/>
          <w:sz w:val="24"/>
          <w:szCs w:val="24"/>
        </w:rPr>
      </w:pPr>
      <w:r>
        <w:rPr>
          <w:rFonts w:ascii="Tahoma" w:hAnsi="Tahoma" w:cs="Tahoma"/>
          <w:sz w:val="24"/>
          <w:szCs w:val="24"/>
        </w:rPr>
        <w:t>The applicant does not substantiate his claims that the procedure adopted was wrong. He makes the bold averments and does not proceed to substantiate the averments.</w:t>
      </w:r>
    </w:p>
    <w:p w:rsidR="00376A6A" w:rsidRDefault="00376A6A" w:rsidP="006F6A1C">
      <w:pPr>
        <w:spacing w:after="0" w:line="360" w:lineRule="auto"/>
        <w:ind w:firstLine="720"/>
        <w:jc w:val="both"/>
        <w:rPr>
          <w:rFonts w:ascii="Tahoma" w:hAnsi="Tahoma" w:cs="Tahoma"/>
          <w:sz w:val="24"/>
          <w:szCs w:val="24"/>
        </w:rPr>
      </w:pPr>
    </w:p>
    <w:p w:rsidR="00376A6A" w:rsidRPr="00534C10" w:rsidRDefault="00376A6A" w:rsidP="006F6A1C">
      <w:pPr>
        <w:spacing w:after="0" w:line="360" w:lineRule="auto"/>
        <w:ind w:firstLine="720"/>
        <w:jc w:val="both"/>
        <w:rPr>
          <w:rFonts w:ascii="Tahoma" w:hAnsi="Tahoma" w:cs="Tahoma"/>
          <w:i/>
          <w:sz w:val="24"/>
          <w:szCs w:val="24"/>
        </w:rPr>
      </w:pPr>
      <w:r>
        <w:rPr>
          <w:rFonts w:ascii="Tahoma" w:hAnsi="Tahoma" w:cs="Tahoma"/>
          <w:sz w:val="24"/>
          <w:szCs w:val="24"/>
        </w:rPr>
        <w:t xml:space="preserve">The Labour Act </w:t>
      </w:r>
      <w:r w:rsidRPr="00BF2F8F">
        <w:rPr>
          <w:rFonts w:ascii="Tahoma" w:hAnsi="Tahoma" w:cs="Tahoma"/>
          <w:i/>
          <w:sz w:val="24"/>
          <w:szCs w:val="24"/>
        </w:rPr>
        <w:t>[Chapter 28:01]</w:t>
      </w:r>
      <w:r w:rsidR="00BF2F8F">
        <w:rPr>
          <w:rFonts w:ascii="Tahoma" w:hAnsi="Tahoma" w:cs="Tahoma"/>
          <w:sz w:val="24"/>
          <w:szCs w:val="24"/>
        </w:rPr>
        <w:t xml:space="preserve"> the act provides the process that was followed by the Labour Officer when a matter is referred to him, and the parties are not reconciled, he shall determine the matter and issue a draft ruling. This is what was done. The court was not referred to any provision of law or ca</w:t>
      </w:r>
      <w:r w:rsidR="005E2FE2">
        <w:rPr>
          <w:rFonts w:ascii="Tahoma" w:hAnsi="Tahoma" w:cs="Tahoma"/>
          <w:sz w:val="24"/>
          <w:szCs w:val="24"/>
        </w:rPr>
        <w:t xml:space="preserve">se authorities that support the applicant’s </w:t>
      </w:r>
      <w:r w:rsidR="00BF2F8F">
        <w:rPr>
          <w:rFonts w:ascii="Tahoma" w:hAnsi="Tahoma" w:cs="Tahoma"/>
          <w:sz w:val="24"/>
          <w:szCs w:val="24"/>
        </w:rPr>
        <w:t>averments. He failed to establish that he had good prospects of success.</w:t>
      </w:r>
      <w:r w:rsidR="005E2FE2">
        <w:rPr>
          <w:rFonts w:ascii="Tahoma" w:hAnsi="Tahoma" w:cs="Tahoma"/>
          <w:sz w:val="24"/>
          <w:szCs w:val="24"/>
        </w:rPr>
        <w:t xml:space="preserve"> The position of law is now trite that he who alleges must prove. See</w:t>
      </w:r>
      <w:r w:rsidR="00534C10">
        <w:rPr>
          <w:rFonts w:ascii="Tahoma" w:hAnsi="Tahoma" w:cs="Tahoma"/>
          <w:sz w:val="24"/>
          <w:szCs w:val="24"/>
        </w:rPr>
        <w:t xml:space="preserve"> the case of </w:t>
      </w:r>
      <w:r w:rsidR="00534C10" w:rsidRPr="00534C10">
        <w:rPr>
          <w:rFonts w:ascii="Tahoma" w:hAnsi="Tahoma" w:cs="Tahoma"/>
          <w:i/>
          <w:sz w:val="24"/>
          <w:szCs w:val="24"/>
        </w:rPr>
        <w:t xml:space="preserve">Astra Holdings v Peter </w:t>
      </w:r>
      <w:proofErr w:type="spellStart"/>
      <w:r w:rsidR="00534C10" w:rsidRPr="00534C10">
        <w:rPr>
          <w:rFonts w:ascii="Tahoma" w:hAnsi="Tahoma" w:cs="Tahoma"/>
          <w:i/>
          <w:sz w:val="24"/>
          <w:szCs w:val="24"/>
        </w:rPr>
        <w:t>Chadamburuka</w:t>
      </w:r>
      <w:proofErr w:type="spellEnd"/>
      <w:r w:rsidR="00534C10" w:rsidRPr="00534C10">
        <w:rPr>
          <w:rFonts w:ascii="Tahoma" w:hAnsi="Tahoma" w:cs="Tahoma"/>
          <w:i/>
          <w:sz w:val="24"/>
          <w:szCs w:val="24"/>
        </w:rPr>
        <w:t xml:space="preserve"> SC 27/17 and also Book v Davidson 1988 (1) ZLR 365.</w:t>
      </w:r>
    </w:p>
    <w:p w:rsidR="00BF2F8F" w:rsidRPr="00534C10" w:rsidRDefault="00BF2F8F" w:rsidP="00BF2F8F">
      <w:pPr>
        <w:spacing w:after="0" w:line="360" w:lineRule="auto"/>
        <w:jc w:val="both"/>
        <w:rPr>
          <w:rFonts w:ascii="Tahoma" w:hAnsi="Tahoma" w:cs="Tahoma"/>
          <w:i/>
          <w:sz w:val="24"/>
          <w:szCs w:val="24"/>
        </w:rPr>
      </w:pPr>
    </w:p>
    <w:p w:rsidR="00BF2F8F" w:rsidRPr="008A1E89" w:rsidRDefault="00BF2F8F" w:rsidP="00BF2F8F">
      <w:pPr>
        <w:spacing w:after="0" w:line="360" w:lineRule="auto"/>
        <w:jc w:val="both"/>
        <w:rPr>
          <w:rFonts w:ascii="Tahoma" w:hAnsi="Tahoma" w:cs="Tahoma"/>
          <w:sz w:val="24"/>
          <w:szCs w:val="24"/>
          <w:u w:val="single"/>
        </w:rPr>
      </w:pPr>
      <w:r w:rsidRPr="008A1E89">
        <w:rPr>
          <w:rFonts w:ascii="Tahoma" w:hAnsi="Tahoma" w:cs="Tahoma"/>
          <w:sz w:val="24"/>
          <w:szCs w:val="24"/>
          <w:u w:val="single"/>
        </w:rPr>
        <w:t>Possible prejudice to the other side</w:t>
      </w:r>
      <w:r w:rsidR="002D40E8">
        <w:rPr>
          <w:rFonts w:ascii="Tahoma" w:hAnsi="Tahoma" w:cs="Tahoma"/>
          <w:sz w:val="24"/>
          <w:szCs w:val="24"/>
          <w:u w:val="single"/>
        </w:rPr>
        <w:t xml:space="preserve">                                                              </w:t>
      </w:r>
    </w:p>
    <w:p w:rsidR="00BF2F8F" w:rsidRDefault="00BF2F8F" w:rsidP="00BF2F8F">
      <w:pPr>
        <w:spacing w:after="0" w:line="360" w:lineRule="auto"/>
        <w:jc w:val="both"/>
        <w:rPr>
          <w:rFonts w:ascii="Tahoma" w:hAnsi="Tahoma" w:cs="Tahoma"/>
          <w:sz w:val="24"/>
          <w:szCs w:val="24"/>
        </w:rPr>
      </w:pPr>
    </w:p>
    <w:p w:rsidR="00BF2F8F" w:rsidRDefault="00BF2F8F" w:rsidP="00BF2F8F">
      <w:pPr>
        <w:spacing w:after="0" w:line="360" w:lineRule="auto"/>
        <w:jc w:val="both"/>
        <w:rPr>
          <w:rFonts w:ascii="Tahoma" w:hAnsi="Tahoma" w:cs="Tahoma"/>
          <w:sz w:val="24"/>
          <w:szCs w:val="24"/>
        </w:rPr>
      </w:pPr>
      <w:r>
        <w:rPr>
          <w:rFonts w:ascii="Tahoma" w:hAnsi="Tahoma" w:cs="Tahoma"/>
          <w:sz w:val="24"/>
          <w:szCs w:val="24"/>
        </w:rPr>
        <w:t xml:space="preserve">The other </w:t>
      </w:r>
      <w:r w:rsidR="005E2FE2">
        <w:rPr>
          <w:rFonts w:ascii="Tahoma" w:hAnsi="Tahoma" w:cs="Tahoma"/>
          <w:sz w:val="24"/>
          <w:szCs w:val="24"/>
        </w:rPr>
        <w:t xml:space="preserve">side </w:t>
      </w:r>
      <w:r>
        <w:rPr>
          <w:rFonts w:ascii="Tahoma" w:hAnsi="Tahoma" w:cs="Tahoma"/>
          <w:sz w:val="24"/>
          <w:szCs w:val="24"/>
        </w:rPr>
        <w:t>has since August 2018</w:t>
      </w:r>
      <w:r w:rsidR="005E2FE2">
        <w:rPr>
          <w:rFonts w:ascii="Tahoma" w:hAnsi="Tahoma" w:cs="Tahoma"/>
          <w:sz w:val="24"/>
          <w:szCs w:val="24"/>
        </w:rPr>
        <w:t>,</w:t>
      </w:r>
      <w:r>
        <w:rPr>
          <w:rFonts w:ascii="Tahoma" w:hAnsi="Tahoma" w:cs="Tahoma"/>
          <w:sz w:val="24"/>
          <w:szCs w:val="24"/>
        </w:rPr>
        <w:t xml:space="preserve"> held the view that the matter had been finally resolved in terms of law. This is </w:t>
      </w:r>
      <w:proofErr w:type="spellStart"/>
      <w:r>
        <w:rPr>
          <w:rFonts w:ascii="Tahoma" w:hAnsi="Tahoma" w:cs="Tahoma"/>
          <w:sz w:val="24"/>
          <w:szCs w:val="24"/>
        </w:rPr>
        <w:t>born</w:t>
      </w:r>
      <w:proofErr w:type="spellEnd"/>
      <w:r>
        <w:rPr>
          <w:rFonts w:ascii="Tahoma" w:hAnsi="Tahoma" w:cs="Tahoma"/>
          <w:sz w:val="24"/>
          <w:szCs w:val="24"/>
        </w:rPr>
        <w:t xml:space="preserve"> out by the belief it expressed that</w:t>
      </w:r>
      <w:r w:rsidR="002D40E8">
        <w:rPr>
          <w:rFonts w:ascii="Tahoma" w:hAnsi="Tahoma" w:cs="Tahoma"/>
          <w:sz w:val="24"/>
          <w:szCs w:val="24"/>
        </w:rPr>
        <w:t xml:space="preserve"> in terms of the Drum city case (supra) there could not be any further process like application for confirmation proceedings. The 2</w:t>
      </w:r>
      <w:r w:rsidR="002D40E8" w:rsidRPr="002D40E8">
        <w:rPr>
          <w:rFonts w:ascii="Tahoma" w:hAnsi="Tahoma" w:cs="Tahoma"/>
          <w:sz w:val="24"/>
          <w:szCs w:val="24"/>
          <w:vertAlign w:val="superscript"/>
        </w:rPr>
        <w:t>nd</w:t>
      </w:r>
      <w:r w:rsidR="002D40E8">
        <w:rPr>
          <w:rFonts w:ascii="Tahoma" w:hAnsi="Tahoma" w:cs="Tahoma"/>
          <w:sz w:val="24"/>
          <w:szCs w:val="24"/>
        </w:rPr>
        <w:t xml:space="preserve"> respondent most likely proceeded to conduct its affairs in the belief that the dispute had been resolved to finality.</w:t>
      </w:r>
    </w:p>
    <w:p w:rsidR="002D40E8" w:rsidRDefault="002D40E8" w:rsidP="00BF2F8F">
      <w:pPr>
        <w:spacing w:after="0" w:line="360" w:lineRule="auto"/>
        <w:jc w:val="both"/>
        <w:rPr>
          <w:rFonts w:ascii="Tahoma" w:hAnsi="Tahoma" w:cs="Tahoma"/>
          <w:sz w:val="24"/>
          <w:szCs w:val="24"/>
        </w:rPr>
      </w:pPr>
    </w:p>
    <w:p w:rsidR="002D40E8" w:rsidRDefault="002D40E8" w:rsidP="00BF2F8F">
      <w:pPr>
        <w:spacing w:after="0" w:line="360" w:lineRule="auto"/>
        <w:jc w:val="both"/>
        <w:rPr>
          <w:rFonts w:ascii="Tahoma" w:hAnsi="Tahoma" w:cs="Tahoma"/>
          <w:sz w:val="24"/>
          <w:szCs w:val="24"/>
        </w:rPr>
      </w:pPr>
      <w:r>
        <w:rPr>
          <w:rFonts w:ascii="Tahoma" w:hAnsi="Tahoma" w:cs="Tahoma"/>
          <w:sz w:val="24"/>
          <w:szCs w:val="24"/>
        </w:rPr>
        <w:lastRenderedPageBreak/>
        <w:tab/>
        <w:t>Calling it to answer to this application and a possible reopening of the dispute 19 months later would seriously prejudice it.</w:t>
      </w:r>
    </w:p>
    <w:p w:rsidR="00437C82" w:rsidRDefault="00437C82" w:rsidP="00BF2F8F">
      <w:pPr>
        <w:spacing w:after="0" w:line="360" w:lineRule="auto"/>
        <w:jc w:val="both"/>
        <w:rPr>
          <w:rFonts w:ascii="Tahoma" w:hAnsi="Tahoma" w:cs="Tahoma"/>
          <w:sz w:val="24"/>
          <w:szCs w:val="24"/>
        </w:rPr>
      </w:pPr>
    </w:p>
    <w:p w:rsidR="00437C82" w:rsidRDefault="00437C82" w:rsidP="00BF2F8F">
      <w:pPr>
        <w:spacing w:after="0" w:line="360" w:lineRule="auto"/>
        <w:jc w:val="both"/>
        <w:rPr>
          <w:rFonts w:ascii="Tahoma" w:hAnsi="Tahoma" w:cs="Tahoma"/>
          <w:sz w:val="24"/>
          <w:szCs w:val="24"/>
        </w:rPr>
      </w:pPr>
      <w:r>
        <w:rPr>
          <w:rFonts w:ascii="Tahoma" w:hAnsi="Tahoma" w:cs="Tahoma"/>
          <w:sz w:val="24"/>
          <w:szCs w:val="24"/>
        </w:rPr>
        <w:tab/>
        <w:t xml:space="preserve">On the other hand the applicant only has himself </w:t>
      </w:r>
      <w:r w:rsidR="005E2FE2">
        <w:rPr>
          <w:rFonts w:ascii="Tahoma" w:hAnsi="Tahoma" w:cs="Tahoma"/>
          <w:sz w:val="24"/>
          <w:szCs w:val="24"/>
        </w:rPr>
        <w:t xml:space="preserve">to blame </w:t>
      </w:r>
      <w:r>
        <w:rPr>
          <w:rFonts w:ascii="Tahoma" w:hAnsi="Tahoma" w:cs="Tahoma"/>
          <w:sz w:val="24"/>
          <w:szCs w:val="24"/>
        </w:rPr>
        <w:t xml:space="preserve">for failing to be diligent in the </w:t>
      </w:r>
      <w:proofErr w:type="spellStart"/>
      <w:r>
        <w:rPr>
          <w:rFonts w:ascii="Tahoma" w:hAnsi="Tahoma" w:cs="Tahoma"/>
          <w:sz w:val="24"/>
          <w:szCs w:val="24"/>
        </w:rPr>
        <w:t>defence</w:t>
      </w:r>
      <w:proofErr w:type="spellEnd"/>
      <w:r>
        <w:rPr>
          <w:rFonts w:ascii="Tahoma" w:hAnsi="Tahoma" w:cs="Tahoma"/>
          <w:sz w:val="24"/>
          <w:szCs w:val="24"/>
        </w:rPr>
        <w:t xml:space="preserve"> of his rights. The law is clear that the law will only assist the vigilant.</w:t>
      </w:r>
    </w:p>
    <w:p w:rsidR="00437C82" w:rsidRDefault="00437C82" w:rsidP="00BF2F8F">
      <w:pPr>
        <w:spacing w:after="0" w:line="360" w:lineRule="auto"/>
        <w:jc w:val="both"/>
        <w:rPr>
          <w:rFonts w:ascii="Tahoma" w:hAnsi="Tahoma" w:cs="Tahoma"/>
          <w:sz w:val="24"/>
          <w:szCs w:val="24"/>
        </w:rPr>
      </w:pPr>
    </w:p>
    <w:p w:rsidR="00437C82" w:rsidRPr="00264DF1" w:rsidRDefault="00437C82" w:rsidP="00BF2F8F">
      <w:pPr>
        <w:spacing w:after="0" w:line="360" w:lineRule="auto"/>
        <w:jc w:val="both"/>
        <w:rPr>
          <w:rFonts w:ascii="Tahoma" w:hAnsi="Tahoma" w:cs="Tahoma"/>
          <w:i/>
          <w:sz w:val="24"/>
          <w:szCs w:val="24"/>
        </w:rPr>
      </w:pPr>
      <w:r>
        <w:rPr>
          <w:rFonts w:ascii="Tahoma" w:hAnsi="Tahoma" w:cs="Tahoma"/>
          <w:sz w:val="24"/>
          <w:szCs w:val="24"/>
        </w:rPr>
        <w:tab/>
      </w:r>
      <w:r>
        <w:rPr>
          <w:rFonts w:ascii="Tahoma" w:hAnsi="Tahoma" w:cs="Tahoma"/>
          <w:sz w:val="24"/>
          <w:szCs w:val="24"/>
        </w:rPr>
        <w:tab/>
      </w:r>
      <w:r w:rsidRPr="00264DF1">
        <w:rPr>
          <w:rFonts w:ascii="Tahoma" w:hAnsi="Tahoma" w:cs="Tahoma"/>
          <w:i/>
          <w:sz w:val="24"/>
          <w:szCs w:val="24"/>
        </w:rPr>
        <w:t>“It is a policy of law that there should be finality in litigation”.</w:t>
      </w:r>
    </w:p>
    <w:p w:rsidR="00437C82" w:rsidRDefault="00437C82" w:rsidP="00BF2F8F">
      <w:pPr>
        <w:spacing w:after="0" w:line="360" w:lineRule="auto"/>
        <w:jc w:val="both"/>
        <w:rPr>
          <w:rFonts w:ascii="Tahoma" w:hAnsi="Tahoma" w:cs="Tahoma"/>
          <w:sz w:val="24"/>
          <w:szCs w:val="24"/>
        </w:rPr>
      </w:pPr>
    </w:p>
    <w:p w:rsidR="00437C82" w:rsidRDefault="00437C82" w:rsidP="00BF2F8F">
      <w:pPr>
        <w:spacing w:after="0" w:line="360" w:lineRule="auto"/>
        <w:jc w:val="both"/>
        <w:rPr>
          <w:rFonts w:ascii="Tahoma" w:hAnsi="Tahoma" w:cs="Tahoma"/>
          <w:sz w:val="24"/>
          <w:szCs w:val="24"/>
        </w:rPr>
      </w:pPr>
      <w:r>
        <w:rPr>
          <w:rFonts w:ascii="Tahoma" w:hAnsi="Tahoma" w:cs="Tahoma"/>
          <w:sz w:val="24"/>
          <w:szCs w:val="24"/>
        </w:rPr>
        <w:t>See:</w:t>
      </w:r>
    </w:p>
    <w:p w:rsidR="00437C82" w:rsidRPr="00437C82" w:rsidRDefault="00437C82" w:rsidP="00BF2F8F">
      <w:pPr>
        <w:spacing w:after="0" w:line="360" w:lineRule="auto"/>
        <w:jc w:val="both"/>
        <w:rPr>
          <w:rFonts w:ascii="Tahoma" w:hAnsi="Tahoma" w:cs="Tahoma"/>
          <w:i/>
          <w:sz w:val="24"/>
          <w:szCs w:val="24"/>
        </w:rPr>
      </w:pPr>
      <w:r w:rsidRPr="00437C82">
        <w:rPr>
          <w:rFonts w:ascii="Tahoma" w:hAnsi="Tahoma" w:cs="Tahoma"/>
          <w:i/>
          <w:sz w:val="24"/>
          <w:szCs w:val="24"/>
        </w:rPr>
        <w:t xml:space="preserve">Ndebele v </w:t>
      </w:r>
      <w:proofErr w:type="spellStart"/>
      <w:r w:rsidRPr="00437C82">
        <w:rPr>
          <w:rFonts w:ascii="Tahoma" w:hAnsi="Tahoma" w:cs="Tahoma"/>
          <w:i/>
          <w:sz w:val="24"/>
          <w:szCs w:val="24"/>
        </w:rPr>
        <w:t>Ncube</w:t>
      </w:r>
      <w:proofErr w:type="spellEnd"/>
      <w:r w:rsidRPr="00437C82">
        <w:rPr>
          <w:rFonts w:ascii="Tahoma" w:hAnsi="Tahoma" w:cs="Tahoma"/>
          <w:i/>
          <w:sz w:val="24"/>
          <w:szCs w:val="24"/>
        </w:rPr>
        <w:t xml:space="preserve"> 1992 (1) ZLR 288</w:t>
      </w:r>
    </w:p>
    <w:p w:rsidR="00437C82" w:rsidRDefault="00437C82" w:rsidP="00BF2F8F">
      <w:pPr>
        <w:spacing w:after="0" w:line="360" w:lineRule="auto"/>
        <w:jc w:val="both"/>
        <w:rPr>
          <w:rFonts w:ascii="Tahoma" w:hAnsi="Tahoma" w:cs="Tahoma"/>
          <w:sz w:val="24"/>
          <w:szCs w:val="24"/>
        </w:rPr>
      </w:pPr>
    </w:p>
    <w:p w:rsidR="00437C82" w:rsidRDefault="00437C82" w:rsidP="00A6455E">
      <w:pPr>
        <w:spacing w:after="0" w:line="360" w:lineRule="auto"/>
        <w:ind w:firstLine="720"/>
        <w:jc w:val="both"/>
        <w:rPr>
          <w:rFonts w:ascii="Tahoma" w:hAnsi="Tahoma" w:cs="Tahoma"/>
          <w:sz w:val="24"/>
          <w:szCs w:val="24"/>
        </w:rPr>
      </w:pPr>
      <w:r>
        <w:rPr>
          <w:rFonts w:ascii="Tahoma" w:hAnsi="Tahoma" w:cs="Tahoma"/>
          <w:sz w:val="24"/>
          <w:szCs w:val="24"/>
        </w:rPr>
        <w:t>The applicant has thus failed to make a good case for condonation as all the considerations have been decided against him.</w:t>
      </w:r>
    </w:p>
    <w:p w:rsidR="00437C82" w:rsidRDefault="00437C82" w:rsidP="00BF2F8F">
      <w:pPr>
        <w:spacing w:after="0" w:line="360" w:lineRule="auto"/>
        <w:jc w:val="both"/>
        <w:rPr>
          <w:rFonts w:ascii="Tahoma" w:hAnsi="Tahoma" w:cs="Tahoma"/>
          <w:sz w:val="24"/>
          <w:szCs w:val="24"/>
        </w:rPr>
      </w:pPr>
    </w:p>
    <w:p w:rsidR="00437C82" w:rsidRDefault="00437C82" w:rsidP="00BF2F8F">
      <w:pPr>
        <w:spacing w:after="0" w:line="360" w:lineRule="auto"/>
        <w:jc w:val="both"/>
        <w:rPr>
          <w:rFonts w:ascii="Tahoma" w:hAnsi="Tahoma" w:cs="Tahoma"/>
          <w:sz w:val="24"/>
          <w:szCs w:val="24"/>
        </w:rPr>
      </w:pPr>
      <w:r>
        <w:rPr>
          <w:rFonts w:ascii="Tahoma" w:hAnsi="Tahoma" w:cs="Tahoma"/>
          <w:sz w:val="24"/>
          <w:szCs w:val="24"/>
        </w:rPr>
        <w:t>In the result the application is dismissed with no order as to costs.</w:t>
      </w:r>
    </w:p>
    <w:p w:rsidR="00771E47" w:rsidRDefault="00771E47" w:rsidP="00BF2F8F">
      <w:pPr>
        <w:spacing w:after="0" w:line="360" w:lineRule="auto"/>
        <w:jc w:val="both"/>
        <w:rPr>
          <w:rFonts w:ascii="Tahoma" w:hAnsi="Tahoma" w:cs="Tahoma"/>
          <w:sz w:val="24"/>
          <w:szCs w:val="24"/>
        </w:rPr>
      </w:pPr>
    </w:p>
    <w:p w:rsidR="00771E47" w:rsidRDefault="00771E47" w:rsidP="00BF2F8F">
      <w:pPr>
        <w:spacing w:after="0" w:line="360" w:lineRule="auto"/>
        <w:jc w:val="both"/>
        <w:rPr>
          <w:rFonts w:ascii="Tahoma" w:hAnsi="Tahoma" w:cs="Tahoma"/>
          <w:sz w:val="24"/>
          <w:szCs w:val="24"/>
        </w:rPr>
      </w:pPr>
    </w:p>
    <w:p w:rsidR="00771E47" w:rsidRDefault="00771E47" w:rsidP="00BF2F8F">
      <w:pPr>
        <w:spacing w:after="0" w:line="360" w:lineRule="auto"/>
        <w:jc w:val="both"/>
        <w:rPr>
          <w:rFonts w:ascii="Tahoma" w:hAnsi="Tahoma" w:cs="Tahoma"/>
          <w:sz w:val="24"/>
          <w:szCs w:val="24"/>
        </w:rPr>
      </w:pPr>
    </w:p>
    <w:p w:rsidR="00771E47" w:rsidRDefault="00771E47" w:rsidP="00BF2F8F">
      <w:pPr>
        <w:spacing w:after="0" w:line="360" w:lineRule="auto"/>
        <w:jc w:val="both"/>
        <w:rPr>
          <w:rFonts w:ascii="Tahoma" w:hAnsi="Tahoma" w:cs="Tahoma"/>
          <w:sz w:val="24"/>
          <w:szCs w:val="24"/>
        </w:rPr>
      </w:pPr>
    </w:p>
    <w:p w:rsidR="00771E47" w:rsidRDefault="00771E47" w:rsidP="00BF2F8F">
      <w:pPr>
        <w:spacing w:after="0" w:line="360" w:lineRule="auto"/>
        <w:jc w:val="both"/>
        <w:rPr>
          <w:rFonts w:ascii="Tahoma" w:hAnsi="Tahoma" w:cs="Tahoma"/>
          <w:sz w:val="24"/>
          <w:szCs w:val="24"/>
        </w:rPr>
      </w:pPr>
    </w:p>
    <w:p w:rsidR="00771E47" w:rsidRPr="00771E47" w:rsidRDefault="00771E47" w:rsidP="00BF2F8F">
      <w:pPr>
        <w:spacing w:after="0" w:line="360" w:lineRule="auto"/>
        <w:jc w:val="both"/>
        <w:rPr>
          <w:rFonts w:ascii="Tahoma" w:hAnsi="Tahoma" w:cs="Tahoma"/>
          <w:b/>
          <w:i/>
          <w:sz w:val="24"/>
          <w:szCs w:val="24"/>
        </w:rPr>
      </w:pPr>
      <w:r w:rsidRPr="00771E47">
        <w:rPr>
          <w:rFonts w:ascii="Tahoma" w:hAnsi="Tahoma" w:cs="Tahoma"/>
          <w:b/>
          <w:i/>
          <w:sz w:val="24"/>
          <w:szCs w:val="24"/>
        </w:rPr>
        <w:t xml:space="preserve">Gill, </w:t>
      </w:r>
      <w:proofErr w:type="spellStart"/>
      <w:r w:rsidRPr="00771E47">
        <w:rPr>
          <w:rFonts w:ascii="Tahoma" w:hAnsi="Tahoma" w:cs="Tahoma"/>
          <w:b/>
          <w:i/>
          <w:sz w:val="24"/>
          <w:szCs w:val="24"/>
        </w:rPr>
        <w:t>Godlonton</w:t>
      </w:r>
      <w:proofErr w:type="spellEnd"/>
      <w:r w:rsidRPr="00771E47">
        <w:rPr>
          <w:rFonts w:ascii="Tahoma" w:hAnsi="Tahoma" w:cs="Tahoma"/>
          <w:b/>
          <w:i/>
          <w:sz w:val="24"/>
          <w:szCs w:val="24"/>
        </w:rPr>
        <w:t xml:space="preserve"> &amp; </w:t>
      </w:r>
      <w:proofErr w:type="spellStart"/>
      <w:r w:rsidRPr="00771E47">
        <w:rPr>
          <w:rFonts w:ascii="Tahoma" w:hAnsi="Tahoma" w:cs="Tahoma"/>
          <w:b/>
          <w:i/>
          <w:sz w:val="24"/>
          <w:szCs w:val="24"/>
        </w:rPr>
        <w:t>Gerrans</w:t>
      </w:r>
      <w:proofErr w:type="spellEnd"/>
      <w:r w:rsidRPr="00771E47">
        <w:rPr>
          <w:rFonts w:ascii="Tahoma" w:hAnsi="Tahoma" w:cs="Tahoma"/>
          <w:b/>
          <w:i/>
          <w:sz w:val="24"/>
          <w:szCs w:val="24"/>
        </w:rPr>
        <w:t xml:space="preserve"> </w:t>
      </w:r>
      <w:r w:rsidRPr="00771E47">
        <w:rPr>
          <w:rFonts w:ascii="Tahoma" w:hAnsi="Tahoma" w:cs="Tahoma"/>
          <w:b/>
          <w:i/>
          <w:sz w:val="24"/>
          <w:szCs w:val="24"/>
        </w:rPr>
        <w:tab/>
        <w:t>-</w:t>
      </w:r>
      <w:r w:rsidRPr="00771E47">
        <w:rPr>
          <w:rFonts w:ascii="Tahoma" w:hAnsi="Tahoma" w:cs="Tahoma"/>
          <w:b/>
          <w:i/>
          <w:sz w:val="24"/>
          <w:szCs w:val="24"/>
        </w:rPr>
        <w:tab/>
        <w:t>Respondent’s Legal Practitioners</w:t>
      </w:r>
    </w:p>
    <w:p w:rsidR="002D40E8" w:rsidRPr="00376A6A" w:rsidRDefault="002D40E8" w:rsidP="00BF2F8F">
      <w:pPr>
        <w:spacing w:after="0" w:line="360" w:lineRule="auto"/>
        <w:jc w:val="both"/>
        <w:rPr>
          <w:rFonts w:ascii="Tahoma" w:hAnsi="Tahoma" w:cs="Tahoma"/>
          <w:sz w:val="24"/>
          <w:szCs w:val="24"/>
        </w:rPr>
      </w:pPr>
      <w:bookmarkStart w:id="0" w:name="_GoBack"/>
      <w:bookmarkEnd w:id="0"/>
    </w:p>
    <w:sectPr w:rsidR="002D40E8" w:rsidRPr="00376A6A"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AA" w:rsidRDefault="001F20AA" w:rsidP="002E1B63">
      <w:pPr>
        <w:spacing w:after="0" w:line="240" w:lineRule="auto"/>
      </w:pPr>
      <w:r>
        <w:separator/>
      </w:r>
    </w:p>
  </w:endnote>
  <w:endnote w:type="continuationSeparator" w:id="0">
    <w:p w:rsidR="001F20AA" w:rsidRDefault="001F20AA"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AA" w:rsidRDefault="001F20AA" w:rsidP="002E1B63">
      <w:pPr>
        <w:spacing w:after="0" w:line="240" w:lineRule="auto"/>
      </w:pPr>
      <w:r>
        <w:separator/>
      </w:r>
    </w:p>
  </w:footnote>
  <w:footnote w:type="continuationSeparator" w:id="0">
    <w:p w:rsidR="001F20AA" w:rsidRDefault="001F20AA"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92028F" w:rsidRDefault="0092028F">
        <w:pPr>
          <w:pStyle w:val="Header"/>
          <w:jc w:val="right"/>
        </w:pPr>
      </w:p>
      <w:p w:rsidR="0092028F" w:rsidRDefault="0092028F">
        <w:pPr>
          <w:pStyle w:val="Header"/>
          <w:jc w:val="right"/>
          <w:rPr>
            <w:noProof/>
          </w:rPr>
        </w:pPr>
        <w:r>
          <w:fldChar w:fldCharType="begin"/>
        </w:r>
        <w:r>
          <w:instrText xml:space="preserve"> PAGE   \* MERGEFORMAT </w:instrText>
        </w:r>
        <w:r>
          <w:fldChar w:fldCharType="separate"/>
        </w:r>
        <w:r w:rsidR="00682B87">
          <w:rPr>
            <w:noProof/>
          </w:rPr>
          <w:t>6</w:t>
        </w:r>
        <w:r>
          <w:rPr>
            <w:noProof/>
          </w:rPr>
          <w:fldChar w:fldCharType="end"/>
        </w:r>
      </w:p>
      <w:p w:rsidR="0092028F" w:rsidRDefault="00346D8D">
        <w:pPr>
          <w:pStyle w:val="Header"/>
          <w:jc w:val="right"/>
          <w:rPr>
            <w:noProof/>
          </w:rPr>
        </w:pPr>
        <w:r>
          <w:rPr>
            <w:noProof/>
          </w:rPr>
          <w:t>JUDGMENT NO. LC/H/</w:t>
        </w:r>
        <w:r w:rsidR="00682B87">
          <w:rPr>
            <w:noProof/>
          </w:rPr>
          <w:t>190</w:t>
        </w:r>
        <w:r>
          <w:rPr>
            <w:noProof/>
          </w:rPr>
          <w:t>/2020</w:t>
        </w:r>
      </w:p>
      <w:p w:rsidR="0092028F" w:rsidRDefault="0092028F" w:rsidP="00833E26">
        <w:pPr>
          <w:pStyle w:val="Header"/>
          <w:jc w:val="center"/>
        </w:pPr>
        <w:r>
          <w:rPr>
            <w:noProof/>
          </w:rPr>
          <w:tab/>
          <w:t xml:space="preserve">                                                                                                                                </w:t>
        </w:r>
        <w:r w:rsidR="000B3C26">
          <w:rPr>
            <w:noProof/>
          </w:rPr>
          <w:t xml:space="preserve">        CASE NO. LC/H/117A/2020</w:t>
        </w:r>
      </w:p>
    </w:sdtContent>
  </w:sdt>
  <w:p w:rsidR="0092028F" w:rsidRDefault="00920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93488A"/>
    <w:multiLevelType w:val="hybridMultilevel"/>
    <w:tmpl w:val="E11EC8EA"/>
    <w:lvl w:ilvl="0" w:tplc="B302C94C">
      <w:numFmt w:val="bullet"/>
      <w:lvlText w:val="-"/>
      <w:lvlJc w:val="left"/>
      <w:pPr>
        <w:ind w:left="720" w:hanging="360"/>
      </w:pPr>
      <w:rPr>
        <w:rFonts w:ascii="Tahoma" w:eastAsiaTheme="minorHAnsi" w:hAnsi="Tahoma"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7">
    <w:nsid w:val="4A881725"/>
    <w:multiLevelType w:val="hybridMultilevel"/>
    <w:tmpl w:val="145C6D0E"/>
    <w:lvl w:ilvl="0" w:tplc="E5B037AC">
      <w:numFmt w:val="bullet"/>
      <w:lvlText w:val=""/>
      <w:lvlJc w:val="left"/>
      <w:pPr>
        <w:ind w:left="720" w:hanging="360"/>
      </w:pPr>
      <w:rPr>
        <w:rFonts w:ascii="Symbol" w:eastAsiaTheme="minorHAnsi" w:hAnsi="Symbol"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1"/>
  </w:num>
  <w:num w:numId="5">
    <w:abstractNumId w:val="0"/>
  </w:num>
  <w:num w:numId="6">
    <w:abstractNumId w:val="9"/>
  </w:num>
  <w:num w:numId="7">
    <w:abstractNumId w:val="3"/>
  </w:num>
  <w:num w:numId="8">
    <w:abstractNumId w:val="6"/>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9A6"/>
    <w:rsid w:val="00016EE7"/>
    <w:rsid w:val="00020499"/>
    <w:rsid w:val="00020D7A"/>
    <w:rsid w:val="0002481F"/>
    <w:rsid w:val="00025EDA"/>
    <w:rsid w:val="00030538"/>
    <w:rsid w:val="00046609"/>
    <w:rsid w:val="0005261C"/>
    <w:rsid w:val="00053B16"/>
    <w:rsid w:val="0006239A"/>
    <w:rsid w:val="00067E67"/>
    <w:rsid w:val="00080978"/>
    <w:rsid w:val="00084141"/>
    <w:rsid w:val="0008442D"/>
    <w:rsid w:val="00087207"/>
    <w:rsid w:val="000901E3"/>
    <w:rsid w:val="0009283E"/>
    <w:rsid w:val="00094DA1"/>
    <w:rsid w:val="000A1B33"/>
    <w:rsid w:val="000A1D3A"/>
    <w:rsid w:val="000A6910"/>
    <w:rsid w:val="000A6AB7"/>
    <w:rsid w:val="000B00F4"/>
    <w:rsid w:val="000B3C26"/>
    <w:rsid w:val="000B43EE"/>
    <w:rsid w:val="000C27E1"/>
    <w:rsid w:val="000C3722"/>
    <w:rsid w:val="000C6B55"/>
    <w:rsid w:val="000D424B"/>
    <w:rsid w:val="000D77F1"/>
    <w:rsid w:val="000E1896"/>
    <w:rsid w:val="000E3EAB"/>
    <w:rsid w:val="000E474D"/>
    <w:rsid w:val="000E59F8"/>
    <w:rsid w:val="000E69DF"/>
    <w:rsid w:val="000F163D"/>
    <w:rsid w:val="001009F1"/>
    <w:rsid w:val="00100BE0"/>
    <w:rsid w:val="00110B2F"/>
    <w:rsid w:val="0011404F"/>
    <w:rsid w:val="0012177F"/>
    <w:rsid w:val="00122409"/>
    <w:rsid w:val="0013151E"/>
    <w:rsid w:val="001321A0"/>
    <w:rsid w:val="0013354F"/>
    <w:rsid w:val="001358F7"/>
    <w:rsid w:val="001374B6"/>
    <w:rsid w:val="001442E7"/>
    <w:rsid w:val="00144612"/>
    <w:rsid w:val="00151D73"/>
    <w:rsid w:val="00152041"/>
    <w:rsid w:val="00161586"/>
    <w:rsid w:val="00163E94"/>
    <w:rsid w:val="001674BF"/>
    <w:rsid w:val="00170D8E"/>
    <w:rsid w:val="0017425B"/>
    <w:rsid w:val="0018758A"/>
    <w:rsid w:val="00190F8A"/>
    <w:rsid w:val="001958D6"/>
    <w:rsid w:val="0019705E"/>
    <w:rsid w:val="001B1DF6"/>
    <w:rsid w:val="001B7A70"/>
    <w:rsid w:val="001B7CD3"/>
    <w:rsid w:val="001C36F0"/>
    <w:rsid w:val="001C6ABE"/>
    <w:rsid w:val="001D24A7"/>
    <w:rsid w:val="001D2758"/>
    <w:rsid w:val="001E30AC"/>
    <w:rsid w:val="001F1C6A"/>
    <w:rsid w:val="001F20AA"/>
    <w:rsid w:val="002009EF"/>
    <w:rsid w:val="00203A26"/>
    <w:rsid w:val="00205812"/>
    <w:rsid w:val="0021679E"/>
    <w:rsid w:val="00216B43"/>
    <w:rsid w:val="00217328"/>
    <w:rsid w:val="002210B0"/>
    <w:rsid w:val="00221EA5"/>
    <w:rsid w:val="00225E4A"/>
    <w:rsid w:val="002262E8"/>
    <w:rsid w:val="002324D0"/>
    <w:rsid w:val="00232C1C"/>
    <w:rsid w:val="00234172"/>
    <w:rsid w:val="0024027D"/>
    <w:rsid w:val="00241E38"/>
    <w:rsid w:val="0024238F"/>
    <w:rsid w:val="002477BE"/>
    <w:rsid w:val="00261DF0"/>
    <w:rsid w:val="0026230C"/>
    <w:rsid w:val="00264DF1"/>
    <w:rsid w:val="00271300"/>
    <w:rsid w:val="00283CAE"/>
    <w:rsid w:val="00283D98"/>
    <w:rsid w:val="00283F6F"/>
    <w:rsid w:val="002922BF"/>
    <w:rsid w:val="002A4FD2"/>
    <w:rsid w:val="002D40E8"/>
    <w:rsid w:val="002D49DB"/>
    <w:rsid w:val="002D516A"/>
    <w:rsid w:val="002D6B74"/>
    <w:rsid w:val="002E1B63"/>
    <w:rsid w:val="002E2866"/>
    <w:rsid w:val="002E3B7B"/>
    <w:rsid w:val="002E615E"/>
    <w:rsid w:val="002F400E"/>
    <w:rsid w:val="003005C1"/>
    <w:rsid w:val="0030798C"/>
    <w:rsid w:val="003110B9"/>
    <w:rsid w:val="00314C28"/>
    <w:rsid w:val="00316D8A"/>
    <w:rsid w:val="00321135"/>
    <w:rsid w:val="00321E25"/>
    <w:rsid w:val="00331C57"/>
    <w:rsid w:val="0033393C"/>
    <w:rsid w:val="00345392"/>
    <w:rsid w:val="00346D8D"/>
    <w:rsid w:val="0035275B"/>
    <w:rsid w:val="00352E04"/>
    <w:rsid w:val="0035359E"/>
    <w:rsid w:val="00356915"/>
    <w:rsid w:val="00366B3E"/>
    <w:rsid w:val="0037089B"/>
    <w:rsid w:val="00372B3E"/>
    <w:rsid w:val="00375EF8"/>
    <w:rsid w:val="00376A6A"/>
    <w:rsid w:val="003813FA"/>
    <w:rsid w:val="00382E5F"/>
    <w:rsid w:val="00384859"/>
    <w:rsid w:val="00384FC5"/>
    <w:rsid w:val="003924BE"/>
    <w:rsid w:val="00396D58"/>
    <w:rsid w:val="0039713D"/>
    <w:rsid w:val="003A5BCD"/>
    <w:rsid w:val="003A718D"/>
    <w:rsid w:val="003B5991"/>
    <w:rsid w:val="003B6072"/>
    <w:rsid w:val="003B621E"/>
    <w:rsid w:val="003B6C64"/>
    <w:rsid w:val="003B7212"/>
    <w:rsid w:val="003C2070"/>
    <w:rsid w:val="003C564B"/>
    <w:rsid w:val="003D5B46"/>
    <w:rsid w:val="003E172D"/>
    <w:rsid w:val="003E51D5"/>
    <w:rsid w:val="003F153D"/>
    <w:rsid w:val="00400976"/>
    <w:rsid w:val="004043F0"/>
    <w:rsid w:val="0040494B"/>
    <w:rsid w:val="00404DFF"/>
    <w:rsid w:val="00406BB1"/>
    <w:rsid w:val="00421E4A"/>
    <w:rsid w:val="00432E54"/>
    <w:rsid w:val="00437C82"/>
    <w:rsid w:val="004504DD"/>
    <w:rsid w:val="0045490B"/>
    <w:rsid w:val="004721BA"/>
    <w:rsid w:val="0047590A"/>
    <w:rsid w:val="00475EF2"/>
    <w:rsid w:val="00475FDE"/>
    <w:rsid w:val="00477D79"/>
    <w:rsid w:val="00477F15"/>
    <w:rsid w:val="00484506"/>
    <w:rsid w:val="00485080"/>
    <w:rsid w:val="00487C8A"/>
    <w:rsid w:val="0049288B"/>
    <w:rsid w:val="004A5C00"/>
    <w:rsid w:val="004B275D"/>
    <w:rsid w:val="004B5D82"/>
    <w:rsid w:val="004C3871"/>
    <w:rsid w:val="004C54CE"/>
    <w:rsid w:val="004D18DE"/>
    <w:rsid w:val="004D5AED"/>
    <w:rsid w:val="004E1B29"/>
    <w:rsid w:val="004E5BCA"/>
    <w:rsid w:val="004F14B2"/>
    <w:rsid w:val="004F2711"/>
    <w:rsid w:val="004F3196"/>
    <w:rsid w:val="004F3D73"/>
    <w:rsid w:val="004F4029"/>
    <w:rsid w:val="004F7023"/>
    <w:rsid w:val="004F7093"/>
    <w:rsid w:val="0050111D"/>
    <w:rsid w:val="00511750"/>
    <w:rsid w:val="005136B6"/>
    <w:rsid w:val="005152A7"/>
    <w:rsid w:val="00515E12"/>
    <w:rsid w:val="0051793A"/>
    <w:rsid w:val="00523DF5"/>
    <w:rsid w:val="00525AD7"/>
    <w:rsid w:val="00526165"/>
    <w:rsid w:val="00526382"/>
    <w:rsid w:val="00534648"/>
    <w:rsid w:val="00534C10"/>
    <w:rsid w:val="00535F13"/>
    <w:rsid w:val="005407F8"/>
    <w:rsid w:val="00541D30"/>
    <w:rsid w:val="0055392F"/>
    <w:rsid w:val="005611A2"/>
    <w:rsid w:val="00561A29"/>
    <w:rsid w:val="00566059"/>
    <w:rsid w:val="0058004B"/>
    <w:rsid w:val="00582ADB"/>
    <w:rsid w:val="005838DE"/>
    <w:rsid w:val="00586AD5"/>
    <w:rsid w:val="0059003E"/>
    <w:rsid w:val="0059220D"/>
    <w:rsid w:val="005973ED"/>
    <w:rsid w:val="005A0B89"/>
    <w:rsid w:val="005A4A4F"/>
    <w:rsid w:val="005A4DC7"/>
    <w:rsid w:val="005A581E"/>
    <w:rsid w:val="005B0651"/>
    <w:rsid w:val="005B0B21"/>
    <w:rsid w:val="005B201A"/>
    <w:rsid w:val="005B5C62"/>
    <w:rsid w:val="005C0F96"/>
    <w:rsid w:val="005C15FD"/>
    <w:rsid w:val="005C1703"/>
    <w:rsid w:val="005C27F0"/>
    <w:rsid w:val="005C3D75"/>
    <w:rsid w:val="005C5732"/>
    <w:rsid w:val="005D0191"/>
    <w:rsid w:val="005D39A8"/>
    <w:rsid w:val="005D68F2"/>
    <w:rsid w:val="005E17F7"/>
    <w:rsid w:val="005E2A42"/>
    <w:rsid w:val="005E2FE2"/>
    <w:rsid w:val="005E3ADD"/>
    <w:rsid w:val="005E7D66"/>
    <w:rsid w:val="005F1F7B"/>
    <w:rsid w:val="006005B2"/>
    <w:rsid w:val="00604405"/>
    <w:rsid w:val="006045BE"/>
    <w:rsid w:val="00606DBA"/>
    <w:rsid w:val="0061198E"/>
    <w:rsid w:val="00616C0C"/>
    <w:rsid w:val="00617757"/>
    <w:rsid w:val="006200B5"/>
    <w:rsid w:val="006263B1"/>
    <w:rsid w:val="00626537"/>
    <w:rsid w:val="006306E9"/>
    <w:rsid w:val="00642336"/>
    <w:rsid w:val="00642B49"/>
    <w:rsid w:val="00642FA2"/>
    <w:rsid w:val="00643D91"/>
    <w:rsid w:val="00643EFB"/>
    <w:rsid w:val="00644C27"/>
    <w:rsid w:val="00654EFC"/>
    <w:rsid w:val="00660070"/>
    <w:rsid w:val="006612E6"/>
    <w:rsid w:val="006639EC"/>
    <w:rsid w:val="006765F4"/>
    <w:rsid w:val="00676B8B"/>
    <w:rsid w:val="00680C2E"/>
    <w:rsid w:val="00682B87"/>
    <w:rsid w:val="00683F82"/>
    <w:rsid w:val="006848BE"/>
    <w:rsid w:val="0068514E"/>
    <w:rsid w:val="006909A8"/>
    <w:rsid w:val="006A0459"/>
    <w:rsid w:val="006A049D"/>
    <w:rsid w:val="006A0D50"/>
    <w:rsid w:val="006A17E1"/>
    <w:rsid w:val="006A1DDE"/>
    <w:rsid w:val="006A4955"/>
    <w:rsid w:val="006A580F"/>
    <w:rsid w:val="006A7F23"/>
    <w:rsid w:val="006B0CCB"/>
    <w:rsid w:val="006B3B44"/>
    <w:rsid w:val="006B4FF5"/>
    <w:rsid w:val="006C329F"/>
    <w:rsid w:val="006C34EF"/>
    <w:rsid w:val="006C7FC6"/>
    <w:rsid w:val="006D1D06"/>
    <w:rsid w:val="006E665E"/>
    <w:rsid w:val="006F3FDA"/>
    <w:rsid w:val="006F414B"/>
    <w:rsid w:val="006F49E1"/>
    <w:rsid w:val="006F4BC9"/>
    <w:rsid w:val="006F6A1C"/>
    <w:rsid w:val="006F7ABF"/>
    <w:rsid w:val="00703BFE"/>
    <w:rsid w:val="00704680"/>
    <w:rsid w:val="00706851"/>
    <w:rsid w:val="00714452"/>
    <w:rsid w:val="00717AED"/>
    <w:rsid w:val="00717D13"/>
    <w:rsid w:val="00725829"/>
    <w:rsid w:val="007324AA"/>
    <w:rsid w:val="00737591"/>
    <w:rsid w:val="00743190"/>
    <w:rsid w:val="0075127E"/>
    <w:rsid w:val="007540A4"/>
    <w:rsid w:val="00760206"/>
    <w:rsid w:val="0077115B"/>
    <w:rsid w:val="00771E47"/>
    <w:rsid w:val="007820F7"/>
    <w:rsid w:val="00784EA8"/>
    <w:rsid w:val="00787846"/>
    <w:rsid w:val="00793501"/>
    <w:rsid w:val="007A17BF"/>
    <w:rsid w:val="007A3B7B"/>
    <w:rsid w:val="007C195F"/>
    <w:rsid w:val="007C4853"/>
    <w:rsid w:val="007C68AA"/>
    <w:rsid w:val="007C6DC9"/>
    <w:rsid w:val="007D6DBF"/>
    <w:rsid w:val="007E22C3"/>
    <w:rsid w:val="007E49FA"/>
    <w:rsid w:val="007E4B86"/>
    <w:rsid w:val="007E5349"/>
    <w:rsid w:val="007E7122"/>
    <w:rsid w:val="007F0867"/>
    <w:rsid w:val="007F4649"/>
    <w:rsid w:val="007F5FAF"/>
    <w:rsid w:val="007F6C82"/>
    <w:rsid w:val="00800163"/>
    <w:rsid w:val="00802F52"/>
    <w:rsid w:val="00803686"/>
    <w:rsid w:val="008054E0"/>
    <w:rsid w:val="00810040"/>
    <w:rsid w:val="00810E8E"/>
    <w:rsid w:val="008134E8"/>
    <w:rsid w:val="00824BC3"/>
    <w:rsid w:val="00825157"/>
    <w:rsid w:val="0082579A"/>
    <w:rsid w:val="00833479"/>
    <w:rsid w:val="00833E26"/>
    <w:rsid w:val="008421C1"/>
    <w:rsid w:val="008446D3"/>
    <w:rsid w:val="00844CA2"/>
    <w:rsid w:val="00847C92"/>
    <w:rsid w:val="008502F8"/>
    <w:rsid w:val="00853050"/>
    <w:rsid w:val="00854C90"/>
    <w:rsid w:val="0085529C"/>
    <w:rsid w:val="0085733D"/>
    <w:rsid w:val="00860479"/>
    <w:rsid w:val="008625DC"/>
    <w:rsid w:val="00867E2D"/>
    <w:rsid w:val="008755ED"/>
    <w:rsid w:val="00883EFC"/>
    <w:rsid w:val="00887F43"/>
    <w:rsid w:val="00891299"/>
    <w:rsid w:val="008947AD"/>
    <w:rsid w:val="00895198"/>
    <w:rsid w:val="008A1E89"/>
    <w:rsid w:val="008B023E"/>
    <w:rsid w:val="008B77DD"/>
    <w:rsid w:val="008C2173"/>
    <w:rsid w:val="008D0393"/>
    <w:rsid w:val="008D0502"/>
    <w:rsid w:val="008D7BFF"/>
    <w:rsid w:val="008E19CC"/>
    <w:rsid w:val="008E2E57"/>
    <w:rsid w:val="008F14A6"/>
    <w:rsid w:val="008F45D2"/>
    <w:rsid w:val="008F585B"/>
    <w:rsid w:val="00910B91"/>
    <w:rsid w:val="00912658"/>
    <w:rsid w:val="00915C41"/>
    <w:rsid w:val="00917626"/>
    <w:rsid w:val="0092028F"/>
    <w:rsid w:val="00930641"/>
    <w:rsid w:val="00931E5A"/>
    <w:rsid w:val="00942148"/>
    <w:rsid w:val="00942E31"/>
    <w:rsid w:val="0094433D"/>
    <w:rsid w:val="0094685D"/>
    <w:rsid w:val="0095283B"/>
    <w:rsid w:val="00956724"/>
    <w:rsid w:val="009573DE"/>
    <w:rsid w:val="00957DC5"/>
    <w:rsid w:val="009609A0"/>
    <w:rsid w:val="00963FDC"/>
    <w:rsid w:val="00964109"/>
    <w:rsid w:val="0096731E"/>
    <w:rsid w:val="00970F32"/>
    <w:rsid w:val="009754C2"/>
    <w:rsid w:val="00977E8B"/>
    <w:rsid w:val="00987180"/>
    <w:rsid w:val="00990998"/>
    <w:rsid w:val="00997C5C"/>
    <w:rsid w:val="009A52D2"/>
    <w:rsid w:val="009B3D38"/>
    <w:rsid w:val="009B4F95"/>
    <w:rsid w:val="009D0E3C"/>
    <w:rsid w:val="009D4878"/>
    <w:rsid w:val="009D487C"/>
    <w:rsid w:val="009D510C"/>
    <w:rsid w:val="009D633C"/>
    <w:rsid w:val="009E2DFE"/>
    <w:rsid w:val="009E533D"/>
    <w:rsid w:val="009F0600"/>
    <w:rsid w:val="009F33B4"/>
    <w:rsid w:val="009F35F9"/>
    <w:rsid w:val="00A0505E"/>
    <w:rsid w:val="00A100C5"/>
    <w:rsid w:val="00A154A8"/>
    <w:rsid w:val="00A16F55"/>
    <w:rsid w:val="00A17923"/>
    <w:rsid w:val="00A2152C"/>
    <w:rsid w:val="00A2236E"/>
    <w:rsid w:val="00A22854"/>
    <w:rsid w:val="00A228E5"/>
    <w:rsid w:val="00A24D89"/>
    <w:rsid w:val="00A34027"/>
    <w:rsid w:val="00A34C82"/>
    <w:rsid w:val="00A37354"/>
    <w:rsid w:val="00A43322"/>
    <w:rsid w:val="00A50BDA"/>
    <w:rsid w:val="00A61BB9"/>
    <w:rsid w:val="00A6455E"/>
    <w:rsid w:val="00A66117"/>
    <w:rsid w:val="00A70435"/>
    <w:rsid w:val="00A94BF2"/>
    <w:rsid w:val="00A96D47"/>
    <w:rsid w:val="00AA1631"/>
    <w:rsid w:val="00AA4716"/>
    <w:rsid w:val="00AA6E4D"/>
    <w:rsid w:val="00AB00D2"/>
    <w:rsid w:val="00AB0516"/>
    <w:rsid w:val="00AB12AC"/>
    <w:rsid w:val="00AB401F"/>
    <w:rsid w:val="00AB4EE9"/>
    <w:rsid w:val="00AB5375"/>
    <w:rsid w:val="00AD070F"/>
    <w:rsid w:val="00AD1A4A"/>
    <w:rsid w:val="00AD1B95"/>
    <w:rsid w:val="00AD2B8F"/>
    <w:rsid w:val="00AD45A0"/>
    <w:rsid w:val="00AE234C"/>
    <w:rsid w:val="00AE5455"/>
    <w:rsid w:val="00AF121E"/>
    <w:rsid w:val="00B01197"/>
    <w:rsid w:val="00B10290"/>
    <w:rsid w:val="00B173AC"/>
    <w:rsid w:val="00B2216B"/>
    <w:rsid w:val="00B317C8"/>
    <w:rsid w:val="00B32833"/>
    <w:rsid w:val="00B3533D"/>
    <w:rsid w:val="00B35FB6"/>
    <w:rsid w:val="00B36F28"/>
    <w:rsid w:val="00B433C6"/>
    <w:rsid w:val="00B514A6"/>
    <w:rsid w:val="00B600F8"/>
    <w:rsid w:val="00B647B4"/>
    <w:rsid w:val="00B64850"/>
    <w:rsid w:val="00B67651"/>
    <w:rsid w:val="00B700A5"/>
    <w:rsid w:val="00B809B7"/>
    <w:rsid w:val="00B85BD9"/>
    <w:rsid w:val="00BC12ED"/>
    <w:rsid w:val="00BC15CD"/>
    <w:rsid w:val="00BC4B1E"/>
    <w:rsid w:val="00BC6AD9"/>
    <w:rsid w:val="00BD3495"/>
    <w:rsid w:val="00BF1D84"/>
    <w:rsid w:val="00BF1F30"/>
    <w:rsid w:val="00BF2F8F"/>
    <w:rsid w:val="00BF3273"/>
    <w:rsid w:val="00BF68E7"/>
    <w:rsid w:val="00C01DC0"/>
    <w:rsid w:val="00C14B80"/>
    <w:rsid w:val="00C21FD6"/>
    <w:rsid w:val="00C23F93"/>
    <w:rsid w:val="00C3688A"/>
    <w:rsid w:val="00C36D65"/>
    <w:rsid w:val="00C410AE"/>
    <w:rsid w:val="00C42CF1"/>
    <w:rsid w:val="00C44B35"/>
    <w:rsid w:val="00C51B1B"/>
    <w:rsid w:val="00C524F5"/>
    <w:rsid w:val="00C62115"/>
    <w:rsid w:val="00C6452B"/>
    <w:rsid w:val="00C65E4B"/>
    <w:rsid w:val="00C756CC"/>
    <w:rsid w:val="00C75E14"/>
    <w:rsid w:val="00C806AE"/>
    <w:rsid w:val="00C81CFF"/>
    <w:rsid w:val="00C854E2"/>
    <w:rsid w:val="00C85EBA"/>
    <w:rsid w:val="00C92F12"/>
    <w:rsid w:val="00C952F3"/>
    <w:rsid w:val="00C97E19"/>
    <w:rsid w:val="00CA0C38"/>
    <w:rsid w:val="00CA16F6"/>
    <w:rsid w:val="00CA3C3E"/>
    <w:rsid w:val="00CA55B8"/>
    <w:rsid w:val="00CB0155"/>
    <w:rsid w:val="00CB1222"/>
    <w:rsid w:val="00CC0882"/>
    <w:rsid w:val="00CC093B"/>
    <w:rsid w:val="00CC187C"/>
    <w:rsid w:val="00CD16F5"/>
    <w:rsid w:val="00CD1744"/>
    <w:rsid w:val="00CD7C56"/>
    <w:rsid w:val="00CE43AE"/>
    <w:rsid w:val="00CE6C68"/>
    <w:rsid w:val="00CE711E"/>
    <w:rsid w:val="00CF2F5F"/>
    <w:rsid w:val="00D026A2"/>
    <w:rsid w:val="00D033BD"/>
    <w:rsid w:val="00D13E4E"/>
    <w:rsid w:val="00D16B2C"/>
    <w:rsid w:val="00D21D98"/>
    <w:rsid w:val="00D36CA5"/>
    <w:rsid w:val="00D407F2"/>
    <w:rsid w:val="00D445FA"/>
    <w:rsid w:val="00D453E5"/>
    <w:rsid w:val="00D4769D"/>
    <w:rsid w:val="00D546EA"/>
    <w:rsid w:val="00D56579"/>
    <w:rsid w:val="00D567A0"/>
    <w:rsid w:val="00D579E4"/>
    <w:rsid w:val="00D63F0E"/>
    <w:rsid w:val="00D764A7"/>
    <w:rsid w:val="00D80508"/>
    <w:rsid w:val="00D81F24"/>
    <w:rsid w:val="00D84D3A"/>
    <w:rsid w:val="00D97025"/>
    <w:rsid w:val="00DA4F16"/>
    <w:rsid w:val="00DA7712"/>
    <w:rsid w:val="00DB1DDD"/>
    <w:rsid w:val="00DB2E44"/>
    <w:rsid w:val="00DB3E6C"/>
    <w:rsid w:val="00DB409E"/>
    <w:rsid w:val="00DB6D33"/>
    <w:rsid w:val="00DD4FB3"/>
    <w:rsid w:val="00DE0976"/>
    <w:rsid w:val="00DE5C97"/>
    <w:rsid w:val="00DE7463"/>
    <w:rsid w:val="00DE7661"/>
    <w:rsid w:val="00DF20DA"/>
    <w:rsid w:val="00DF3B3D"/>
    <w:rsid w:val="00DF4E02"/>
    <w:rsid w:val="00E05609"/>
    <w:rsid w:val="00E07199"/>
    <w:rsid w:val="00E11904"/>
    <w:rsid w:val="00E12E35"/>
    <w:rsid w:val="00E21064"/>
    <w:rsid w:val="00E242DA"/>
    <w:rsid w:val="00E27594"/>
    <w:rsid w:val="00E328D8"/>
    <w:rsid w:val="00E348D4"/>
    <w:rsid w:val="00E34FBC"/>
    <w:rsid w:val="00E37D59"/>
    <w:rsid w:val="00E4367C"/>
    <w:rsid w:val="00E4619A"/>
    <w:rsid w:val="00E46B82"/>
    <w:rsid w:val="00E508A4"/>
    <w:rsid w:val="00E5110B"/>
    <w:rsid w:val="00E51E5B"/>
    <w:rsid w:val="00E5497A"/>
    <w:rsid w:val="00E5503E"/>
    <w:rsid w:val="00E56024"/>
    <w:rsid w:val="00E57FD0"/>
    <w:rsid w:val="00E66BE9"/>
    <w:rsid w:val="00E70F13"/>
    <w:rsid w:val="00E71832"/>
    <w:rsid w:val="00E76D61"/>
    <w:rsid w:val="00E7756A"/>
    <w:rsid w:val="00E80932"/>
    <w:rsid w:val="00E82C6C"/>
    <w:rsid w:val="00E86393"/>
    <w:rsid w:val="00EC0A7C"/>
    <w:rsid w:val="00EC7253"/>
    <w:rsid w:val="00ED5A77"/>
    <w:rsid w:val="00EE31B6"/>
    <w:rsid w:val="00EE49D4"/>
    <w:rsid w:val="00EE5F34"/>
    <w:rsid w:val="00F0304B"/>
    <w:rsid w:val="00F07EB4"/>
    <w:rsid w:val="00F112EA"/>
    <w:rsid w:val="00F2114B"/>
    <w:rsid w:val="00F22B99"/>
    <w:rsid w:val="00F24630"/>
    <w:rsid w:val="00F35C92"/>
    <w:rsid w:val="00F4268F"/>
    <w:rsid w:val="00F44F01"/>
    <w:rsid w:val="00F45528"/>
    <w:rsid w:val="00F51A57"/>
    <w:rsid w:val="00F53212"/>
    <w:rsid w:val="00F57B71"/>
    <w:rsid w:val="00F62C80"/>
    <w:rsid w:val="00F75CEC"/>
    <w:rsid w:val="00F80FB6"/>
    <w:rsid w:val="00F87179"/>
    <w:rsid w:val="00F9229F"/>
    <w:rsid w:val="00F93762"/>
    <w:rsid w:val="00F941A3"/>
    <w:rsid w:val="00F97F0E"/>
    <w:rsid w:val="00FA1133"/>
    <w:rsid w:val="00FA4057"/>
    <w:rsid w:val="00FA489B"/>
    <w:rsid w:val="00FB26B5"/>
    <w:rsid w:val="00FB605D"/>
    <w:rsid w:val="00FC322A"/>
    <w:rsid w:val="00FD0A3E"/>
    <w:rsid w:val="00FD5B44"/>
    <w:rsid w:val="00FE201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7</cp:revision>
  <cp:lastPrinted>2020-06-18T07:12:00Z</cp:lastPrinted>
  <dcterms:created xsi:type="dcterms:W3CDTF">2020-06-19T11:52:00Z</dcterms:created>
  <dcterms:modified xsi:type="dcterms:W3CDTF">2020-08-14T07:11:00Z</dcterms:modified>
</cp:coreProperties>
</file>