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60966" w14:textId="77777777" w:rsidR="00A81423" w:rsidRPr="00A81423" w:rsidRDefault="00A81423" w:rsidP="00A81423">
      <w:pPr>
        <w:pStyle w:val="NoSpacing"/>
        <w:spacing w:line="360" w:lineRule="auto"/>
        <w:jc w:val="both"/>
        <w:rPr>
          <w:rFonts w:ascii="Times New Roman" w:hAnsi="Times New Roman" w:cs="Times New Roman"/>
          <w:b/>
          <w:bCs/>
        </w:rPr>
      </w:pPr>
      <w:bookmarkStart w:id="0" w:name="_GoBack"/>
      <w:bookmarkEnd w:id="0"/>
    </w:p>
    <w:p w14:paraId="0289FB33" w14:textId="078DD661"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GAUTHLEZA ENTERPRISES(PVT)LTD</w:t>
      </w:r>
    </w:p>
    <w:p w14:paraId="02768D73" w14:textId="77777777"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versus</w:t>
      </w:r>
    </w:p>
    <w:p w14:paraId="191D37EB" w14:textId="12F2027A"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RECORDNOTE (PVT)LT</w:t>
      </w:r>
      <w:r w:rsidR="00DF0A6F" w:rsidRPr="00E73291">
        <w:rPr>
          <w:rFonts w:ascii="Times New Roman" w:hAnsi="Times New Roman" w:cs="Times New Roman"/>
        </w:rPr>
        <w:t>D</w:t>
      </w:r>
    </w:p>
    <w:p w14:paraId="10F6F342" w14:textId="77777777"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and</w:t>
      </w:r>
    </w:p>
    <w:p w14:paraId="6CDEE25D" w14:textId="77777777"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PROVINCIAL MINING DIRECTOR MASHONALAND WEST</w:t>
      </w:r>
    </w:p>
    <w:p w14:paraId="3D9F0B0E" w14:textId="77777777"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and</w:t>
      </w:r>
    </w:p>
    <w:p w14:paraId="1977F6DF" w14:textId="77777777"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PROVINCIAL MINING DIRECTOR MASHONALAND CENTRAL</w:t>
      </w:r>
    </w:p>
    <w:p w14:paraId="2A469A3C" w14:textId="77777777"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and</w:t>
      </w:r>
    </w:p>
    <w:p w14:paraId="7197C5BD" w14:textId="77777777"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MINISTER OF MINES AND MINING DEVELOPMENT</w:t>
      </w:r>
    </w:p>
    <w:p w14:paraId="6689CA9C" w14:textId="77777777" w:rsidR="00B454F7" w:rsidRDefault="00B454F7" w:rsidP="00E73291">
      <w:pPr>
        <w:pStyle w:val="NoSpacing"/>
        <w:rPr>
          <w:rFonts w:ascii="Times New Roman" w:hAnsi="Times New Roman" w:cs="Times New Roman"/>
        </w:rPr>
      </w:pPr>
    </w:p>
    <w:p w14:paraId="259E4570" w14:textId="77777777" w:rsidR="00E73291" w:rsidRPr="00E73291" w:rsidRDefault="00E73291" w:rsidP="00E73291">
      <w:pPr>
        <w:pStyle w:val="NoSpacing"/>
        <w:rPr>
          <w:rFonts w:ascii="Times New Roman" w:hAnsi="Times New Roman" w:cs="Times New Roman"/>
        </w:rPr>
      </w:pPr>
    </w:p>
    <w:p w14:paraId="4F2EB2B0" w14:textId="77777777"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HIGH COURT OF ZIMBABWE</w:t>
      </w:r>
    </w:p>
    <w:p w14:paraId="4D89F8FB" w14:textId="77777777" w:rsidR="00B454F7" w:rsidRPr="00E73291" w:rsidRDefault="00B454F7" w:rsidP="00E73291">
      <w:pPr>
        <w:pStyle w:val="NoSpacing"/>
        <w:rPr>
          <w:rFonts w:ascii="Times New Roman" w:hAnsi="Times New Roman" w:cs="Times New Roman"/>
          <w:b/>
          <w:bCs/>
        </w:rPr>
      </w:pPr>
      <w:r w:rsidRPr="00E73291">
        <w:rPr>
          <w:rFonts w:ascii="Times New Roman" w:hAnsi="Times New Roman" w:cs="Times New Roman"/>
          <w:b/>
          <w:bCs/>
        </w:rPr>
        <w:t xml:space="preserve">DEME J </w:t>
      </w:r>
    </w:p>
    <w:p w14:paraId="4121965E" w14:textId="6BA80DDA"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 xml:space="preserve">HARARE, </w:t>
      </w:r>
      <w:r w:rsidR="00876769" w:rsidRPr="00E73291">
        <w:rPr>
          <w:rFonts w:ascii="Times New Roman" w:hAnsi="Times New Roman" w:cs="Times New Roman"/>
        </w:rPr>
        <w:t>30</w:t>
      </w:r>
      <w:r w:rsidRPr="00E73291">
        <w:rPr>
          <w:rFonts w:ascii="Times New Roman" w:hAnsi="Times New Roman" w:cs="Times New Roman"/>
        </w:rPr>
        <w:t xml:space="preserve"> July </w:t>
      </w:r>
      <w:r w:rsidR="003D02C2" w:rsidRPr="00E73291">
        <w:rPr>
          <w:rFonts w:ascii="Times New Roman" w:hAnsi="Times New Roman" w:cs="Times New Roman"/>
        </w:rPr>
        <w:t>2025 and</w:t>
      </w:r>
      <w:r w:rsidR="00DF0A6F" w:rsidRPr="00E73291">
        <w:rPr>
          <w:rFonts w:ascii="Times New Roman" w:hAnsi="Times New Roman" w:cs="Times New Roman"/>
        </w:rPr>
        <w:t xml:space="preserve"> </w:t>
      </w:r>
      <w:r w:rsidR="00A12A0F" w:rsidRPr="00E73291">
        <w:rPr>
          <w:rFonts w:ascii="Times New Roman" w:hAnsi="Times New Roman" w:cs="Times New Roman"/>
        </w:rPr>
        <w:t>5</w:t>
      </w:r>
      <w:r w:rsidR="00DF0A6F" w:rsidRPr="00E73291">
        <w:rPr>
          <w:rFonts w:ascii="Times New Roman" w:hAnsi="Times New Roman" w:cs="Times New Roman"/>
        </w:rPr>
        <w:t xml:space="preserve"> August 2025</w:t>
      </w:r>
    </w:p>
    <w:p w14:paraId="34773E22" w14:textId="77777777" w:rsidR="00E73291" w:rsidRDefault="00E73291" w:rsidP="00E73291">
      <w:pPr>
        <w:pStyle w:val="NoSpacing"/>
        <w:rPr>
          <w:rFonts w:ascii="Times New Roman" w:hAnsi="Times New Roman" w:cs="Times New Roman"/>
        </w:rPr>
      </w:pPr>
    </w:p>
    <w:p w14:paraId="40925E2E" w14:textId="43DA9AF3" w:rsidR="00B454F7" w:rsidRPr="00E73291" w:rsidRDefault="00B454F7" w:rsidP="00E73291">
      <w:pPr>
        <w:pStyle w:val="NoSpacing"/>
        <w:rPr>
          <w:rFonts w:ascii="Times New Roman" w:hAnsi="Times New Roman" w:cs="Times New Roman"/>
        </w:rPr>
      </w:pPr>
      <w:r w:rsidRPr="00E73291">
        <w:rPr>
          <w:rFonts w:ascii="Times New Roman" w:hAnsi="Times New Roman" w:cs="Times New Roman"/>
        </w:rPr>
        <w:tab/>
      </w:r>
    </w:p>
    <w:p w14:paraId="4A33CFDF" w14:textId="546793AC" w:rsidR="00B454F7" w:rsidRPr="00BE186E" w:rsidRDefault="00DF0A6F" w:rsidP="00E73291">
      <w:pPr>
        <w:pStyle w:val="NoSpacing"/>
        <w:rPr>
          <w:rFonts w:ascii="Times New Roman" w:hAnsi="Times New Roman" w:cs="Times New Roman"/>
          <w:b/>
          <w:bCs/>
        </w:rPr>
      </w:pPr>
      <w:r w:rsidRPr="00BE186E">
        <w:rPr>
          <w:rFonts w:ascii="Times New Roman" w:hAnsi="Times New Roman" w:cs="Times New Roman"/>
          <w:b/>
          <w:bCs/>
        </w:rPr>
        <w:t xml:space="preserve">Opposed </w:t>
      </w:r>
      <w:r w:rsidR="00E73291" w:rsidRPr="00BE186E">
        <w:rPr>
          <w:rFonts w:ascii="Times New Roman" w:hAnsi="Times New Roman" w:cs="Times New Roman"/>
          <w:b/>
          <w:bCs/>
        </w:rPr>
        <w:t>Application</w:t>
      </w:r>
    </w:p>
    <w:p w14:paraId="40BA6A97" w14:textId="77777777" w:rsidR="00B454F7" w:rsidRDefault="00B454F7" w:rsidP="00E73291">
      <w:pPr>
        <w:pStyle w:val="NoSpacing"/>
        <w:rPr>
          <w:rFonts w:ascii="Times New Roman" w:hAnsi="Times New Roman" w:cs="Times New Roman"/>
        </w:rPr>
      </w:pPr>
    </w:p>
    <w:p w14:paraId="183272BB" w14:textId="77777777" w:rsidR="00E73291" w:rsidRPr="00E73291" w:rsidRDefault="00E73291" w:rsidP="00E73291">
      <w:pPr>
        <w:pStyle w:val="NoSpacing"/>
        <w:rPr>
          <w:rFonts w:ascii="Times New Roman" w:hAnsi="Times New Roman" w:cs="Times New Roman"/>
        </w:rPr>
      </w:pPr>
    </w:p>
    <w:p w14:paraId="4A97EEC2" w14:textId="24990DC5" w:rsidR="00B454F7" w:rsidRPr="00E73291" w:rsidRDefault="00876769" w:rsidP="00E73291">
      <w:pPr>
        <w:pStyle w:val="NoSpacing"/>
        <w:rPr>
          <w:rFonts w:ascii="Times New Roman" w:hAnsi="Times New Roman" w:cs="Times New Roman"/>
        </w:rPr>
      </w:pPr>
      <w:r w:rsidRPr="00E73291">
        <w:rPr>
          <w:rFonts w:ascii="Times New Roman" w:hAnsi="Times New Roman" w:cs="Times New Roman"/>
          <w:i/>
        </w:rPr>
        <w:t>D Tivadar</w:t>
      </w:r>
      <w:r w:rsidR="00B454F7" w:rsidRPr="00E73291">
        <w:rPr>
          <w:rFonts w:ascii="Times New Roman" w:hAnsi="Times New Roman" w:cs="Times New Roman"/>
          <w:i/>
        </w:rPr>
        <w:t xml:space="preserve">, </w:t>
      </w:r>
      <w:r w:rsidR="00B454F7" w:rsidRPr="00E73291">
        <w:rPr>
          <w:rFonts w:ascii="Times New Roman" w:hAnsi="Times New Roman" w:cs="Times New Roman"/>
        </w:rPr>
        <w:t xml:space="preserve">for the Applicant </w:t>
      </w:r>
    </w:p>
    <w:p w14:paraId="41AF6264" w14:textId="3DC96843" w:rsidR="00B454F7" w:rsidRPr="00E73291" w:rsidRDefault="00876769" w:rsidP="00E73291">
      <w:pPr>
        <w:pStyle w:val="NoSpacing"/>
        <w:rPr>
          <w:rFonts w:ascii="Times New Roman" w:hAnsi="Times New Roman" w:cs="Times New Roman"/>
        </w:rPr>
      </w:pPr>
      <w:r w:rsidRPr="00E73291">
        <w:rPr>
          <w:rFonts w:ascii="Times New Roman" w:hAnsi="Times New Roman" w:cs="Times New Roman"/>
          <w:i/>
        </w:rPr>
        <w:t>M Tshuma</w:t>
      </w:r>
      <w:r w:rsidR="00B454F7" w:rsidRPr="00E73291">
        <w:rPr>
          <w:rFonts w:ascii="Times New Roman" w:hAnsi="Times New Roman" w:cs="Times New Roman"/>
          <w:i/>
        </w:rPr>
        <w:t xml:space="preserve">, </w:t>
      </w:r>
      <w:r w:rsidR="00B454F7" w:rsidRPr="00E73291">
        <w:rPr>
          <w:rFonts w:ascii="Times New Roman" w:hAnsi="Times New Roman" w:cs="Times New Roman"/>
        </w:rPr>
        <w:t xml:space="preserve">for the </w:t>
      </w:r>
      <w:proofErr w:type="gramStart"/>
      <w:r w:rsidR="00E73291">
        <w:rPr>
          <w:rFonts w:ascii="Times New Roman" w:hAnsi="Times New Roman" w:cs="Times New Roman"/>
        </w:rPr>
        <w:t>1</w:t>
      </w:r>
      <w:r w:rsidR="00E73291" w:rsidRPr="00E73291">
        <w:rPr>
          <w:rFonts w:ascii="Times New Roman" w:hAnsi="Times New Roman" w:cs="Times New Roman"/>
          <w:vertAlign w:val="superscript"/>
        </w:rPr>
        <w:t>st</w:t>
      </w:r>
      <w:r w:rsidR="00E73291">
        <w:rPr>
          <w:rFonts w:ascii="Times New Roman" w:hAnsi="Times New Roman" w:cs="Times New Roman"/>
        </w:rPr>
        <w:t xml:space="preserve"> </w:t>
      </w:r>
      <w:r w:rsidR="00B454F7" w:rsidRPr="00E73291">
        <w:rPr>
          <w:rFonts w:ascii="Times New Roman" w:hAnsi="Times New Roman" w:cs="Times New Roman"/>
        </w:rPr>
        <w:t xml:space="preserve"> Respondent</w:t>
      </w:r>
      <w:proofErr w:type="gramEnd"/>
    </w:p>
    <w:p w14:paraId="005E6EF9" w14:textId="2DF826A4" w:rsidR="00876769" w:rsidRPr="00E73291" w:rsidRDefault="00876769" w:rsidP="00E73291">
      <w:pPr>
        <w:pStyle w:val="NoSpacing"/>
        <w:rPr>
          <w:rFonts w:ascii="Times New Roman" w:hAnsi="Times New Roman" w:cs="Times New Roman"/>
        </w:rPr>
      </w:pPr>
      <w:r w:rsidRPr="00E73291">
        <w:rPr>
          <w:rFonts w:ascii="Times New Roman" w:hAnsi="Times New Roman" w:cs="Times New Roman"/>
          <w:i/>
        </w:rPr>
        <w:t xml:space="preserve">A </w:t>
      </w:r>
      <w:proofErr w:type="spellStart"/>
      <w:r w:rsidRPr="00E73291">
        <w:rPr>
          <w:rFonts w:ascii="Times New Roman" w:hAnsi="Times New Roman" w:cs="Times New Roman"/>
          <w:i/>
        </w:rPr>
        <w:t>Zikiti</w:t>
      </w:r>
      <w:proofErr w:type="spellEnd"/>
      <w:r w:rsidRPr="00E73291">
        <w:rPr>
          <w:rFonts w:ascii="Times New Roman" w:hAnsi="Times New Roman" w:cs="Times New Roman"/>
          <w:i/>
        </w:rPr>
        <w:t xml:space="preserve">, </w:t>
      </w:r>
      <w:r w:rsidRPr="00E73291">
        <w:rPr>
          <w:rFonts w:ascii="Times New Roman" w:hAnsi="Times New Roman" w:cs="Times New Roman"/>
        </w:rPr>
        <w:t>for the 2</w:t>
      </w:r>
      <w:r w:rsidRPr="00E73291">
        <w:rPr>
          <w:rFonts w:ascii="Times New Roman" w:hAnsi="Times New Roman" w:cs="Times New Roman"/>
          <w:vertAlign w:val="superscript"/>
        </w:rPr>
        <w:t>nd</w:t>
      </w:r>
      <w:r w:rsidRPr="00E73291">
        <w:rPr>
          <w:rFonts w:ascii="Times New Roman" w:hAnsi="Times New Roman" w:cs="Times New Roman"/>
        </w:rPr>
        <w:t>-4</w:t>
      </w:r>
      <w:r w:rsidRPr="00E73291">
        <w:rPr>
          <w:rFonts w:ascii="Times New Roman" w:hAnsi="Times New Roman" w:cs="Times New Roman"/>
          <w:vertAlign w:val="superscript"/>
        </w:rPr>
        <w:t>th</w:t>
      </w:r>
      <w:r w:rsidRPr="00E73291">
        <w:rPr>
          <w:rFonts w:ascii="Times New Roman" w:hAnsi="Times New Roman" w:cs="Times New Roman"/>
        </w:rPr>
        <w:t xml:space="preserve"> respondents</w:t>
      </w:r>
    </w:p>
    <w:p w14:paraId="41D3F55D" w14:textId="77777777" w:rsidR="00B454F7" w:rsidRDefault="00B454F7" w:rsidP="00E73291">
      <w:pPr>
        <w:pStyle w:val="NoSpacing"/>
        <w:rPr>
          <w:rFonts w:ascii="Times New Roman" w:hAnsi="Times New Roman" w:cs="Times New Roman"/>
        </w:rPr>
      </w:pPr>
    </w:p>
    <w:p w14:paraId="291E0832" w14:textId="77777777" w:rsidR="00E73291" w:rsidRPr="00E73291" w:rsidRDefault="00E73291" w:rsidP="00E73291">
      <w:pPr>
        <w:pStyle w:val="NoSpacing"/>
        <w:rPr>
          <w:rFonts w:ascii="Times New Roman" w:hAnsi="Times New Roman" w:cs="Times New Roman"/>
        </w:rPr>
      </w:pPr>
    </w:p>
    <w:p w14:paraId="6607BDED" w14:textId="7941D7D3" w:rsidR="00D15F3A" w:rsidRPr="00E73291" w:rsidRDefault="00DF0A6F" w:rsidP="00E73291">
      <w:pPr>
        <w:spacing w:line="360" w:lineRule="auto"/>
        <w:ind w:firstLine="720"/>
        <w:jc w:val="both"/>
        <w:rPr>
          <w:rFonts w:ascii="Times New Roman" w:hAnsi="Times New Roman" w:cs="Times New Roman"/>
          <w:bCs/>
        </w:rPr>
      </w:pPr>
      <w:r w:rsidRPr="00E73291">
        <w:rPr>
          <w:rFonts w:ascii="Times New Roman" w:hAnsi="Times New Roman" w:cs="Times New Roman"/>
        </w:rPr>
        <w:t>DEME J:</w:t>
      </w:r>
      <w:r w:rsidRPr="00E73291">
        <w:rPr>
          <w:rFonts w:ascii="Times New Roman" w:hAnsi="Times New Roman" w:cs="Times New Roman"/>
          <w:b/>
          <w:bCs/>
        </w:rPr>
        <w:t xml:space="preserve"> </w:t>
      </w:r>
      <w:r w:rsidR="005E4B7D" w:rsidRPr="00A81423">
        <w:rPr>
          <w:rFonts w:ascii="Times New Roman" w:hAnsi="Times New Roman" w:cs="Times New Roman"/>
          <w:bCs/>
        </w:rPr>
        <w:t xml:space="preserve">The applicant </w:t>
      </w:r>
      <w:r w:rsidR="00D15F3A" w:rsidRPr="00A81423">
        <w:rPr>
          <w:rFonts w:ascii="Times New Roman" w:hAnsi="Times New Roman" w:cs="Times New Roman"/>
          <w:bCs/>
        </w:rPr>
        <w:t xml:space="preserve">is seeking the cancellation </w:t>
      </w:r>
      <w:r w:rsidR="007C29E6" w:rsidRPr="00A81423">
        <w:rPr>
          <w:rFonts w:ascii="Times New Roman" w:hAnsi="Times New Roman" w:cs="Times New Roman"/>
          <w:bCs/>
        </w:rPr>
        <w:t xml:space="preserve">of the mining claims registered in the name of the </w:t>
      </w:r>
      <w:r w:rsidR="00E73291">
        <w:rPr>
          <w:rFonts w:ascii="Times New Roman" w:hAnsi="Times New Roman" w:cs="Times New Roman"/>
          <w:bCs/>
        </w:rPr>
        <w:t>first</w:t>
      </w:r>
      <w:r w:rsidR="00D15F3A" w:rsidRPr="00A81423">
        <w:rPr>
          <w:rFonts w:ascii="Times New Roman" w:hAnsi="Times New Roman" w:cs="Times New Roman"/>
          <w:bCs/>
        </w:rPr>
        <w:t xml:space="preserve"> Respondent</w:t>
      </w:r>
      <w:r w:rsidR="007C29E6" w:rsidRPr="00A81423">
        <w:rPr>
          <w:rFonts w:ascii="Times New Roman" w:hAnsi="Times New Roman" w:cs="Times New Roman"/>
          <w:bCs/>
        </w:rPr>
        <w:t>.</w:t>
      </w:r>
      <w:r w:rsidR="00071D91" w:rsidRPr="00A81423">
        <w:rPr>
          <w:rFonts w:ascii="Times New Roman" w:hAnsi="Times New Roman" w:cs="Times New Roman"/>
          <w:bCs/>
        </w:rPr>
        <w:t xml:space="preserve"> </w:t>
      </w:r>
      <w:r w:rsidR="007C29E6" w:rsidRPr="00A81423">
        <w:rPr>
          <w:rFonts w:ascii="Times New Roman" w:hAnsi="Times New Roman" w:cs="Times New Roman"/>
          <w:bCs/>
        </w:rPr>
        <w:t xml:space="preserve">The Applicant alleged that such mining claims encroached into its claims. In particular, the </w:t>
      </w:r>
      <w:r w:rsidR="003D02C2" w:rsidRPr="00A81423">
        <w:rPr>
          <w:rFonts w:ascii="Times New Roman" w:hAnsi="Times New Roman" w:cs="Times New Roman"/>
          <w:bCs/>
        </w:rPr>
        <w:t>Applicant prayed</w:t>
      </w:r>
      <w:r w:rsidR="005E4B7D" w:rsidRPr="00A81423">
        <w:rPr>
          <w:rFonts w:ascii="Times New Roman" w:hAnsi="Times New Roman" w:cs="Times New Roman"/>
          <w:bCs/>
        </w:rPr>
        <w:t xml:space="preserve"> for the following relief</w:t>
      </w:r>
      <w:r w:rsidRPr="00A81423">
        <w:rPr>
          <w:rFonts w:ascii="Times New Roman" w:hAnsi="Times New Roman" w:cs="Times New Roman"/>
          <w:bCs/>
        </w:rPr>
        <w:t>:</w:t>
      </w:r>
    </w:p>
    <w:p w14:paraId="041CB2BB" w14:textId="2AD9499C" w:rsidR="005E4B7D" w:rsidRPr="00E73291" w:rsidRDefault="009B1454" w:rsidP="00E73291">
      <w:pPr>
        <w:spacing w:line="240" w:lineRule="auto"/>
        <w:ind w:left="360"/>
        <w:jc w:val="both"/>
        <w:rPr>
          <w:rFonts w:ascii="Times New Roman" w:hAnsi="Times New Roman" w:cs="Times New Roman"/>
          <w:bCs/>
          <w:sz w:val="22"/>
          <w:szCs w:val="22"/>
        </w:rPr>
      </w:pPr>
      <w:r w:rsidRPr="00E73291">
        <w:rPr>
          <w:rFonts w:ascii="Times New Roman" w:hAnsi="Times New Roman" w:cs="Times New Roman"/>
          <w:bCs/>
          <w:sz w:val="22"/>
          <w:szCs w:val="22"/>
        </w:rPr>
        <w:t xml:space="preserve">“1. </w:t>
      </w:r>
      <w:r w:rsidR="005E4B7D" w:rsidRPr="00E73291">
        <w:rPr>
          <w:rFonts w:ascii="Times New Roman" w:hAnsi="Times New Roman" w:cs="Times New Roman"/>
          <w:bCs/>
          <w:sz w:val="22"/>
          <w:szCs w:val="22"/>
        </w:rPr>
        <w:t xml:space="preserve">The </w:t>
      </w:r>
      <w:r w:rsidR="00230A20" w:rsidRPr="00E73291">
        <w:rPr>
          <w:rFonts w:ascii="Times New Roman" w:hAnsi="Times New Roman" w:cs="Times New Roman"/>
          <w:bCs/>
          <w:sz w:val="22"/>
          <w:szCs w:val="22"/>
        </w:rPr>
        <w:t xml:space="preserve">application </w:t>
      </w:r>
      <w:r w:rsidR="005E4B7D" w:rsidRPr="00E73291">
        <w:rPr>
          <w:rFonts w:ascii="Times New Roman" w:hAnsi="Times New Roman" w:cs="Times New Roman"/>
          <w:bCs/>
          <w:sz w:val="22"/>
          <w:szCs w:val="22"/>
        </w:rPr>
        <w:t>be and is hereby granted.</w:t>
      </w:r>
    </w:p>
    <w:p w14:paraId="730491AA" w14:textId="14AD716A" w:rsidR="005E4B7D" w:rsidRPr="00E73291" w:rsidRDefault="005E4B7D" w:rsidP="00E73291">
      <w:pPr>
        <w:pStyle w:val="ListParagraph"/>
        <w:numPr>
          <w:ilvl w:val="0"/>
          <w:numId w:val="2"/>
        </w:numPr>
        <w:spacing w:line="240" w:lineRule="auto"/>
        <w:jc w:val="both"/>
        <w:rPr>
          <w:rFonts w:ascii="Times New Roman" w:hAnsi="Times New Roman" w:cs="Times New Roman"/>
          <w:bCs/>
          <w:sz w:val="22"/>
          <w:szCs w:val="22"/>
        </w:rPr>
      </w:pPr>
      <w:r w:rsidRPr="00E73291">
        <w:rPr>
          <w:rFonts w:ascii="Times New Roman" w:hAnsi="Times New Roman" w:cs="Times New Roman"/>
          <w:bCs/>
          <w:sz w:val="22"/>
          <w:szCs w:val="22"/>
        </w:rPr>
        <w:t>The First Respondent's mining claim known as BM4745 located in Mashonaland West Mining Province be and is hereby cancelled as it is overpegging Applicant's mining claim known as Chambadzi N3, registered under BM21677.</w:t>
      </w:r>
    </w:p>
    <w:p w14:paraId="1155168E" w14:textId="38086BBF" w:rsidR="005E4B7D" w:rsidRPr="00E73291" w:rsidRDefault="005E4B7D" w:rsidP="00E73291">
      <w:pPr>
        <w:pStyle w:val="ListParagraph"/>
        <w:numPr>
          <w:ilvl w:val="0"/>
          <w:numId w:val="2"/>
        </w:numPr>
        <w:spacing w:line="240" w:lineRule="auto"/>
        <w:jc w:val="both"/>
        <w:rPr>
          <w:rFonts w:ascii="Times New Roman" w:hAnsi="Times New Roman" w:cs="Times New Roman"/>
          <w:bCs/>
          <w:sz w:val="22"/>
          <w:szCs w:val="22"/>
        </w:rPr>
      </w:pPr>
      <w:r w:rsidRPr="00E73291">
        <w:rPr>
          <w:rFonts w:ascii="Times New Roman" w:hAnsi="Times New Roman" w:cs="Times New Roman"/>
          <w:bCs/>
          <w:sz w:val="22"/>
          <w:szCs w:val="22"/>
        </w:rPr>
        <w:t>The First Respondent's mining claims known as BM4132 and BM4133 located in Mashonaland Central be and are hereby cancelled as they are overpegging Applicant's mining claims known as Chambadzi N, BM 20973 and Chambadzi N2, BM21083.</w:t>
      </w:r>
    </w:p>
    <w:p w14:paraId="084EF95D" w14:textId="77777777" w:rsidR="005E4B7D" w:rsidRPr="00E73291" w:rsidRDefault="005E4B7D" w:rsidP="00E73291">
      <w:pPr>
        <w:pStyle w:val="ListParagraph"/>
        <w:numPr>
          <w:ilvl w:val="0"/>
          <w:numId w:val="2"/>
        </w:numPr>
        <w:spacing w:line="240" w:lineRule="auto"/>
        <w:jc w:val="both"/>
        <w:rPr>
          <w:rFonts w:ascii="Times New Roman" w:hAnsi="Times New Roman" w:cs="Times New Roman"/>
          <w:bCs/>
          <w:sz w:val="22"/>
          <w:szCs w:val="22"/>
        </w:rPr>
      </w:pPr>
      <w:r w:rsidRPr="00E73291">
        <w:rPr>
          <w:rFonts w:ascii="Times New Roman" w:hAnsi="Times New Roman" w:cs="Times New Roman"/>
          <w:bCs/>
          <w:sz w:val="22"/>
          <w:szCs w:val="22"/>
        </w:rPr>
        <w:t>The Second, Third and Fourth Respondent are hereby ordered to effect the cancellation of First Respondent's mining claims.</w:t>
      </w:r>
    </w:p>
    <w:p w14:paraId="5FA2E4B0" w14:textId="569B383D" w:rsidR="0002556E" w:rsidRPr="00E73291" w:rsidRDefault="005E4B7D" w:rsidP="00E73291">
      <w:pPr>
        <w:pStyle w:val="ListParagraph"/>
        <w:numPr>
          <w:ilvl w:val="0"/>
          <w:numId w:val="2"/>
        </w:numPr>
        <w:spacing w:line="240" w:lineRule="auto"/>
        <w:jc w:val="both"/>
        <w:rPr>
          <w:rFonts w:ascii="Times New Roman" w:hAnsi="Times New Roman" w:cs="Times New Roman"/>
          <w:bCs/>
          <w:sz w:val="22"/>
          <w:szCs w:val="22"/>
        </w:rPr>
      </w:pPr>
      <w:r w:rsidRPr="00E73291">
        <w:rPr>
          <w:rFonts w:ascii="Times New Roman" w:hAnsi="Times New Roman" w:cs="Times New Roman"/>
          <w:bCs/>
          <w:sz w:val="22"/>
          <w:szCs w:val="22"/>
        </w:rPr>
        <w:t>The First Respondent shall bear the costs of suit.</w:t>
      </w:r>
      <w:r w:rsidR="00731CD8" w:rsidRPr="00E73291">
        <w:rPr>
          <w:rFonts w:ascii="Times New Roman" w:hAnsi="Times New Roman" w:cs="Times New Roman"/>
          <w:bCs/>
          <w:sz w:val="22"/>
          <w:szCs w:val="22"/>
        </w:rPr>
        <w:t>”</w:t>
      </w:r>
    </w:p>
    <w:p w14:paraId="17DDB9B0" w14:textId="77777777" w:rsidR="0002556E" w:rsidRPr="00E73291" w:rsidRDefault="0002556E" w:rsidP="00E73291">
      <w:pPr>
        <w:pStyle w:val="ListParagraph"/>
        <w:spacing w:line="240" w:lineRule="auto"/>
        <w:jc w:val="both"/>
        <w:rPr>
          <w:rFonts w:ascii="Times New Roman" w:hAnsi="Times New Roman" w:cs="Times New Roman"/>
          <w:bCs/>
          <w:sz w:val="22"/>
          <w:szCs w:val="22"/>
        </w:rPr>
      </w:pPr>
    </w:p>
    <w:p w14:paraId="73EBEC47" w14:textId="37F7B288" w:rsidR="00577639" w:rsidRPr="00E73291" w:rsidRDefault="0002556E" w:rsidP="00E73291">
      <w:pPr>
        <w:spacing w:after="0" w:line="360" w:lineRule="auto"/>
        <w:ind w:firstLine="720"/>
        <w:jc w:val="both"/>
        <w:rPr>
          <w:rFonts w:ascii="Times New Roman" w:hAnsi="Times New Roman" w:cs="Times New Roman"/>
          <w:bCs/>
        </w:rPr>
      </w:pPr>
      <w:r w:rsidRPr="006C57B1">
        <w:rPr>
          <w:rFonts w:ascii="Times New Roman" w:hAnsi="Times New Roman" w:cs="Times New Roman"/>
          <w:bCs/>
        </w:rPr>
        <w:t xml:space="preserve">The application was opposed by the </w:t>
      </w:r>
      <w:r w:rsidR="00E73291">
        <w:rPr>
          <w:rFonts w:ascii="Times New Roman" w:hAnsi="Times New Roman" w:cs="Times New Roman"/>
          <w:bCs/>
        </w:rPr>
        <w:t>first</w:t>
      </w:r>
      <w:r w:rsidRPr="006C57B1">
        <w:rPr>
          <w:rFonts w:ascii="Times New Roman" w:hAnsi="Times New Roman" w:cs="Times New Roman"/>
          <w:bCs/>
        </w:rPr>
        <w:t xml:space="preserve"> Respondent who </w:t>
      </w:r>
      <w:r w:rsidR="003D02C2" w:rsidRPr="006C57B1">
        <w:rPr>
          <w:rFonts w:ascii="Times New Roman" w:hAnsi="Times New Roman" w:cs="Times New Roman"/>
          <w:bCs/>
        </w:rPr>
        <w:t>raised numerous</w:t>
      </w:r>
      <w:r w:rsidRPr="006C57B1">
        <w:rPr>
          <w:rFonts w:ascii="Times New Roman" w:hAnsi="Times New Roman" w:cs="Times New Roman"/>
          <w:bCs/>
        </w:rPr>
        <w:t xml:space="preserve"> points </w:t>
      </w:r>
      <w:r w:rsidRPr="006C57B1">
        <w:rPr>
          <w:rFonts w:ascii="Times New Roman" w:hAnsi="Times New Roman" w:cs="Times New Roman"/>
          <w:bCs/>
          <w:i/>
          <w:iCs/>
        </w:rPr>
        <w:t>in limine</w:t>
      </w:r>
      <w:r w:rsidRPr="006C57B1">
        <w:rPr>
          <w:rFonts w:ascii="Times New Roman" w:hAnsi="Times New Roman" w:cs="Times New Roman"/>
          <w:bCs/>
        </w:rPr>
        <w:t xml:space="preserve">. </w:t>
      </w:r>
      <w:r w:rsidR="003224EE" w:rsidRPr="006C57B1">
        <w:rPr>
          <w:rFonts w:ascii="Times New Roman" w:hAnsi="Times New Roman" w:cs="Times New Roman"/>
          <w:bCs/>
        </w:rPr>
        <w:t xml:space="preserve">Firstly, the </w:t>
      </w:r>
      <w:r w:rsidR="00E73291">
        <w:rPr>
          <w:rFonts w:ascii="Times New Roman" w:hAnsi="Times New Roman" w:cs="Times New Roman"/>
          <w:bCs/>
        </w:rPr>
        <w:t>first</w:t>
      </w:r>
      <w:r w:rsidR="003224EE" w:rsidRPr="006C57B1">
        <w:rPr>
          <w:rFonts w:ascii="Times New Roman" w:hAnsi="Times New Roman" w:cs="Times New Roman"/>
          <w:bCs/>
        </w:rPr>
        <w:t xml:space="preserve"> Respondent averred that this court does not have jurisdiction</w:t>
      </w:r>
      <w:r w:rsidR="005C3FF0" w:rsidRPr="006C57B1">
        <w:rPr>
          <w:rFonts w:ascii="Times New Roman" w:hAnsi="Times New Roman" w:cs="Times New Roman"/>
          <w:bCs/>
        </w:rPr>
        <w:t xml:space="preserve"> to hear the </w:t>
      </w:r>
      <w:r w:rsidR="005C3FF0" w:rsidRPr="006C57B1">
        <w:rPr>
          <w:rFonts w:ascii="Times New Roman" w:hAnsi="Times New Roman" w:cs="Times New Roman"/>
          <w:bCs/>
        </w:rPr>
        <w:lastRenderedPageBreak/>
        <w:t>present application</w:t>
      </w:r>
      <w:r w:rsidR="003224EE" w:rsidRPr="006C57B1">
        <w:rPr>
          <w:rFonts w:ascii="Times New Roman" w:hAnsi="Times New Roman" w:cs="Times New Roman"/>
          <w:bCs/>
        </w:rPr>
        <w:t xml:space="preserve">. By way of its second point </w:t>
      </w:r>
      <w:r w:rsidR="003224EE" w:rsidRPr="006C57B1">
        <w:rPr>
          <w:rFonts w:ascii="Times New Roman" w:hAnsi="Times New Roman" w:cs="Times New Roman"/>
          <w:bCs/>
          <w:i/>
          <w:iCs/>
        </w:rPr>
        <w:t>in limine</w:t>
      </w:r>
      <w:r w:rsidR="003224EE" w:rsidRPr="006C57B1">
        <w:rPr>
          <w:rFonts w:ascii="Times New Roman" w:hAnsi="Times New Roman" w:cs="Times New Roman"/>
          <w:bCs/>
        </w:rPr>
        <w:t xml:space="preserve">, the </w:t>
      </w:r>
      <w:r w:rsidR="00E73291">
        <w:rPr>
          <w:rFonts w:ascii="Times New Roman" w:hAnsi="Times New Roman" w:cs="Times New Roman"/>
          <w:bCs/>
        </w:rPr>
        <w:t>first</w:t>
      </w:r>
      <w:r w:rsidR="003224EE" w:rsidRPr="006C57B1">
        <w:rPr>
          <w:rFonts w:ascii="Times New Roman" w:hAnsi="Times New Roman" w:cs="Times New Roman"/>
          <w:bCs/>
        </w:rPr>
        <w:t xml:space="preserve"> Respondent alleged that the</w:t>
      </w:r>
      <w:r w:rsidR="005C3FF0" w:rsidRPr="006C57B1">
        <w:rPr>
          <w:rFonts w:ascii="Times New Roman" w:hAnsi="Times New Roman" w:cs="Times New Roman"/>
          <w:bCs/>
        </w:rPr>
        <w:t xml:space="preserve"> application is anchored on an erroneous </w:t>
      </w:r>
      <w:r w:rsidR="003224EE" w:rsidRPr="006C57B1">
        <w:rPr>
          <w:rFonts w:ascii="Times New Roman" w:hAnsi="Times New Roman" w:cs="Times New Roman"/>
          <w:bCs/>
        </w:rPr>
        <w:t xml:space="preserve">cause of action. </w:t>
      </w:r>
      <w:r w:rsidR="003D02C2" w:rsidRPr="006C57B1">
        <w:rPr>
          <w:rFonts w:ascii="Times New Roman" w:hAnsi="Times New Roman" w:cs="Times New Roman"/>
          <w:bCs/>
        </w:rPr>
        <w:t>Thirdly, the</w:t>
      </w:r>
      <w:r w:rsidR="009E31AE" w:rsidRPr="006C57B1">
        <w:rPr>
          <w:rFonts w:ascii="Times New Roman" w:hAnsi="Times New Roman" w:cs="Times New Roman"/>
          <w:bCs/>
        </w:rPr>
        <w:t xml:space="preserve"> </w:t>
      </w:r>
      <w:r w:rsidR="00E73291">
        <w:rPr>
          <w:rFonts w:ascii="Times New Roman" w:hAnsi="Times New Roman" w:cs="Times New Roman"/>
          <w:bCs/>
        </w:rPr>
        <w:t>first</w:t>
      </w:r>
      <w:r w:rsidR="009E31AE" w:rsidRPr="006C57B1">
        <w:rPr>
          <w:rFonts w:ascii="Times New Roman" w:hAnsi="Times New Roman" w:cs="Times New Roman"/>
          <w:bCs/>
        </w:rPr>
        <w:t xml:space="preserve"> Respondent </w:t>
      </w:r>
      <w:r w:rsidR="004B2E83" w:rsidRPr="006C57B1">
        <w:rPr>
          <w:rFonts w:ascii="Times New Roman" w:hAnsi="Times New Roman" w:cs="Times New Roman"/>
          <w:bCs/>
        </w:rPr>
        <w:t xml:space="preserve">maintained that the matter has prescribed in terms of </w:t>
      </w:r>
      <w:r w:rsidR="00E73291">
        <w:rPr>
          <w:rFonts w:ascii="Times New Roman" w:hAnsi="Times New Roman" w:cs="Times New Roman"/>
          <w:bCs/>
        </w:rPr>
        <w:t>s</w:t>
      </w:r>
      <w:r w:rsidR="004B2E83" w:rsidRPr="006C57B1">
        <w:rPr>
          <w:rFonts w:ascii="Times New Roman" w:hAnsi="Times New Roman" w:cs="Times New Roman"/>
          <w:bCs/>
        </w:rPr>
        <w:t xml:space="preserve"> 58 of the Mines and Minerals Act [</w:t>
      </w:r>
      <w:r w:rsidR="004B2E83" w:rsidRPr="006C57B1">
        <w:rPr>
          <w:rFonts w:ascii="Times New Roman" w:hAnsi="Times New Roman" w:cs="Times New Roman"/>
          <w:bCs/>
          <w:i/>
          <w:iCs/>
        </w:rPr>
        <w:t>Chapter 21:05</w:t>
      </w:r>
      <w:r w:rsidR="004B2E83" w:rsidRPr="006C57B1">
        <w:rPr>
          <w:rFonts w:ascii="Times New Roman" w:hAnsi="Times New Roman" w:cs="Times New Roman"/>
          <w:bCs/>
        </w:rPr>
        <w:t>]</w:t>
      </w:r>
      <w:r w:rsidR="005C3FF0" w:rsidRPr="006C57B1">
        <w:rPr>
          <w:rFonts w:ascii="Times New Roman" w:hAnsi="Times New Roman" w:cs="Times New Roman"/>
          <w:bCs/>
        </w:rPr>
        <w:t xml:space="preserve"> (hereinafter called “the Mines and Minerals Act”)</w:t>
      </w:r>
      <w:r w:rsidR="004B2E83" w:rsidRPr="006C57B1">
        <w:rPr>
          <w:rFonts w:ascii="Times New Roman" w:hAnsi="Times New Roman" w:cs="Times New Roman"/>
          <w:bCs/>
        </w:rPr>
        <w:t>.</w:t>
      </w:r>
      <w:r w:rsidR="003F51B1" w:rsidRPr="006C57B1">
        <w:rPr>
          <w:rFonts w:ascii="Times New Roman" w:hAnsi="Times New Roman" w:cs="Times New Roman"/>
          <w:bCs/>
        </w:rPr>
        <w:t xml:space="preserve"> </w:t>
      </w:r>
      <w:r w:rsidR="005C3FF0" w:rsidRPr="006C57B1">
        <w:rPr>
          <w:rFonts w:ascii="Times New Roman" w:hAnsi="Times New Roman" w:cs="Times New Roman"/>
          <w:bCs/>
        </w:rPr>
        <w:t xml:space="preserve">In its fourth </w:t>
      </w:r>
      <w:r w:rsidR="003F51B1" w:rsidRPr="006C57B1">
        <w:rPr>
          <w:rFonts w:ascii="Times New Roman" w:hAnsi="Times New Roman" w:cs="Times New Roman"/>
          <w:bCs/>
        </w:rPr>
        <w:t xml:space="preserve">point </w:t>
      </w:r>
      <w:r w:rsidR="005C3FF0" w:rsidRPr="006C57B1">
        <w:rPr>
          <w:rFonts w:ascii="Times New Roman" w:hAnsi="Times New Roman" w:cs="Times New Roman"/>
          <w:bCs/>
          <w:i/>
          <w:iCs/>
        </w:rPr>
        <w:t xml:space="preserve">in </w:t>
      </w:r>
      <w:r w:rsidR="003D02C2" w:rsidRPr="006C57B1">
        <w:rPr>
          <w:rFonts w:ascii="Times New Roman" w:hAnsi="Times New Roman" w:cs="Times New Roman"/>
          <w:bCs/>
          <w:i/>
          <w:iCs/>
        </w:rPr>
        <w:t xml:space="preserve">limine, </w:t>
      </w:r>
      <w:r w:rsidR="003D02C2" w:rsidRPr="006C57B1">
        <w:rPr>
          <w:rFonts w:ascii="Times New Roman" w:hAnsi="Times New Roman" w:cs="Times New Roman"/>
          <w:bCs/>
        </w:rPr>
        <w:t>the</w:t>
      </w:r>
      <w:r w:rsidR="005C3FF0" w:rsidRPr="006C57B1">
        <w:rPr>
          <w:rFonts w:ascii="Times New Roman" w:hAnsi="Times New Roman" w:cs="Times New Roman"/>
          <w:bCs/>
        </w:rPr>
        <w:t xml:space="preserve"> </w:t>
      </w:r>
      <w:r w:rsidR="00E73291">
        <w:rPr>
          <w:rFonts w:ascii="Times New Roman" w:hAnsi="Times New Roman" w:cs="Times New Roman"/>
          <w:bCs/>
        </w:rPr>
        <w:t>first</w:t>
      </w:r>
      <w:r w:rsidR="005C3FF0" w:rsidRPr="006C57B1">
        <w:rPr>
          <w:rFonts w:ascii="Times New Roman" w:hAnsi="Times New Roman" w:cs="Times New Roman"/>
          <w:bCs/>
        </w:rPr>
        <w:t xml:space="preserve"> Respondent alleged that </w:t>
      </w:r>
      <w:r w:rsidR="003249CE" w:rsidRPr="006C57B1">
        <w:rPr>
          <w:rFonts w:ascii="Times New Roman" w:hAnsi="Times New Roman" w:cs="Times New Roman"/>
          <w:bCs/>
        </w:rPr>
        <w:t>the Applicant committed acts of fraud</w:t>
      </w:r>
      <w:r w:rsidR="003249CE" w:rsidRPr="00905A1B">
        <w:rPr>
          <w:rFonts w:ascii="Times New Roman" w:hAnsi="Times New Roman" w:cs="Times New Roman"/>
          <w:bCs/>
        </w:rPr>
        <w:t>.</w:t>
      </w:r>
      <w:r w:rsidR="008F2B62" w:rsidRPr="00905A1B">
        <w:rPr>
          <w:rFonts w:ascii="Times New Roman" w:hAnsi="Times New Roman" w:cs="Times New Roman"/>
          <w:bCs/>
        </w:rPr>
        <w:t xml:space="preserve"> </w:t>
      </w:r>
      <w:r w:rsidR="003249CE" w:rsidRPr="008F2B62">
        <w:rPr>
          <w:rFonts w:ascii="Times New Roman" w:hAnsi="Times New Roman" w:cs="Times New Roman"/>
          <w:bCs/>
        </w:rPr>
        <w:t xml:space="preserve">Fifthly, </w:t>
      </w:r>
      <w:r w:rsidR="00905A1B">
        <w:rPr>
          <w:rFonts w:ascii="Times New Roman" w:hAnsi="Times New Roman" w:cs="Times New Roman"/>
          <w:bCs/>
        </w:rPr>
        <w:t xml:space="preserve">it was argued that the Applicant’s former legal practitioners </w:t>
      </w:r>
      <w:r w:rsidR="003D43C7" w:rsidRPr="008F2B62">
        <w:rPr>
          <w:rFonts w:ascii="Times New Roman" w:hAnsi="Times New Roman" w:cs="Times New Roman"/>
          <w:bCs/>
        </w:rPr>
        <w:t>are conflicted</w:t>
      </w:r>
      <w:r w:rsidR="00905A1B">
        <w:rPr>
          <w:rFonts w:ascii="Times New Roman" w:hAnsi="Times New Roman" w:cs="Times New Roman"/>
          <w:bCs/>
        </w:rPr>
        <w:t>,</w:t>
      </w:r>
      <w:r w:rsidR="003D43C7" w:rsidRPr="008F2B62">
        <w:rPr>
          <w:rFonts w:ascii="Times New Roman" w:hAnsi="Times New Roman" w:cs="Times New Roman"/>
          <w:bCs/>
        </w:rPr>
        <w:t xml:space="preserve"> having</w:t>
      </w:r>
      <w:r w:rsidR="00905A1B">
        <w:rPr>
          <w:rFonts w:ascii="Times New Roman" w:hAnsi="Times New Roman" w:cs="Times New Roman"/>
          <w:bCs/>
        </w:rPr>
        <w:t xml:space="preserve"> at one time</w:t>
      </w:r>
      <w:r w:rsidR="003D43C7" w:rsidRPr="008F2B62">
        <w:rPr>
          <w:rFonts w:ascii="Times New Roman" w:hAnsi="Times New Roman" w:cs="Times New Roman"/>
          <w:bCs/>
        </w:rPr>
        <w:t xml:space="preserve"> represented the </w:t>
      </w:r>
      <w:r w:rsidR="00E73291" w:rsidRPr="008F2B62">
        <w:rPr>
          <w:rFonts w:ascii="Times New Roman" w:hAnsi="Times New Roman" w:cs="Times New Roman"/>
          <w:bCs/>
        </w:rPr>
        <w:t>first</w:t>
      </w:r>
      <w:r w:rsidR="003D43C7" w:rsidRPr="008F2B62">
        <w:rPr>
          <w:rFonts w:ascii="Times New Roman" w:hAnsi="Times New Roman" w:cs="Times New Roman"/>
          <w:bCs/>
        </w:rPr>
        <w:t xml:space="preserve"> Respondent as well.</w:t>
      </w:r>
      <w:r w:rsidR="003543D4" w:rsidRPr="006C57B1">
        <w:rPr>
          <w:rFonts w:ascii="Times New Roman" w:hAnsi="Times New Roman" w:cs="Times New Roman"/>
          <w:bCs/>
        </w:rPr>
        <w:t xml:space="preserve"> Finally, the </w:t>
      </w:r>
      <w:r w:rsidR="00E73291">
        <w:rPr>
          <w:rFonts w:ascii="Times New Roman" w:hAnsi="Times New Roman" w:cs="Times New Roman"/>
          <w:bCs/>
        </w:rPr>
        <w:t>first</w:t>
      </w:r>
      <w:r w:rsidR="008D5DEB" w:rsidRPr="006C57B1">
        <w:rPr>
          <w:rFonts w:ascii="Times New Roman" w:hAnsi="Times New Roman" w:cs="Times New Roman"/>
          <w:bCs/>
        </w:rPr>
        <w:t xml:space="preserve"> Respondent claimed that the present</w:t>
      </w:r>
      <w:r w:rsidR="0052016F" w:rsidRPr="006C57B1">
        <w:rPr>
          <w:rFonts w:ascii="Times New Roman" w:hAnsi="Times New Roman" w:cs="Times New Roman"/>
          <w:bCs/>
        </w:rPr>
        <w:t xml:space="preserve"> application </w:t>
      </w:r>
      <w:r w:rsidR="00627BD9" w:rsidRPr="006C57B1">
        <w:rPr>
          <w:rFonts w:ascii="Times New Roman" w:hAnsi="Times New Roman" w:cs="Times New Roman"/>
          <w:bCs/>
        </w:rPr>
        <w:t>is pregnant with material disputes of fact.</w:t>
      </w:r>
      <w:r w:rsidR="006A43F9" w:rsidRPr="006C57B1">
        <w:rPr>
          <w:rFonts w:ascii="Times New Roman" w:hAnsi="Times New Roman" w:cs="Times New Roman"/>
          <w:bCs/>
        </w:rPr>
        <w:t xml:space="preserve"> The </w:t>
      </w:r>
      <w:r w:rsidR="00E73291">
        <w:rPr>
          <w:rFonts w:ascii="Times New Roman" w:hAnsi="Times New Roman" w:cs="Times New Roman"/>
          <w:bCs/>
        </w:rPr>
        <w:t>first</w:t>
      </w:r>
      <w:r w:rsidR="006A43F9" w:rsidRPr="006C57B1">
        <w:rPr>
          <w:rFonts w:ascii="Times New Roman" w:hAnsi="Times New Roman" w:cs="Times New Roman"/>
          <w:bCs/>
        </w:rPr>
        <w:t xml:space="preserve"> Respondent, through their counsel, </w:t>
      </w:r>
      <w:r w:rsidR="006A43F9" w:rsidRPr="00E73291">
        <w:rPr>
          <w:rFonts w:ascii="Times New Roman" w:hAnsi="Times New Roman" w:cs="Times New Roman"/>
          <w:bCs/>
          <w:i/>
          <w:iCs/>
        </w:rPr>
        <w:t>Adv</w:t>
      </w:r>
      <w:r w:rsidR="00E73291" w:rsidRPr="00E73291">
        <w:rPr>
          <w:rFonts w:ascii="Times New Roman" w:hAnsi="Times New Roman" w:cs="Times New Roman"/>
          <w:bCs/>
          <w:i/>
          <w:iCs/>
        </w:rPr>
        <w:t>ocate</w:t>
      </w:r>
      <w:r w:rsidR="006A43F9" w:rsidRPr="006C57B1">
        <w:rPr>
          <w:rFonts w:ascii="Times New Roman" w:hAnsi="Times New Roman" w:cs="Times New Roman"/>
          <w:bCs/>
        </w:rPr>
        <w:t xml:space="preserve"> </w:t>
      </w:r>
      <w:r w:rsidR="006A43F9" w:rsidRPr="00E73291">
        <w:rPr>
          <w:rFonts w:ascii="Times New Roman" w:hAnsi="Times New Roman" w:cs="Times New Roman"/>
          <w:bCs/>
          <w:i/>
          <w:iCs/>
        </w:rPr>
        <w:t>Tshuma</w:t>
      </w:r>
      <w:r w:rsidR="006A43F9" w:rsidRPr="006C57B1">
        <w:rPr>
          <w:rFonts w:ascii="Times New Roman" w:hAnsi="Times New Roman" w:cs="Times New Roman"/>
          <w:bCs/>
        </w:rPr>
        <w:t xml:space="preserve"> abandoned the last three points </w:t>
      </w:r>
      <w:r w:rsidR="006A43F9" w:rsidRPr="006C57B1">
        <w:rPr>
          <w:rFonts w:ascii="Times New Roman" w:hAnsi="Times New Roman" w:cs="Times New Roman"/>
          <w:bCs/>
          <w:i/>
          <w:iCs/>
        </w:rPr>
        <w:t>in limine</w:t>
      </w:r>
      <w:r w:rsidR="00577639" w:rsidRPr="006C57B1">
        <w:rPr>
          <w:rFonts w:ascii="Times New Roman" w:hAnsi="Times New Roman" w:cs="Times New Roman"/>
          <w:bCs/>
        </w:rPr>
        <w:t xml:space="preserve">. He </w:t>
      </w:r>
      <w:r w:rsidR="003D02C2" w:rsidRPr="006C57B1">
        <w:rPr>
          <w:rFonts w:ascii="Times New Roman" w:hAnsi="Times New Roman" w:cs="Times New Roman"/>
          <w:bCs/>
        </w:rPr>
        <w:t>submitted that</w:t>
      </w:r>
      <w:r w:rsidR="00577639" w:rsidRPr="006C57B1">
        <w:rPr>
          <w:rFonts w:ascii="Times New Roman" w:hAnsi="Times New Roman" w:cs="Times New Roman"/>
          <w:bCs/>
        </w:rPr>
        <w:t xml:space="preserve"> the </w:t>
      </w:r>
      <w:r w:rsidR="003D02C2" w:rsidRPr="006C57B1">
        <w:rPr>
          <w:rFonts w:ascii="Times New Roman" w:hAnsi="Times New Roman" w:cs="Times New Roman"/>
          <w:bCs/>
        </w:rPr>
        <w:t>abandoned points</w:t>
      </w:r>
      <w:r w:rsidR="00577639" w:rsidRPr="006C57B1">
        <w:rPr>
          <w:rFonts w:ascii="Times New Roman" w:hAnsi="Times New Roman" w:cs="Times New Roman"/>
          <w:bCs/>
        </w:rPr>
        <w:t xml:space="preserve"> </w:t>
      </w:r>
      <w:r w:rsidR="005C3FF0" w:rsidRPr="006C57B1">
        <w:rPr>
          <w:rFonts w:ascii="Times New Roman" w:hAnsi="Times New Roman" w:cs="Times New Roman"/>
          <w:bCs/>
        </w:rPr>
        <w:t xml:space="preserve">will be dealt </w:t>
      </w:r>
      <w:r w:rsidR="003D02C2" w:rsidRPr="006C57B1">
        <w:rPr>
          <w:rFonts w:ascii="Times New Roman" w:hAnsi="Times New Roman" w:cs="Times New Roman"/>
          <w:bCs/>
        </w:rPr>
        <w:t>with at</w:t>
      </w:r>
      <w:r w:rsidR="005C3FF0" w:rsidRPr="006C57B1">
        <w:rPr>
          <w:rFonts w:ascii="Times New Roman" w:hAnsi="Times New Roman" w:cs="Times New Roman"/>
          <w:bCs/>
        </w:rPr>
        <w:t xml:space="preserve"> the stage when the parties will be addressing the court on </w:t>
      </w:r>
      <w:r w:rsidR="00577639" w:rsidRPr="006C57B1">
        <w:rPr>
          <w:rFonts w:ascii="Times New Roman" w:hAnsi="Times New Roman" w:cs="Times New Roman"/>
          <w:bCs/>
        </w:rPr>
        <w:t>the merits.</w:t>
      </w:r>
    </w:p>
    <w:p w14:paraId="37DFD519" w14:textId="05144E62" w:rsidR="006413B7" w:rsidRPr="00E73291" w:rsidRDefault="00116593" w:rsidP="00E73291">
      <w:pPr>
        <w:spacing w:after="0" w:line="360" w:lineRule="auto"/>
        <w:ind w:firstLine="720"/>
        <w:jc w:val="both"/>
        <w:rPr>
          <w:rFonts w:ascii="Times New Roman" w:hAnsi="Times New Roman" w:cs="Times New Roman"/>
          <w:bCs/>
        </w:rPr>
      </w:pPr>
      <w:r w:rsidRPr="006C57B1">
        <w:rPr>
          <w:rFonts w:ascii="Times New Roman" w:hAnsi="Times New Roman" w:cs="Times New Roman"/>
          <w:bCs/>
        </w:rPr>
        <w:t xml:space="preserve">Thus, my responsibility is to make a determination on the status of the first three points </w:t>
      </w:r>
      <w:r w:rsidRPr="006C57B1">
        <w:rPr>
          <w:rFonts w:ascii="Times New Roman" w:hAnsi="Times New Roman" w:cs="Times New Roman"/>
          <w:bCs/>
          <w:i/>
          <w:iCs/>
        </w:rPr>
        <w:t>in limine</w:t>
      </w:r>
      <w:r w:rsidRPr="006C57B1">
        <w:rPr>
          <w:rFonts w:ascii="Times New Roman" w:hAnsi="Times New Roman" w:cs="Times New Roman"/>
          <w:bCs/>
        </w:rPr>
        <w:t xml:space="preserve">. </w:t>
      </w:r>
      <w:r w:rsidR="00682BF2" w:rsidRPr="006C57B1">
        <w:rPr>
          <w:rFonts w:ascii="Times New Roman" w:hAnsi="Times New Roman" w:cs="Times New Roman"/>
          <w:bCs/>
        </w:rPr>
        <w:t xml:space="preserve">The question of jurisdiction was </w:t>
      </w:r>
      <w:r w:rsidR="00050F59" w:rsidRPr="006C57B1">
        <w:rPr>
          <w:rFonts w:ascii="Times New Roman" w:hAnsi="Times New Roman" w:cs="Times New Roman"/>
          <w:bCs/>
        </w:rPr>
        <w:t xml:space="preserve">orally </w:t>
      </w:r>
      <w:r w:rsidR="00682BF2" w:rsidRPr="006C57B1">
        <w:rPr>
          <w:rFonts w:ascii="Times New Roman" w:hAnsi="Times New Roman" w:cs="Times New Roman"/>
          <w:bCs/>
        </w:rPr>
        <w:t>raised for the first time</w:t>
      </w:r>
      <w:r w:rsidR="009F0E19" w:rsidRPr="006C57B1">
        <w:rPr>
          <w:rFonts w:ascii="Times New Roman" w:hAnsi="Times New Roman" w:cs="Times New Roman"/>
          <w:bCs/>
        </w:rPr>
        <w:t xml:space="preserve"> by </w:t>
      </w:r>
      <w:r w:rsidR="009F0E19" w:rsidRPr="00E73291">
        <w:rPr>
          <w:rFonts w:ascii="Times New Roman" w:hAnsi="Times New Roman" w:cs="Times New Roman"/>
          <w:bCs/>
          <w:i/>
          <w:iCs/>
        </w:rPr>
        <w:t>Adv</w:t>
      </w:r>
      <w:r w:rsidR="00E73291" w:rsidRPr="00E73291">
        <w:rPr>
          <w:rFonts w:ascii="Times New Roman" w:hAnsi="Times New Roman" w:cs="Times New Roman"/>
          <w:bCs/>
          <w:i/>
          <w:iCs/>
        </w:rPr>
        <w:t>ocate</w:t>
      </w:r>
      <w:r w:rsidR="009F0E19" w:rsidRPr="00E73291">
        <w:rPr>
          <w:rFonts w:ascii="Times New Roman" w:hAnsi="Times New Roman" w:cs="Times New Roman"/>
          <w:bCs/>
          <w:i/>
          <w:iCs/>
        </w:rPr>
        <w:t xml:space="preserve"> Tshuma</w:t>
      </w:r>
      <w:r w:rsidR="009F0E19" w:rsidRPr="006C57B1">
        <w:rPr>
          <w:rFonts w:ascii="Times New Roman" w:hAnsi="Times New Roman" w:cs="Times New Roman"/>
          <w:bCs/>
        </w:rPr>
        <w:t xml:space="preserve"> on the day of hearing.</w:t>
      </w:r>
      <w:r w:rsidR="003B4096" w:rsidRPr="006C57B1">
        <w:rPr>
          <w:rFonts w:ascii="Times New Roman" w:hAnsi="Times New Roman" w:cs="Times New Roman"/>
          <w:bCs/>
        </w:rPr>
        <w:t xml:space="preserve"> Adv Tivadar submitted that he was ready to respond to the question of this court’s jurisdiction.</w:t>
      </w:r>
      <w:r w:rsidR="00EA47D8" w:rsidRPr="006C57B1">
        <w:rPr>
          <w:rFonts w:ascii="Times New Roman" w:hAnsi="Times New Roman" w:cs="Times New Roman"/>
          <w:bCs/>
        </w:rPr>
        <w:t xml:space="preserve"> However, he submitted that if the point </w:t>
      </w:r>
      <w:r w:rsidR="00EA47D8" w:rsidRPr="006C57B1">
        <w:rPr>
          <w:rFonts w:ascii="Times New Roman" w:hAnsi="Times New Roman" w:cs="Times New Roman"/>
          <w:bCs/>
          <w:i/>
          <w:iCs/>
        </w:rPr>
        <w:t>in limine</w:t>
      </w:r>
      <w:r w:rsidR="00EA47D8" w:rsidRPr="006C57B1">
        <w:rPr>
          <w:rFonts w:ascii="Times New Roman" w:hAnsi="Times New Roman" w:cs="Times New Roman"/>
          <w:bCs/>
        </w:rPr>
        <w:t xml:space="preserve"> succeeds, his client must not be ordered to pay punitive costs</w:t>
      </w:r>
      <w:r w:rsidR="00B817F1">
        <w:rPr>
          <w:rFonts w:ascii="Times New Roman" w:hAnsi="Times New Roman" w:cs="Times New Roman"/>
          <w:bCs/>
        </w:rPr>
        <w:t>,</w:t>
      </w:r>
      <w:r w:rsidR="00EA47D8" w:rsidRPr="006C57B1">
        <w:rPr>
          <w:rFonts w:ascii="Times New Roman" w:hAnsi="Times New Roman" w:cs="Times New Roman"/>
          <w:bCs/>
        </w:rPr>
        <w:t xml:space="preserve"> as he was given short notice to respond</w:t>
      </w:r>
      <w:r w:rsidR="00050F59" w:rsidRPr="006C57B1">
        <w:rPr>
          <w:rFonts w:ascii="Times New Roman" w:hAnsi="Times New Roman" w:cs="Times New Roman"/>
          <w:bCs/>
        </w:rPr>
        <w:t xml:space="preserve"> to the point </w:t>
      </w:r>
      <w:r w:rsidR="00050F59" w:rsidRPr="006C57B1">
        <w:rPr>
          <w:rFonts w:ascii="Times New Roman" w:hAnsi="Times New Roman" w:cs="Times New Roman"/>
          <w:bCs/>
          <w:i/>
          <w:iCs/>
        </w:rPr>
        <w:t>in limine</w:t>
      </w:r>
      <w:r w:rsidR="00EA47D8" w:rsidRPr="006C57B1">
        <w:rPr>
          <w:rFonts w:ascii="Times New Roman" w:hAnsi="Times New Roman" w:cs="Times New Roman"/>
          <w:bCs/>
        </w:rPr>
        <w:t>.</w:t>
      </w:r>
    </w:p>
    <w:p w14:paraId="53180AA6" w14:textId="1ADFB531" w:rsidR="0044358F" w:rsidRPr="00E73291" w:rsidRDefault="00F10481" w:rsidP="00E73291">
      <w:pPr>
        <w:spacing w:after="0" w:line="360" w:lineRule="auto"/>
        <w:ind w:firstLine="720"/>
        <w:jc w:val="both"/>
        <w:rPr>
          <w:rFonts w:ascii="Times New Roman" w:hAnsi="Times New Roman" w:cs="Times New Roman"/>
          <w:bCs/>
        </w:rPr>
      </w:pPr>
      <w:r w:rsidRPr="006C57B1">
        <w:rPr>
          <w:rFonts w:ascii="Times New Roman" w:hAnsi="Times New Roman" w:cs="Times New Roman"/>
          <w:bCs/>
        </w:rPr>
        <w:t>Adv</w:t>
      </w:r>
      <w:r w:rsidR="00E73291">
        <w:rPr>
          <w:rFonts w:ascii="Times New Roman" w:hAnsi="Times New Roman" w:cs="Times New Roman"/>
          <w:bCs/>
        </w:rPr>
        <w:t>ocate</w:t>
      </w:r>
      <w:r w:rsidRPr="006C57B1">
        <w:rPr>
          <w:rFonts w:ascii="Times New Roman" w:hAnsi="Times New Roman" w:cs="Times New Roman"/>
          <w:bCs/>
        </w:rPr>
        <w:t xml:space="preserve"> </w:t>
      </w:r>
      <w:r w:rsidRPr="00E73291">
        <w:rPr>
          <w:rFonts w:ascii="Times New Roman" w:hAnsi="Times New Roman" w:cs="Times New Roman"/>
          <w:bCs/>
          <w:i/>
          <w:iCs/>
        </w:rPr>
        <w:t>Tshuma</w:t>
      </w:r>
      <w:r w:rsidRPr="006C57B1">
        <w:rPr>
          <w:rFonts w:ascii="Times New Roman" w:hAnsi="Times New Roman" w:cs="Times New Roman"/>
          <w:bCs/>
        </w:rPr>
        <w:t xml:space="preserve"> argued that this court does not </w:t>
      </w:r>
      <w:r w:rsidR="003D02C2" w:rsidRPr="006C57B1">
        <w:rPr>
          <w:rFonts w:ascii="Times New Roman" w:hAnsi="Times New Roman" w:cs="Times New Roman"/>
          <w:bCs/>
        </w:rPr>
        <w:t>have jurisdiction</w:t>
      </w:r>
      <w:r w:rsidR="00701E72" w:rsidRPr="006C57B1">
        <w:rPr>
          <w:rFonts w:ascii="Times New Roman" w:hAnsi="Times New Roman" w:cs="Times New Roman"/>
          <w:bCs/>
        </w:rPr>
        <w:t xml:space="preserve"> to hear the present application</w:t>
      </w:r>
      <w:r w:rsidR="00B817F1">
        <w:rPr>
          <w:rFonts w:ascii="Times New Roman" w:hAnsi="Times New Roman" w:cs="Times New Roman"/>
          <w:bCs/>
        </w:rPr>
        <w:t>,</w:t>
      </w:r>
      <w:r w:rsidR="00701E72" w:rsidRPr="006C57B1">
        <w:rPr>
          <w:rFonts w:ascii="Times New Roman" w:hAnsi="Times New Roman" w:cs="Times New Roman"/>
          <w:bCs/>
        </w:rPr>
        <w:t xml:space="preserve"> which</w:t>
      </w:r>
      <w:r w:rsidR="00B817F1">
        <w:rPr>
          <w:rFonts w:ascii="Times New Roman" w:hAnsi="Times New Roman" w:cs="Times New Roman"/>
          <w:bCs/>
        </w:rPr>
        <w:t>,</w:t>
      </w:r>
      <w:r w:rsidR="00701E72" w:rsidRPr="006C57B1">
        <w:rPr>
          <w:rFonts w:ascii="Times New Roman" w:hAnsi="Times New Roman" w:cs="Times New Roman"/>
          <w:bCs/>
        </w:rPr>
        <w:t xml:space="preserve"> according to </w:t>
      </w:r>
      <w:r w:rsidR="00701E72" w:rsidRPr="00E73291">
        <w:rPr>
          <w:rFonts w:ascii="Times New Roman" w:hAnsi="Times New Roman" w:cs="Times New Roman"/>
          <w:bCs/>
          <w:i/>
          <w:iCs/>
        </w:rPr>
        <w:t>Adv</w:t>
      </w:r>
      <w:r w:rsidR="00E73291" w:rsidRPr="00E73291">
        <w:rPr>
          <w:rFonts w:ascii="Times New Roman" w:hAnsi="Times New Roman" w:cs="Times New Roman"/>
          <w:bCs/>
          <w:i/>
          <w:iCs/>
        </w:rPr>
        <w:t>ocate</w:t>
      </w:r>
      <w:r w:rsidR="00701E72" w:rsidRPr="00E73291">
        <w:rPr>
          <w:rFonts w:ascii="Times New Roman" w:hAnsi="Times New Roman" w:cs="Times New Roman"/>
          <w:bCs/>
          <w:i/>
          <w:iCs/>
        </w:rPr>
        <w:t xml:space="preserve"> Tshuma</w:t>
      </w:r>
      <w:r w:rsidR="00701E72" w:rsidRPr="006C57B1">
        <w:rPr>
          <w:rFonts w:ascii="Times New Roman" w:hAnsi="Times New Roman" w:cs="Times New Roman"/>
          <w:bCs/>
        </w:rPr>
        <w:t xml:space="preserve">, is lodged in terms of </w:t>
      </w:r>
      <w:r w:rsidR="00E73291">
        <w:rPr>
          <w:rFonts w:ascii="Times New Roman" w:hAnsi="Times New Roman" w:cs="Times New Roman"/>
          <w:bCs/>
        </w:rPr>
        <w:t>s</w:t>
      </w:r>
      <w:r w:rsidR="00701E72" w:rsidRPr="006C57B1">
        <w:rPr>
          <w:rFonts w:ascii="Times New Roman" w:hAnsi="Times New Roman" w:cs="Times New Roman"/>
          <w:bCs/>
        </w:rPr>
        <w:t xml:space="preserve"> 31 </w:t>
      </w:r>
      <w:r w:rsidR="00046327" w:rsidRPr="006C57B1">
        <w:rPr>
          <w:rFonts w:ascii="Times New Roman" w:hAnsi="Times New Roman" w:cs="Times New Roman"/>
          <w:bCs/>
        </w:rPr>
        <w:t>of the Mines and Minerals Act.</w:t>
      </w:r>
      <w:r w:rsidR="00BC1194" w:rsidRPr="006C57B1">
        <w:rPr>
          <w:rFonts w:ascii="Times New Roman" w:hAnsi="Times New Roman" w:cs="Times New Roman"/>
          <w:bCs/>
        </w:rPr>
        <w:t xml:space="preserve"> He further contended that </w:t>
      </w:r>
      <w:r w:rsidR="00B56EF1" w:rsidRPr="006C57B1">
        <w:rPr>
          <w:rFonts w:ascii="Times New Roman" w:hAnsi="Times New Roman" w:cs="Times New Roman"/>
          <w:bCs/>
        </w:rPr>
        <w:t xml:space="preserve">once the application is made in terms of </w:t>
      </w:r>
      <w:r w:rsidR="00E73291">
        <w:rPr>
          <w:rFonts w:ascii="Times New Roman" w:hAnsi="Times New Roman" w:cs="Times New Roman"/>
          <w:bCs/>
        </w:rPr>
        <w:t xml:space="preserve">s </w:t>
      </w:r>
      <w:r w:rsidR="00B56EF1" w:rsidRPr="006C57B1">
        <w:rPr>
          <w:rFonts w:ascii="Times New Roman" w:hAnsi="Times New Roman" w:cs="Times New Roman"/>
          <w:bCs/>
        </w:rPr>
        <w:t xml:space="preserve">31 of the Mines and Minerals Act, </w:t>
      </w:r>
      <w:r w:rsidR="00E73291">
        <w:rPr>
          <w:rFonts w:ascii="Times New Roman" w:hAnsi="Times New Roman" w:cs="Times New Roman"/>
          <w:bCs/>
        </w:rPr>
        <w:t>s</w:t>
      </w:r>
      <w:r w:rsidR="00B56EF1" w:rsidRPr="006C57B1">
        <w:rPr>
          <w:rFonts w:ascii="Times New Roman" w:hAnsi="Times New Roman" w:cs="Times New Roman"/>
          <w:bCs/>
        </w:rPr>
        <w:t xml:space="preserve"> 32 of the Mines and Minerals Act becomes applicable. In terms of</w:t>
      </w:r>
      <w:r w:rsidR="00E73291">
        <w:rPr>
          <w:rFonts w:ascii="Times New Roman" w:hAnsi="Times New Roman" w:cs="Times New Roman"/>
          <w:bCs/>
        </w:rPr>
        <w:t xml:space="preserve"> s</w:t>
      </w:r>
      <w:r w:rsidR="00B56EF1" w:rsidRPr="006C57B1">
        <w:rPr>
          <w:rFonts w:ascii="Times New Roman" w:hAnsi="Times New Roman" w:cs="Times New Roman"/>
          <w:bCs/>
        </w:rPr>
        <w:t xml:space="preserve"> 32 of the Mines and Minerals Act, only </w:t>
      </w:r>
      <w:r w:rsidR="007109AF">
        <w:rPr>
          <w:rFonts w:ascii="Times New Roman" w:hAnsi="Times New Roman" w:cs="Times New Roman"/>
          <w:bCs/>
        </w:rPr>
        <w:t xml:space="preserve">the </w:t>
      </w:r>
      <w:r w:rsidR="00B56EF1" w:rsidRPr="006C57B1">
        <w:rPr>
          <w:rFonts w:ascii="Times New Roman" w:hAnsi="Times New Roman" w:cs="Times New Roman"/>
          <w:bCs/>
        </w:rPr>
        <w:t xml:space="preserve">Administrative Court does have jurisdiction to hear such matters arising from </w:t>
      </w:r>
      <w:r w:rsidR="00E73291">
        <w:rPr>
          <w:rFonts w:ascii="Times New Roman" w:hAnsi="Times New Roman" w:cs="Times New Roman"/>
          <w:bCs/>
        </w:rPr>
        <w:t>s</w:t>
      </w:r>
      <w:r w:rsidR="00B56EF1" w:rsidRPr="006C57B1">
        <w:rPr>
          <w:rFonts w:ascii="Times New Roman" w:hAnsi="Times New Roman" w:cs="Times New Roman"/>
          <w:bCs/>
        </w:rPr>
        <w:t xml:space="preserve"> 31 of the Mines and Minerals Act. For this reason, Adv Tshuma argued that the High Court does not have jurisdiction to hear the present application.</w:t>
      </w:r>
      <w:r w:rsidR="00546923" w:rsidRPr="006C57B1">
        <w:rPr>
          <w:rFonts w:ascii="Times New Roman" w:hAnsi="Times New Roman" w:cs="Times New Roman"/>
          <w:bCs/>
        </w:rPr>
        <w:t xml:space="preserve"> He referred the court to the case </w:t>
      </w:r>
      <w:r w:rsidR="00546923" w:rsidRPr="007109AF">
        <w:rPr>
          <w:rFonts w:ascii="Times New Roman" w:hAnsi="Times New Roman" w:cs="Times New Roman"/>
          <w:bCs/>
          <w:i/>
        </w:rPr>
        <w:t>of</w:t>
      </w:r>
      <w:r w:rsidR="00EE27BF" w:rsidRPr="007109AF">
        <w:rPr>
          <w:rFonts w:ascii="Times New Roman" w:hAnsi="Times New Roman" w:cs="Times New Roman"/>
          <w:bCs/>
          <w:i/>
        </w:rPr>
        <w:t xml:space="preserve"> Retinue Stars Investments (Pvt) Ltd </w:t>
      </w:r>
      <w:r w:rsidR="007109AF" w:rsidRPr="00E73291">
        <w:rPr>
          <w:rFonts w:ascii="Times New Roman" w:hAnsi="Times New Roman" w:cs="Times New Roman"/>
          <w:bCs/>
          <w:iCs/>
        </w:rPr>
        <w:t>v</w:t>
      </w:r>
      <w:r w:rsidR="00EE27BF" w:rsidRPr="007109AF">
        <w:rPr>
          <w:rFonts w:ascii="Times New Roman" w:hAnsi="Times New Roman" w:cs="Times New Roman"/>
          <w:bCs/>
          <w:i/>
        </w:rPr>
        <w:t xml:space="preserve"> Olympus Gold Zimbabwe Ltd and Ors</w:t>
      </w:r>
      <w:r w:rsidR="00EE27BF" w:rsidRPr="00A81423">
        <w:rPr>
          <w:rStyle w:val="FootnoteReference"/>
          <w:rFonts w:ascii="Times New Roman" w:hAnsi="Times New Roman" w:cs="Times New Roman"/>
          <w:bCs/>
        </w:rPr>
        <w:footnoteReference w:id="1"/>
      </w:r>
      <w:r w:rsidR="00EE27BF" w:rsidRPr="006C57B1">
        <w:rPr>
          <w:rFonts w:ascii="Times New Roman" w:hAnsi="Times New Roman" w:cs="Times New Roman"/>
          <w:bCs/>
        </w:rPr>
        <w:t>. He urged the court to strike the application from the roll on this basis.</w:t>
      </w:r>
    </w:p>
    <w:p w14:paraId="1BEF415A" w14:textId="177B87AD" w:rsidR="00162277" w:rsidRPr="00E73291" w:rsidRDefault="00031BE3" w:rsidP="00E73291">
      <w:pPr>
        <w:spacing w:after="0" w:line="360" w:lineRule="auto"/>
        <w:ind w:firstLine="720"/>
        <w:jc w:val="both"/>
        <w:rPr>
          <w:rFonts w:ascii="Times New Roman" w:hAnsi="Times New Roman" w:cs="Times New Roman"/>
          <w:bCs/>
        </w:rPr>
      </w:pPr>
      <w:r w:rsidRPr="006C57B1">
        <w:rPr>
          <w:rFonts w:ascii="Times New Roman" w:hAnsi="Times New Roman" w:cs="Times New Roman"/>
          <w:bCs/>
        </w:rPr>
        <w:t xml:space="preserve">Responding </w:t>
      </w:r>
      <w:r w:rsidR="003D02C2" w:rsidRPr="006C57B1">
        <w:rPr>
          <w:rFonts w:ascii="Times New Roman" w:hAnsi="Times New Roman" w:cs="Times New Roman"/>
          <w:bCs/>
        </w:rPr>
        <w:t>to the</w:t>
      </w:r>
      <w:r w:rsidR="008161F9" w:rsidRPr="006C57B1">
        <w:rPr>
          <w:rFonts w:ascii="Times New Roman" w:hAnsi="Times New Roman" w:cs="Times New Roman"/>
          <w:bCs/>
        </w:rPr>
        <w:t xml:space="preserve"> </w:t>
      </w:r>
      <w:r w:rsidRPr="006C57B1">
        <w:rPr>
          <w:rFonts w:ascii="Times New Roman" w:hAnsi="Times New Roman" w:cs="Times New Roman"/>
          <w:bCs/>
        </w:rPr>
        <w:t xml:space="preserve">point </w:t>
      </w:r>
      <w:r w:rsidRPr="006C57B1">
        <w:rPr>
          <w:rFonts w:ascii="Times New Roman" w:hAnsi="Times New Roman" w:cs="Times New Roman"/>
          <w:bCs/>
          <w:i/>
          <w:iCs/>
        </w:rPr>
        <w:t>in limine</w:t>
      </w:r>
      <w:r w:rsidR="008161F9" w:rsidRPr="006C57B1">
        <w:rPr>
          <w:rFonts w:ascii="Times New Roman" w:hAnsi="Times New Roman" w:cs="Times New Roman"/>
          <w:bCs/>
        </w:rPr>
        <w:t xml:space="preserve"> of jurisdiction,</w:t>
      </w:r>
      <w:r w:rsidRPr="006C57B1">
        <w:rPr>
          <w:rFonts w:ascii="Times New Roman" w:hAnsi="Times New Roman" w:cs="Times New Roman"/>
          <w:bCs/>
        </w:rPr>
        <w:t xml:space="preserve"> </w:t>
      </w:r>
      <w:r w:rsidRPr="00E73291">
        <w:rPr>
          <w:rFonts w:ascii="Times New Roman" w:hAnsi="Times New Roman" w:cs="Times New Roman"/>
          <w:bCs/>
          <w:i/>
          <w:iCs/>
        </w:rPr>
        <w:t>Adv</w:t>
      </w:r>
      <w:r w:rsidR="00E73291" w:rsidRPr="00E73291">
        <w:rPr>
          <w:rFonts w:ascii="Times New Roman" w:hAnsi="Times New Roman" w:cs="Times New Roman"/>
          <w:bCs/>
          <w:i/>
          <w:iCs/>
        </w:rPr>
        <w:t>ocate</w:t>
      </w:r>
      <w:r w:rsidRPr="00E73291">
        <w:rPr>
          <w:rFonts w:ascii="Times New Roman" w:hAnsi="Times New Roman" w:cs="Times New Roman"/>
          <w:bCs/>
          <w:i/>
          <w:iCs/>
        </w:rPr>
        <w:t xml:space="preserve"> Tivadar</w:t>
      </w:r>
      <w:r w:rsidRPr="006C57B1">
        <w:rPr>
          <w:rFonts w:ascii="Times New Roman" w:hAnsi="Times New Roman" w:cs="Times New Roman"/>
          <w:bCs/>
        </w:rPr>
        <w:t xml:space="preserve"> expressed his surprise at the </w:t>
      </w:r>
      <w:r w:rsidR="007109AF">
        <w:rPr>
          <w:rFonts w:ascii="Times New Roman" w:hAnsi="Times New Roman" w:cs="Times New Roman"/>
          <w:bCs/>
        </w:rPr>
        <w:t>last-minute</w:t>
      </w:r>
      <w:r w:rsidRPr="006C57B1">
        <w:rPr>
          <w:rFonts w:ascii="Times New Roman" w:hAnsi="Times New Roman" w:cs="Times New Roman"/>
          <w:bCs/>
        </w:rPr>
        <w:t xml:space="preserve"> attempt </w:t>
      </w:r>
      <w:r w:rsidR="00FE3409" w:rsidRPr="006C57B1">
        <w:rPr>
          <w:rFonts w:ascii="Times New Roman" w:hAnsi="Times New Roman" w:cs="Times New Roman"/>
          <w:bCs/>
        </w:rPr>
        <w:t xml:space="preserve">to smuggle the point </w:t>
      </w:r>
      <w:r w:rsidR="00FE3409" w:rsidRPr="006C57B1">
        <w:rPr>
          <w:rFonts w:ascii="Times New Roman" w:hAnsi="Times New Roman" w:cs="Times New Roman"/>
          <w:bCs/>
          <w:i/>
          <w:iCs/>
        </w:rPr>
        <w:t>in limine</w:t>
      </w:r>
      <w:r w:rsidR="00FE3409" w:rsidRPr="006C57B1">
        <w:rPr>
          <w:rFonts w:ascii="Times New Roman" w:hAnsi="Times New Roman" w:cs="Times New Roman"/>
          <w:bCs/>
        </w:rPr>
        <w:t xml:space="preserve"> of jurisdiction</w:t>
      </w:r>
      <w:r w:rsidR="007109AF">
        <w:rPr>
          <w:rFonts w:ascii="Times New Roman" w:hAnsi="Times New Roman" w:cs="Times New Roman"/>
          <w:bCs/>
        </w:rPr>
        <w:t>,</w:t>
      </w:r>
      <w:r w:rsidR="00FE3409" w:rsidRPr="006C57B1">
        <w:rPr>
          <w:rFonts w:ascii="Times New Roman" w:hAnsi="Times New Roman" w:cs="Times New Roman"/>
          <w:bCs/>
        </w:rPr>
        <w:t xml:space="preserve"> which was never part of the original points </w:t>
      </w:r>
      <w:r w:rsidR="00FE3409" w:rsidRPr="006C57B1">
        <w:rPr>
          <w:rFonts w:ascii="Times New Roman" w:hAnsi="Times New Roman" w:cs="Times New Roman"/>
          <w:bCs/>
          <w:i/>
          <w:iCs/>
        </w:rPr>
        <w:t>in limine</w:t>
      </w:r>
      <w:r w:rsidR="00FE3409" w:rsidRPr="006C57B1">
        <w:rPr>
          <w:rFonts w:ascii="Times New Roman" w:hAnsi="Times New Roman" w:cs="Times New Roman"/>
          <w:bCs/>
        </w:rPr>
        <w:t xml:space="preserve">. He argued that the point </w:t>
      </w:r>
      <w:r w:rsidR="00FE3409" w:rsidRPr="006C57B1">
        <w:rPr>
          <w:rFonts w:ascii="Times New Roman" w:hAnsi="Times New Roman" w:cs="Times New Roman"/>
          <w:bCs/>
          <w:i/>
          <w:iCs/>
        </w:rPr>
        <w:t>in limine</w:t>
      </w:r>
      <w:r w:rsidR="00FE3409" w:rsidRPr="006C57B1">
        <w:rPr>
          <w:rFonts w:ascii="Times New Roman" w:hAnsi="Times New Roman" w:cs="Times New Roman"/>
          <w:bCs/>
        </w:rPr>
        <w:t xml:space="preserve"> is not merited and hence must be dismissed. He </w:t>
      </w:r>
      <w:r w:rsidR="00162277" w:rsidRPr="006C57B1">
        <w:rPr>
          <w:rFonts w:ascii="Times New Roman" w:hAnsi="Times New Roman" w:cs="Times New Roman"/>
          <w:bCs/>
        </w:rPr>
        <w:t xml:space="preserve">further </w:t>
      </w:r>
      <w:r w:rsidR="00FE3409" w:rsidRPr="006C57B1">
        <w:rPr>
          <w:rFonts w:ascii="Times New Roman" w:hAnsi="Times New Roman" w:cs="Times New Roman"/>
          <w:bCs/>
        </w:rPr>
        <w:t xml:space="preserve">argued that </w:t>
      </w:r>
      <w:r w:rsidR="00E73291">
        <w:rPr>
          <w:rFonts w:ascii="Times New Roman" w:hAnsi="Times New Roman" w:cs="Times New Roman"/>
          <w:bCs/>
        </w:rPr>
        <w:t>s</w:t>
      </w:r>
      <w:r w:rsidR="00FE3409" w:rsidRPr="006C57B1">
        <w:rPr>
          <w:rFonts w:ascii="Times New Roman" w:hAnsi="Times New Roman" w:cs="Times New Roman"/>
          <w:bCs/>
        </w:rPr>
        <w:t xml:space="preserve"> 32 of the Mines and Minerals</w:t>
      </w:r>
      <w:r w:rsidR="0027641E" w:rsidRPr="006C57B1">
        <w:rPr>
          <w:rFonts w:ascii="Times New Roman" w:hAnsi="Times New Roman" w:cs="Times New Roman"/>
          <w:bCs/>
        </w:rPr>
        <w:t xml:space="preserve"> Act is only applicable to the </w:t>
      </w:r>
      <w:r w:rsidR="0027641E" w:rsidRPr="006C57B1">
        <w:rPr>
          <w:rFonts w:ascii="Times New Roman" w:hAnsi="Times New Roman" w:cs="Times New Roman"/>
          <w:bCs/>
        </w:rPr>
        <w:lastRenderedPageBreak/>
        <w:t>prospector and land owner dispute. Thus, he further contended that the present dispute is between two miners.</w:t>
      </w:r>
      <w:r w:rsidR="002E3163" w:rsidRPr="006C57B1">
        <w:rPr>
          <w:rFonts w:ascii="Times New Roman" w:hAnsi="Times New Roman" w:cs="Times New Roman"/>
          <w:bCs/>
        </w:rPr>
        <w:t xml:space="preserve"> </w:t>
      </w:r>
      <w:r w:rsidR="009C2BF4" w:rsidRPr="006C57B1">
        <w:rPr>
          <w:rFonts w:ascii="Times New Roman" w:hAnsi="Times New Roman" w:cs="Times New Roman"/>
          <w:bCs/>
        </w:rPr>
        <w:t xml:space="preserve">For this reason, he submitted that the point </w:t>
      </w:r>
      <w:r w:rsidR="009C2BF4" w:rsidRPr="006C57B1">
        <w:rPr>
          <w:rFonts w:ascii="Times New Roman" w:hAnsi="Times New Roman" w:cs="Times New Roman"/>
          <w:bCs/>
          <w:i/>
          <w:iCs/>
        </w:rPr>
        <w:t>in limine</w:t>
      </w:r>
      <w:r w:rsidR="009C2BF4" w:rsidRPr="006C57B1">
        <w:rPr>
          <w:rFonts w:ascii="Times New Roman" w:hAnsi="Times New Roman" w:cs="Times New Roman"/>
          <w:bCs/>
        </w:rPr>
        <w:t xml:space="preserve"> must be dismissed.</w:t>
      </w:r>
      <w:r w:rsidR="002E3163" w:rsidRPr="006C57B1">
        <w:rPr>
          <w:rFonts w:ascii="Times New Roman" w:hAnsi="Times New Roman" w:cs="Times New Roman"/>
          <w:bCs/>
        </w:rPr>
        <w:t xml:space="preserve"> </w:t>
      </w:r>
      <w:r w:rsidR="002E3163" w:rsidRPr="00E73291">
        <w:rPr>
          <w:rFonts w:ascii="Times New Roman" w:hAnsi="Times New Roman" w:cs="Times New Roman"/>
          <w:bCs/>
          <w:i/>
          <w:iCs/>
        </w:rPr>
        <w:t>Adv</w:t>
      </w:r>
      <w:r w:rsidR="00E73291" w:rsidRPr="00E73291">
        <w:rPr>
          <w:rFonts w:ascii="Times New Roman" w:hAnsi="Times New Roman" w:cs="Times New Roman"/>
          <w:bCs/>
          <w:i/>
          <w:iCs/>
        </w:rPr>
        <w:t>ocate</w:t>
      </w:r>
      <w:r w:rsidR="002E3163" w:rsidRPr="00E73291">
        <w:rPr>
          <w:rFonts w:ascii="Times New Roman" w:hAnsi="Times New Roman" w:cs="Times New Roman"/>
          <w:bCs/>
          <w:i/>
          <w:iCs/>
        </w:rPr>
        <w:t xml:space="preserve"> Tivadar</w:t>
      </w:r>
      <w:r w:rsidR="002E3163" w:rsidRPr="006C57B1">
        <w:rPr>
          <w:rFonts w:ascii="Times New Roman" w:hAnsi="Times New Roman" w:cs="Times New Roman"/>
          <w:bCs/>
        </w:rPr>
        <w:t xml:space="preserve"> also claimed that the Applicant is relying on </w:t>
      </w:r>
      <w:r w:rsidR="00E73291">
        <w:rPr>
          <w:rFonts w:ascii="Times New Roman" w:hAnsi="Times New Roman" w:cs="Times New Roman"/>
          <w:bCs/>
        </w:rPr>
        <w:t>s</w:t>
      </w:r>
      <w:r w:rsidR="003D02C2" w:rsidRPr="006C57B1">
        <w:rPr>
          <w:rFonts w:ascii="Times New Roman" w:hAnsi="Times New Roman" w:cs="Times New Roman"/>
          <w:bCs/>
        </w:rPr>
        <w:t xml:space="preserve"> 177</w:t>
      </w:r>
      <w:r w:rsidR="002E3163" w:rsidRPr="006C57B1">
        <w:rPr>
          <w:rFonts w:ascii="Times New Roman" w:hAnsi="Times New Roman" w:cs="Times New Roman"/>
          <w:bCs/>
        </w:rPr>
        <w:t>(3</w:t>
      </w:r>
      <w:r w:rsidR="003D02C2" w:rsidRPr="006C57B1">
        <w:rPr>
          <w:rFonts w:ascii="Times New Roman" w:hAnsi="Times New Roman" w:cs="Times New Roman"/>
          <w:bCs/>
        </w:rPr>
        <w:t>) of</w:t>
      </w:r>
      <w:r w:rsidR="002E3163" w:rsidRPr="006C57B1">
        <w:rPr>
          <w:rFonts w:ascii="Times New Roman" w:hAnsi="Times New Roman" w:cs="Times New Roman"/>
          <w:bCs/>
        </w:rPr>
        <w:t xml:space="preserve"> the Mines and Minerals Act</w:t>
      </w:r>
      <w:r w:rsidR="00D90BD1" w:rsidRPr="006C57B1">
        <w:rPr>
          <w:rFonts w:ascii="Times New Roman" w:hAnsi="Times New Roman" w:cs="Times New Roman"/>
          <w:bCs/>
        </w:rPr>
        <w:t xml:space="preserve"> for the remedy</w:t>
      </w:r>
      <w:r w:rsidR="002E3163" w:rsidRPr="006C57B1">
        <w:rPr>
          <w:rFonts w:ascii="Times New Roman" w:hAnsi="Times New Roman" w:cs="Times New Roman"/>
          <w:bCs/>
        </w:rPr>
        <w:t>.</w:t>
      </w:r>
      <w:r w:rsidR="00F56B17" w:rsidRPr="006C57B1">
        <w:rPr>
          <w:rFonts w:ascii="Times New Roman" w:hAnsi="Times New Roman" w:cs="Times New Roman"/>
          <w:bCs/>
        </w:rPr>
        <w:t xml:space="preserve"> He referred the court to para 28 of the founding affidavit.</w:t>
      </w:r>
    </w:p>
    <w:p w14:paraId="067E09CE" w14:textId="14FC1119" w:rsidR="001722DB" w:rsidRPr="00E73291" w:rsidRDefault="00720A61" w:rsidP="00E73291">
      <w:pPr>
        <w:spacing w:after="0" w:line="360" w:lineRule="auto"/>
        <w:ind w:firstLine="720"/>
        <w:jc w:val="both"/>
        <w:rPr>
          <w:rFonts w:ascii="Times New Roman" w:hAnsi="Times New Roman" w:cs="Times New Roman"/>
          <w:bCs/>
        </w:rPr>
      </w:pPr>
      <w:r w:rsidRPr="006C57B1">
        <w:rPr>
          <w:rFonts w:ascii="Times New Roman" w:hAnsi="Times New Roman" w:cs="Times New Roman"/>
          <w:bCs/>
        </w:rPr>
        <w:t xml:space="preserve"> </w:t>
      </w:r>
      <w:r w:rsidR="00162277" w:rsidRPr="006C57B1">
        <w:rPr>
          <w:rFonts w:ascii="Times New Roman" w:hAnsi="Times New Roman" w:cs="Times New Roman"/>
          <w:bCs/>
        </w:rPr>
        <w:t>Adv</w:t>
      </w:r>
      <w:r w:rsidR="00E73291">
        <w:rPr>
          <w:rFonts w:ascii="Times New Roman" w:hAnsi="Times New Roman" w:cs="Times New Roman"/>
          <w:bCs/>
        </w:rPr>
        <w:t>ocate</w:t>
      </w:r>
      <w:r w:rsidR="00162277" w:rsidRPr="006C57B1">
        <w:rPr>
          <w:rFonts w:ascii="Times New Roman" w:hAnsi="Times New Roman" w:cs="Times New Roman"/>
          <w:bCs/>
        </w:rPr>
        <w:t xml:space="preserve"> </w:t>
      </w:r>
      <w:r w:rsidR="00162277" w:rsidRPr="00E73291">
        <w:rPr>
          <w:rFonts w:ascii="Times New Roman" w:hAnsi="Times New Roman" w:cs="Times New Roman"/>
          <w:bCs/>
          <w:i/>
          <w:iCs/>
        </w:rPr>
        <w:t>Tivadar</w:t>
      </w:r>
      <w:r w:rsidR="00162277" w:rsidRPr="006C57B1">
        <w:rPr>
          <w:rFonts w:ascii="Times New Roman" w:hAnsi="Times New Roman" w:cs="Times New Roman"/>
          <w:bCs/>
        </w:rPr>
        <w:t xml:space="preserve"> </w:t>
      </w:r>
      <w:r w:rsidRPr="006C57B1">
        <w:rPr>
          <w:rFonts w:ascii="Times New Roman" w:hAnsi="Times New Roman" w:cs="Times New Roman"/>
          <w:bCs/>
        </w:rPr>
        <w:t>further</w:t>
      </w:r>
      <w:r w:rsidR="00B36D34" w:rsidRPr="006C57B1">
        <w:rPr>
          <w:rFonts w:ascii="Times New Roman" w:hAnsi="Times New Roman" w:cs="Times New Roman"/>
          <w:bCs/>
        </w:rPr>
        <w:t xml:space="preserve"> argued that the </w:t>
      </w:r>
      <w:r w:rsidR="00E73291">
        <w:rPr>
          <w:rFonts w:ascii="Times New Roman" w:hAnsi="Times New Roman" w:cs="Times New Roman"/>
          <w:bCs/>
        </w:rPr>
        <w:t>first</w:t>
      </w:r>
      <w:r w:rsidR="00B36D34" w:rsidRPr="006C57B1">
        <w:rPr>
          <w:rFonts w:ascii="Times New Roman" w:hAnsi="Times New Roman" w:cs="Times New Roman"/>
          <w:bCs/>
        </w:rPr>
        <w:t xml:space="preserve"> Respondent consented to the order </w:t>
      </w:r>
      <w:r w:rsidR="00707269" w:rsidRPr="006C57B1">
        <w:rPr>
          <w:rFonts w:ascii="Times New Roman" w:hAnsi="Times New Roman" w:cs="Times New Roman"/>
          <w:bCs/>
        </w:rPr>
        <w:t xml:space="preserve">that </w:t>
      </w:r>
      <w:r w:rsidR="00B36D34" w:rsidRPr="006C57B1">
        <w:rPr>
          <w:rFonts w:ascii="Times New Roman" w:hAnsi="Times New Roman" w:cs="Times New Roman"/>
          <w:bCs/>
        </w:rPr>
        <w:t xml:space="preserve">the </w:t>
      </w:r>
      <w:r w:rsidR="00707269" w:rsidRPr="006C57B1">
        <w:rPr>
          <w:rFonts w:ascii="Times New Roman" w:hAnsi="Times New Roman" w:cs="Times New Roman"/>
          <w:bCs/>
        </w:rPr>
        <w:t xml:space="preserve">Secretary for Mines and Mining Development </w:t>
      </w:r>
      <w:r w:rsidR="00B36D34" w:rsidRPr="006C57B1">
        <w:rPr>
          <w:rFonts w:ascii="Times New Roman" w:hAnsi="Times New Roman" w:cs="Times New Roman"/>
          <w:bCs/>
        </w:rPr>
        <w:t xml:space="preserve">must produce a report for the court. By consenting to the order, </w:t>
      </w:r>
      <w:r w:rsidR="00B36D34" w:rsidRPr="00E73291">
        <w:rPr>
          <w:rFonts w:ascii="Times New Roman" w:hAnsi="Times New Roman" w:cs="Times New Roman"/>
          <w:bCs/>
          <w:i/>
          <w:iCs/>
        </w:rPr>
        <w:t>Adv</w:t>
      </w:r>
      <w:r w:rsidR="00E73291" w:rsidRPr="00E73291">
        <w:rPr>
          <w:rFonts w:ascii="Times New Roman" w:hAnsi="Times New Roman" w:cs="Times New Roman"/>
          <w:bCs/>
          <w:i/>
          <w:iCs/>
        </w:rPr>
        <w:t>ocate</w:t>
      </w:r>
      <w:r w:rsidR="00B36D34" w:rsidRPr="00E73291">
        <w:rPr>
          <w:rFonts w:ascii="Times New Roman" w:hAnsi="Times New Roman" w:cs="Times New Roman"/>
          <w:bCs/>
          <w:i/>
          <w:iCs/>
        </w:rPr>
        <w:t xml:space="preserve"> Tivadar</w:t>
      </w:r>
      <w:r w:rsidR="00B36D34" w:rsidRPr="006C57B1">
        <w:rPr>
          <w:rFonts w:ascii="Times New Roman" w:hAnsi="Times New Roman" w:cs="Times New Roman"/>
          <w:bCs/>
        </w:rPr>
        <w:t xml:space="preserve"> contended that the </w:t>
      </w:r>
      <w:r w:rsidR="00E73291">
        <w:rPr>
          <w:rFonts w:ascii="Times New Roman" w:hAnsi="Times New Roman" w:cs="Times New Roman"/>
          <w:bCs/>
        </w:rPr>
        <w:t>first</w:t>
      </w:r>
      <w:r w:rsidR="00B36D34" w:rsidRPr="006C57B1">
        <w:rPr>
          <w:rFonts w:ascii="Times New Roman" w:hAnsi="Times New Roman" w:cs="Times New Roman"/>
          <w:bCs/>
        </w:rPr>
        <w:t xml:space="preserve"> Respondent submitted to the jurisdiction of this court.</w:t>
      </w:r>
      <w:r w:rsidR="00CA54A5" w:rsidRPr="006C57B1">
        <w:rPr>
          <w:rFonts w:ascii="Times New Roman" w:hAnsi="Times New Roman" w:cs="Times New Roman"/>
          <w:bCs/>
        </w:rPr>
        <w:t xml:space="preserve"> He argued that the case of Retinue Stars Investments (</w:t>
      </w:r>
      <w:r w:rsidR="003D02C2" w:rsidRPr="006C57B1">
        <w:rPr>
          <w:rFonts w:ascii="Times New Roman" w:hAnsi="Times New Roman" w:cs="Times New Roman"/>
          <w:bCs/>
        </w:rPr>
        <w:t>Pvt) Ltd</w:t>
      </w:r>
      <w:r w:rsidR="00CA54A5" w:rsidRPr="006C57B1">
        <w:rPr>
          <w:rFonts w:ascii="Times New Roman" w:hAnsi="Times New Roman" w:cs="Times New Roman"/>
          <w:bCs/>
        </w:rPr>
        <w:t xml:space="preserve"> </w:t>
      </w:r>
      <w:r w:rsidR="00CA54A5" w:rsidRPr="006C57B1">
        <w:rPr>
          <w:rFonts w:ascii="Times New Roman" w:hAnsi="Times New Roman" w:cs="Times New Roman"/>
          <w:bCs/>
          <w:i/>
          <w:iCs/>
        </w:rPr>
        <w:t xml:space="preserve">supra </w:t>
      </w:r>
      <w:r w:rsidR="00CA54A5" w:rsidRPr="006C57B1">
        <w:rPr>
          <w:rFonts w:ascii="Times New Roman" w:hAnsi="Times New Roman" w:cs="Times New Roman"/>
          <w:bCs/>
        </w:rPr>
        <w:t>can be distinguished from the present application.</w:t>
      </w:r>
    </w:p>
    <w:p w14:paraId="3AB30E60" w14:textId="7767AA73" w:rsidR="003560D8" w:rsidRPr="00124849" w:rsidRDefault="007E79C2" w:rsidP="00124849">
      <w:pPr>
        <w:spacing w:line="360" w:lineRule="auto"/>
        <w:ind w:firstLine="720"/>
        <w:jc w:val="both"/>
        <w:rPr>
          <w:rFonts w:ascii="Times New Roman" w:hAnsi="Times New Roman" w:cs="Times New Roman"/>
          <w:bCs/>
        </w:rPr>
      </w:pPr>
      <w:r w:rsidRPr="006C57B1">
        <w:rPr>
          <w:rFonts w:ascii="Times New Roman" w:hAnsi="Times New Roman" w:cs="Times New Roman"/>
          <w:bCs/>
        </w:rPr>
        <w:t xml:space="preserve">It is apparent </w:t>
      </w:r>
      <w:r w:rsidR="00E0760B" w:rsidRPr="006C57B1">
        <w:rPr>
          <w:rFonts w:ascii="Times New Roman" w:hAnsi="Times New Roman" w:cs="Times New Roman"/>
          <w:bCs/>
        </w:rPr>
        <w:t>that</w:t>
      </w:r>
      <w:r w:rsidR="00C11D6E" w:rsidRPr="006C57B1">
        <w:rPr>
          <w:rFonts w:ascii="Times New Roman" w:hAnsi="Times New Roman" w:cs="Times New Roman"/>
          <w:bCs/>
        </w:rPr>
        <w:t xml:space="preserve"> </w:t>
      </w:r>
      <w:r w:rsidR="003D02C2" w:rsidRPr="006C57B1">
        <w:rPr>
          <w:rFonts w:ascii="Times New Roman" w:hAnsi="Times New Roman" w:cs="Times New Roman"/>
          <w:bCs/>
        </w:rPr>
        <w:t>the case</w:t>
      </w:r>
      <w:r w:rsidR="00E22E02" w:rsidRPr="006C57B1">
        <w:rPr>
          <w:rFonts w:ascii="Times New Roman" w:hAnsi="Times New Roman" w:cs="Times New Roman"/>
          <w:bCs/>
        </w:rPr>
        <w:t xml:space="preserve"> of </w:t>
      </w:r>
      <w:r w:rsidR="00E22E02" w:rsidRPr="00E73291">
        <w:rPr>
          <w:rFonts w:ascii="Times New Roman" w:hAnsi="Times New Roman" w:cs="Times New Roman"/>
          <w:bCs/>
          <w:i/>
          <w:iCs/>
        </w:rPr>
        <w:t>Retinue Stars Investments (Pvt) Ltd</w:t>
      </w:r>
      <w:r w:rsidR="00E22E02" w:rsidRPr="006C57B1">
        <w:rPr>
          <w:rFonts w:ascii="Times New Roman" w:hAnsi="Times New Roman" w:cs="Times New Roman"/>
          <w:bCs/>
        </w:rPr>
        <w:t xml:space="preserve"> v </w:t>
      </w:r>
      <w:r w:rsidR="00E22E02" w:rsidRPr="00E73291">
        <w:rPr>
          <w:rFonts w:ascii="Times New Roman" w:hAnsi="Times New Roman" w:cs="Times New Roman"/>
          <w:bCs/>
          <w:i/>
          <w:iCs/>
        </w:rPr>
        <w:t>Olympus Gold</w:t>
      </w:r>
      <w:r w:rsidR="00E22E02" w:rsidRPr="006C57B1">
        <w:rPr>
          <w:rFonts w:ascii="Times New Roman" w:hAnsi="Times New Roman" w:cs="Times New Roman"/>
          <w:bCs/>
        </w:rPr>
        <w:t xml:space="preserve"> </w:t>
      </w:r>
      <w:r w:rsidR="00E22E02" w:rsidRPr="00E73291">
        <w:rPr>
          <w:rFonts w:ascii="Times New Roman" w:hAnsi="Times New Roman" w:cs="Times New Roman"/>
          <w:bCs/>
          <w:i/>
          <w:iCs/>
        </w:rPr>
        <w:t>Zimbabwe (Pvt) Ltd</w:t>
      </w:r>
      <w:r w:rsidR="00E22E02" w:rsidRPr="006C57B1">
        <w:rPr>
          <w:rFonts w:ascii="Times New Roman" w:hAnsi="Times New Roman" w:cs="Times New Roman"/>
          <w:bCs/>
        </w:rPr>
        <w:t xml:space="preserve"> </w:t>
      </w:r>
      <w:r w:rsidR="00E22E02" w:rsidRPr="006C57B1">
        <w:rPr>
          <w:rFonts w:ascii="Times New Roman" w:hAnsi="Times New Roman" w:cs="Times New Roman"/>
          <w:bCs/>
          <w:i/>
          <w:iCs/>
        </w:rPr>
        <w:t>supra</w:t>
      </w:r>
      <w:r w:rsidR="007109AF">
        <w:rPr>
          <w:rFonts w:ascii="Times New Roman" w:hAnsi="Times New Roman" w:cs="Times New Roman"/>
          <w:bCs/>
        </w:rPr>
        <w:t xml:space="preserve"> </w:t>
      </w:r>
      <w:r w:rsidR="00E22E02" w:rsidRPr="006C57B1">
        <w:rPr>
          <w:rFonts w:ascii="Times New Roman" w:hAnsi="Times New Roman" w:cs="Times New Roman"/>
          <w:bCs/>
        </w:rPr>
        <w:t>is dealing with the dispute between the land owner and</w:t>
      </w:r>
      <w:r w:rsidR="00014BB2" w:rsidRPr="006C57B1">
        <w:rPr>
          <w:rFonts w:ascii="Times New Roman" w:hAnsi="Times New Roman" w:cs="Times New Roman"/>
          <w:bCs/>
        </w:rPr>
        <w:t xml:space="preserve"> the prospector.</w:t>
      </w:r>
      <w:r w:rsidR="0047490A" w:rsidRPr="006C57B1">
        <w:rPr>
          <w:rFonts w:ascii="Times New Roman" w:hAnsi="Times New Roman" w:cs="Times New Roman"/>
          <w:bCs/>
        </w:rPr>
        <w:t xml:space="preserve"> Reference is made to para</w:t>
      </w:r>
      <w:r w:rsidR="00E73291">
        <w:rPr>
          <w:rFonts w:ascii="Times New Roman" w:hAnsi="Times New Roman" w:cs="Times New Roman"/>
          <w:bCs/>
        </w:rPr>
        <w:t>(</w:t>
      </w:r>
      <w:r w:rsidR="00713956" w:rsidRPr="006C57B1">
        <w:rPr>
          <w:rFonts w:ascii="Times New Roman" w:hAnsi="Times New Roman" w:cs="Times New Roman"/>
          <w:bCs/>
        </w:rPr>
        <w:t>s</w:t>
      </w:r>
      <w:r w:rsidR="00E73291">
        <w:rPr>
          <w:rFonts w:ascii="Times New Roman" w:hAnsi="Times New Roman" w:cs="Times New Roman"/>
          <w:bCs/>
        </w:rPr>
        <w:t>)</w:t>
      </w:r>
      <w:r w:rsidR="00713956" w:rsidRPr="006C57B1">
        <w:rPr>
          <w:rFonts w:ascii="Times New Roman" w:hAnsi="Times New Roman" w:cs="Times New Roman"/>
          <w:bCs/>
        </w:rPr>
        <w:t xml:space="preserve"> 3 </w:t>
      </w:r>
      <w:r w:rsidR="003D02C2" w:rsidRPr="006C57B1">
        <w:rPr>
          <w:rFonts w:ascii="Times New Roman" w:hAnsi="Times New Roman" w:cs="Times New Roman"/>
          <w:bCs/>
        </w:rPr>
        <w:t>and 33</w:t>
      </w:r>
      <w:r w:rsidR="0047490A" w:rsidRPr="006C57B1">
        <w:rPr>
          <w:rFonts w:ascii="Times New Roman" w:hAnsi="Times New Roman" w:cs="Times New Roman"/>
          <w:bCs/>
        </w:rPr>
        <w:t xml:space="preserve"> of the case of </w:t>
      </w:r>
      <w:r w:rsidR="0047490A" w:rsidRPr="00124849">
        <w:rPr>
          <w:rFonts w:ascii="Times New Roman" w:hAnsi="Times New Roman" w:cs="Times New Roman"/>
          <w:bCs/>
          <w:i/>
          <w:iCs/>
        </w:rPr>
        <w:t>Retinue Stars Investments (Pvt) Ltd</w:t>
      </w:r>
      <w:r w:rsidR="0047490A" w:rsidRPr="006C57B1">
        <w:rPr>
          <w:rFonts w:ascii="Times New Roman" w:hAnsi="Times New Roman" w:cs="Times New Roman"/>
          <w:bCs/>
        </w:rPr>
        <w:t xml:space="preserve"> </w:t>
      </w:r>
      <w:r w:rsidR="00124849">
        <w:rPr>
          <w:rFonts w:ascii="Times New Roman" w:hAnsi="Times New Roman" w:cs="Times New Roman"/>
          <w:bCs/>
        </w:rPr>
        <w:t>v</w:t>
      </w:r>
      <w:r w:rsidR="0047490A" w:rsidRPr="006C57B1">
        <w:rPr>
          <w:rFonts w:ascii="Times New Roman" w:hAnsi="Times New Roman" w:cs="Times New Roman"/>
          <w:bCs/>
        </w:rPr>
        <w:t xml:space="preserve"> </w:t>
      </w:r>
      <w:r w:rsidR="0047490A" w:rsidRPr="00124849">
        <w:rPr>
          <w:rFonts w:ascii="Times New Roman" w:hAnsi="Times New Roman" w:cs="Times New Roman"/>
          <w:bCs/>
          <w:i/>
          <w:iCs/>
        </w:rPr>
        <w:t>Olympus Gold Zimbabwe Ltd</w:t>
      </w:r>
      <w:r w:rsidR="0047490A" w:rsidRPr="006C57B1">
        <w:rPr>
          <w:rFonts w:ascii="Times New Roman" w:hAnsi="Times New Roman" w:cs="Times New Roman"/>
          <w:bCs/>
        </w:rPr>
        <w:t xml:space="preserve"> </w:t>
      </w:r>
      <w:r w:rsidR="0047490A" w:rsidRPr="006C57B1">
        <w:rPr>
          <w:rFonts w:ascii="Times New Roman" w:hAnsi="Times New Roman" w:cs="Times New Roman"/>
          <w:bCs/>
          <w:i/>
          <w:iCs/>
        </w:rPr>
        <w:t>supra</w:t>
      </w:r>
      <w:r w:rsidR="0047490A" w:rsidRPr="006C57B1">
        <w:rPr>
          <w:rFonts w:ascii="Times New Roman" w:hAnsi="Times New Roman" w:cs="Times New Roman"/>
          <w:bCs/>
        </w:rPr>
        <w:t>.</w:t>
      </w:r>
      <w:r w:rsidR="00162277" w:rsidRPr="006C57B1">
        <w:rPr>
          <w:rFonts w:ascii="Times New Roman" w:hAnsi="Times New Roman" w:cs="Times New Roman"/>
          <w:bCs/>
        </w:rPr>
        <w:t xml:space="preserve"> </w:t>
      </w:r>
      <w:r w:rsidR="003B4A10" w:rsidRPr="006C57B1">
        <w:rPr>
          <w:rFonts w:ascii="Times New Roman" w:hAnsi="Times New Roman" w:cs="Times New Roman"/>
          <w:bCs/>
        </w:rPr>
        <w:t>Section 32 of the Mines and Minerals Act relied</w:t>
      </w:r>
      <w:r w:rsidR="001711FB" w:rsidRPr="006C57B1">
        <w:rPr>
          <w:rFonts w:ascii="Times New Roman" w:hAnsi="Times New Roman" w:cs="Times New Roman"/>
          <w:bCs/>
        </w:rPr>
        <w:t xml:space="preserve"> upon</w:t>
      </w:r>
      <w:r w:rsidR="003560D8" w:rsidRPr="006C57B1">
        <w:rPr>
          <w:rFonts w:ascii="Times New Roman" w:hAnsi="Times New Roman" w:cs="Times New Roman"/>
          <w:bCs/>
        </w:rPr>
        <w:t xml:space="preserve"> provides</w:t>
      </w:r>
      <w:r w:rsidR="00162277" w:rsidRPr="006C57B1">
        <w:rPr>
          <w:rFonts w:ascii="Times New Roman" w:hAnsi="Times New Roman" w:cs="Times New Roman"/>
          <w:bCs/>
        </w:rPr>
        <w:t xml:space="preserve"> </w:t>
      </w:r>
      <w:r w:rsidR="003560D8" w:rsidRPr="006C57B1">
        <w:rPr>
          <w:rFonts w:ascii="Times New Roman" w:hAnsi="Times New Roman" w:cs="Times New Roman"/>
          <w:bCs/>
        </w:rPr>
        <w:t>that:</w:t>
      </w:r>
    </w:p>
    <w:p w14:paraId="2D5CF875" w14:textId="63C103AA" w:rsidR="00DC061F" w:rsidRPr="00124849" w:rsidRDefault="00DC061F" w:rsidP="00124849">
      <w:pPr>
        <w:pStyle w:val="ListParagraph"/>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“If any dispute arises between the holder of a prospecting licence or a special grant to prospect or an exclusive prospecting order and a land owner or occupier of land as to whether land is open to prospecting or not, the matter shall be referred to the   Administrative court.”</w:t>
      </w:r>
    </w:p>
    <w:p w14:paraId="24A253BE" w14:textId="105C65BF" w:rsidR="00DA6D04" w:rsidRPr="00124849" w:rsidRDefault="00DC061F" w:rsidP="00124849">
      <w:pPr>
        <w:spacing w:line="360" w:lineRule="auto"/>
        <w:jc w:val="both"/>
        <w:rPr>
          <w:rFonts w:ascii="Times New Roman" w:hAnsi="Times New Roman" w:cs="Times New Roman"/>
          <w:bCs/>
        </w:rPr>
      </w:pPr>
      <w:r w:rsidRPr="006C57B1">
        <w:rPr>
          <w:rFonts w:ascii="Times New Roman" w:hAnsi="Times New Roman" w:cs="Times New Roman"/>
          <w:bCs/>
        </w:rPr>
        <w:t>Section 31 of the Mines and Minerals Act</w:t>
      </w:r>
      <w:r w:rsidR="00DA6D04" w:rsidRPr="006C57B1">
        <w:rPr>
          <w:rFonts w:ascii="Times New Roman" w:hAnsi="Times New Roman" w:cs="Times New Roman"/>
          <w:bCs/>
        </w:rPr>
        <w:t xml:space="preserve"> provides as follows:</w:t>
      </w:r>
    </w:p>
    <w:p w14:paraId="6EC076A9" w14:textId="5103D789" w:rsidR="00DA6D04" w:rsidRPr="00124849" w:rsidRDefault="00DA6D04" w:rsidP="00124849">
      <w:pPr>
        <w:pStyle w:val="ListParagraph"/>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 xml:space="preserve">“(1) Save </w:t>
      </w:r>
      <w:r w:rsidR="003D02C2" w:rsidRPr="00124849">
        <w:rPr>
          <w:rFonts w:ascii="Times New Roman" w:hAnsi="Times New Roman" w:cs="Times New Roman"/>
          <w:bCs/>
          <w:sz w:val="22"/>
          <w:szCs w:val="22"/>
        </w:rPr>
        <w:t>as provided</w:t>
      </w:r>
      <w:r w:rsidRPr="00124849">
        <w:rPr>
          <w:rFonts w:ascii="Times New Roman" w:hAnsi="Times New Roman" w:cs="Times New Roman"/>
          <w:bCs/>
          <w:sz w:val="22"/>
          <w:szCs w:val="22"/>
        </w:rPr>
        <w:t xml:space="preserve"> in Parts V and VII, no person shall be entitled to exercise any of his rights under any prospecting licence or any special grant to carry out prospecting operations or any exclusive prospecting order—</w:t>
      </w:r>
    </w:p>
    <w:p w14:paraId="2307944B" w14:textId="08191335" w:rsidR="0078755B" w:rsidRPr="00124849" w:rsidRDefault="00DA6D04" w:rsidP="00124849">
      <w:pPr>
        <w:pStyle w:val="ListParagraph"/>
        <w:numPr>
          <w:ilvl w:val="0"/>
          <w:numId w:val="3"/>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 xml:space="preserve"> </w:t>
      </w:r>
      <w:r w:rsidR="0078755B" w:rsidRPr="00124849">
        <w:rPr>
          <w:rFonts w:ascii="Times New Roman" w:hAnsi="Times New Roman" w:cs="Times New Roman"/>
          <w:bCs/>
          <w:sz w:val="22"/>
          <w:szCs w:val="22"/>
        </w:rPr>
        <w:t xml:space="preserve"> upon any holding of private land except with the consent in writing of the owner or of some person duly authorised thereto by the owner or, in the case of a portion of Communal Land, by the occupier of such portion, or upon any State land except with the consent in writing of the President or of some person duly authorised thereto by the President—</w:t>
      </w:r>
    </w:p>
    <w:p w14:paraId="0DB7569C" w14:textId="77777777" w:rsidR="0078755B" w:rsidRPr="00124849" w:rsidRDefault="0078755B" w:rsidP="00124849">
      <w:pPr>
        <w:pStyle w:val="ListParagraph"/>
        <w:spacing w:line="240" w:lineRule="auto"/>
        <w:ind w:left="1080"/>
        <w:jc w:val="both"/>
        <w:rPr>
          <w:rFonts w:ascii="Times New Roman" w:hAnsi="Times New Roman" w:cs="Times New Roman"/>
          <w:bCs/>
          <w:sz w:val="22"/>
          <w:szCs w:val="22"/>
        </w:rPr>
      </w:pPr>
    </w:p>
    <w:p w14:paraId="2A457424" w14:textId="3AC86222" w:rsidR="0078755B" w:rsidRPr="00124849" w:rsidRDefault="0078755B" w:rsidP="00124849">
      <w:pPr>
        <w:pStyle w:val="ListParagraph"/>
        <w:numPr>
          <w:ilvl w:val="0"/>
          <w:numId w:val="4"/>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 xml:space="preserve">within four </w:t>
      </w:r>
      <w:r w:rsidR="00162277" w:rsidRPr="00124849">
        <w:rPr>
          <w:rFonts w:ascii="Times New Roman" w:hAnsi="Times New Roman" w:cs="Times New Roman"/>
          <w:bCs/>
          <w:sz w:val="22"/>
          <w:szCs w:val="22"/>
        </w:rPr>
        <w:t xml:space="preserve">hundred </w:t>
      </w:r>
      <w:r w:rsidRPr="00124849">
        <w:rPr>
          <w:rFonts w:ascii="Times New Roman" w:hAnsi="Times New Roman" w:cs="Times New Roman"/>
          <w:bCs/>
          <w:sz w:val="22"/>
          <w:szCs w:val="22"/>
        </w:rPr>
        <w:t>and fifty metres of the site of the principal homestead</w:t>
      </w:r>
      <w:r w:rsidR="00162277" w:rsidRPr="00124849">
        <w:rPr>
          <w:rFonts w:ascii="Times New Roman" w:hAnsi="Times New Roman" w:cs="Times New Roman"/>
          <w:bCs/>
          <w:sz w:val="22"/>
          <w:szCs w:val="22"/>
        </w:rPr>
        <w:t xml:space="preserve"> </w:t>
      </w:r>
      <w:r w:rsidRPr="00124849">
        <w:rPr>
          <w:rFonts w:ascii="Times New Roman" w:hAnsi="Times New Roman" w:cs="Times New Roman"/>
          <w:bCs/>
          <w:sz w:val="22"/>
          <w:szCs w:val="22"/>
        </w:rPr>
        <w:t xml:space="preserve">on such holding or on such </w:t>
      </w:r>
      <w:r w:rsidR="003D02C2" w:rsidRPr="00124849">
        <w:rPr>
          <w:rFonts w:ascii="Times New Roman" w:hAnsi="Times New Roman" w:cs="Times New Roman"/>
          <w:bCs/>
          <w:sz w:val="22"/>
          <w:szCs w:val="22"/>
        </w:rPr>
        <w:t>State land</w:t>
      </w:r>
      <w:r w:rsidRPr="00124849">
        <w:rPr>
          <w:rFonts w:ascii="Times New Roman" w:hAnsi="Times New Roman" w:cs="Times New Roman"/>
          <w:bCs/>
          <w:sz w:val="22"/>
          <w:szCs w:val="22"/>
        </w:rPr>
        <w:t xml:space="preserve">, whether such </w:t>
      </w:r>
      <w:r w:rsidR="003D02C2" w:rsidRPr="00124849">
        <w:rPr>
          <w:rFonts w:ascii="Times New Roman" w:hAnsi="Times New Roman" w:cs="Times New Roman"/>
          <w:bCs/>
          <w:sz w:val="22"/>
          <w:szCs w:val="22"/>
        </w:rPr>
        <w:t>homestead is</w:t>
      </w:r>
      <w:r w:rsidRPr="00124849">
        <w:rPr>
          <w:rFonts w:ascii="Times New Roman" w:hAnsi="Times New Roman" w:cs="Times New Roman"/>
          <w:bCs/>
          <w:sz w:val="22"/>
          <w:szCs w:val="22"/>
        </w:rPr>
        <w:t xml:space="preserve"> already erected or actually in the course of erection;</w:t>
      </w:r>
    </w:p>
    <w:p w14:paraId="4B19566B" w14:textId="54D962CE" w:rsidR="0061718D" w:rsidRPr="00124849" w:rsidRDefault="0061718D" w:rsidP="00124849">
      <w:pPr>
        <w:pStyle w:val="ListParagraph"/>
        <w:numPr>
          <w:ilvl w:val="0"/>
          <w:numId w:val="4"/>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 xml:space="preserve">within four </w:t>
      </w:r>
      <w:r w:rsidR="00162277" w:rsidRPr="00124849">
        <w:rPr>
          <w:rFonts w:ascii="Times New Roman" w:hAnsi="Times New Roman" w:cs="Times New Roman"/>
          <w:bCs/>
          <w:sz w:val="22"/>
          <w:szCs w:val="22"/>
        </w:rPr>
        <w:t xml:space="preserve">hundred </w:t>
      </w:r>
      <w:r w:rsidRPr="00124849">
        <w:rPr>
          <w:rFonts w:ascii="Times New Roman" w:hAnsi="Times New Roman" w:cs="Times New Roman"/>
          <w:bCs/>
          <w:sz w:val="22"/>
          <w:szCs w:val="22"/>
        </w:rPr>
        <w:t xml:space="preserve">and fifty </w:t>
      </w:r>
      <w:r w:rsidR="00162277" w:rsidRPr="00124849">
        <w:rPr>
          <w:rFonts w:ascii="Times New Roman" w:hAnsi="Times New Roman" w:cs="Times New Roman"/>
          <w:bCs/>
          <w:sz w:val="22"/>
          <w:szCs w:val="22"/>
        </w:rPr>
        <w:t xml:space="preserve">metres </w:t>
      </w:r>
      <w:r w:rsidRPr="00124849">
        <w:rPr>
          <w:rFonts w:ascii="Times New Roman" w:hAnsi="Times New Roman" w:cs="Times New Roman"/>
          <w:bCs/>
          <w:sz w:val="22"/>
          <w:szCs w:val="22"/>
        </w:rPr>
        <w:t xml:space="preserve">of the site of any intended principal homestead, which site has been registered with the </w:t>
      </w:r>
      <w:r w:rsidR="005122AF" w:rsidRPr="00124849">
        <w:rPr>
          <w:rFonts w:ascii="Times New Roman" w:hAnsi="Times New Roman" w:cs="Times New Roman"/>
          <w:bCs/>
          <w:sz w:val="22"/>
          <w:szCs w:val="22"/>
        </w:rPr>
        <w:t xml:space="preserve">mining </w:t>
      </w:r>
      <w:r w:rsidRPr="00124849">
        <w:rPr>
          <w:rFonts w:ascii="Times New Roman" w:hAnsi="Times New Roman" w:cs="Times New Roman"/>
          <w:bCs/>
          <w:sz w:val="22"/>
          <w:szCs w:val="22"/>
        </w:rPr>
        <w:t>commissioner by the land owner:</w:t>
      </w:r>
    </w:p>
    <w:p w14:paraId="7E825AED" w14:textId="4F868DC6" w:rsidR="0061718D" w:rsidRPr="00124849" w:rsidRDefault="0061718D" w:rsidP="00124849">
      <w:pPr>
        <w:pStyle w:val="ListParagraph"/>
        <w:spacing w:line="240" w:lineRule="auto"/>
        <w:ind w:left="1800"/>
        <w:jc w:val="both"/>
        <w:rPr>
          <w:rFonts w:ascii="Times New Roman" w:hAnsi="Times New Roman" w:cs="Times New Roman"/>
          <w:bCs/>
          <w:sz w:val="22"/>
          <w:szCs w:val="22"/>
        </w:rPr>
      </w:pPr>
      <w:r w:rsidRPr="00124849">
        <w:rPr>
          <w:rFonts w:ascii="Times New Roman" w:hAnsi="Times New Roman" w:cs="Times New Roman"/>
          <w:bCs/>
          <w:sz w:val="22"/>
          <w:szCs w:val="22"/>
        </w:rPr>
        <w:t>Provided that if a principal homestead is not erected on such a site within three years after</w:t>
      </w:r>
      <w:r w:rsidR="001A7E0B" w:rsidRPr="00124849">
        <w:rPr>
          <w:rFonts w:ascii="Times New Roman" w:hAnsi="Times New Roman" w:cs="Times New Roman"/>
          <w:bCs/>
          <w:sz w:val="22"/>
          <w:szCs w:val="22"/>
        </w:rPr>
        <w:t xml:space="preserve"> the date of such registration,</w:t>
      </w:r>
      <w:r w:rsidR="009A61D3" w:rsidRPr="00124849">
        <w:rPr>
          <w:rFonts w:ascii="Times New Roman" w:hAnsi="Times New Roman" w:cs="Times New Roman"/>
          <w:bCs/>
          <w:sz w:val="22"/>
          <w:szCs w:val="22"/>
        </w:rPr>
        <w:t xml:space="preserve"> such site shall thereupon become open to prospecting;</w:t>
      </w:r>
    </w:p>
    <w:p w14:paraId="721FB750" w14:textId="77777777" w:rsidR="00D62C6E" w:rsidRPr="00124849" w:rsidRDefault="009A61D3" w:rsidP="00124849">
      <w:pPr>
        <w:pStyle w:val="ListParagraph"/>
        <w:numPr>
          <w:ilvl w:val="0"/>
          <w:numId w:val="4"/>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lastRenderedPageBreak/>
        <w:t>within ninety metres of any area set aside on which housing constructed of brick or concrete has been erected for occupation by farm employees,</w:t>
      </w:r>
      <w:r w:rsidR="00D62C6E" w:rsidRPr="00124849">
        <w:rPr>
          <w:rFonts w:ascii="Times New Roman" w:hAnsi="Times New Roman" w:cs="Times New Roman"/>
          <w:bCs/>
          <w:sz w:val="22"/>
          <w:szCs w:val="22"/>
        </w:rPr>
        <w:t xml:space="preserve"> if the total value of such housing is not less than five thousand dollars;</w:t>
      </w:r>
    </w:p>
    <w:p w14:paraId="3A5CCBD8" w14:textId="77777777" w:rsidR="0085339D" w:rsidRPr="00124849" w:rsidRDefault="0085339D" w:rsidP="00124849">
      <w:pPr>
        <w:pStyle w:val="ListParagraph"/>
        <w:numPr>
          <w:ilvl w:val="0"/>
          <w:numId w:val="4"/>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within ninety metres of any other building or permanent improvement of a value of not less than five hundred dollars;</w:t>
      </w:r>
    </w:p>
    <w:p w14:paraId="6371FE5F" w14:textId="77777777" w:rsidR="002737F9" w:rsidRPr="00124849" w:rsidRDefault="002737F9" w:rsidP="00124849">
      <w:pPr>
        <w:pStyle w:val="ListParagraph"/>
        <w:numPr>
          <w:ilvl w:val="0"/>
          <w:numId w:val="4"/>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within ninety metres of any permanent cattle dip tank or spray race;</w:t>
      </w:r>
    </w:p>
    <w:p w14:paraId="4CC81386" w14:textId="77777777" w:rsidR="00533B6C" w:rsidRPr="00124849" w:rsidRDefault="00533B6C" w:rsidP="00124849">
      <w:pPr>
        <w:pStyle w:val="ListParagraph"/>
        <w:numPr>
          <w:ilvl w:val="0"/>
          <w:numId w:val="4"/>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upon any land under cultivation or within fifty metres thereof;</w:t>
      </w:r>
    </w:p>
    <w:p w14:paraId="4721E1CA" w14:textId="1AB26CFF" w:rsidR="0014628C" w:rsidRPr="00124849" w:rsidRDefault="0048755E" w:rsidP="00124849">
      <w:pPr>
        <w:pStyle w:val="ListParagraph"/>
        <w:numPr>
          <w:ilvl w:val="0"/>
          <w:numId w:val="4"/>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within ninety metres of any other permanent bona fide farm building,</w:t>
      </w:r>
      <w:r w:rsidR="00E322BB" w:rsidRPr="00124849">
        <w:rPr>
          <w:rFonts w:ascii="Times New Roman" w:hAnsi="Times New Roman" w:cs="Times New Roman"/>
          <w:bCs/>
          <w:sz w:val="22"/>
          <w:szCs w:val="22"/>
        </w:rPr>
        <w:t xml:space="preserve"> except on payment to the land owner of such compensation</w:t>
      </w:r>
      <w:r w:rsidR="00B745B5" w:rsidRPr="00124849">
        <w:rPr>
          <w:rFonts w:ascii="Times New Roman" w:hAnsi="Times New Roman" w:cs="Times New Roman"/>
          <w:bCs/>
          <w:sz w:val="22"/>
          <w:szCs w:val="22"/>
        </w:rPr>
        <w:t xml:space="preserve"> as may be fixed by agreement </w:t>
      </w:r>
      <w:r w:rsidR="003D02C2" w:rsidRPr="00124849">
        <w:rPr>
          <w:rFonts w:ascii="Times New Roman" w:hAnsi="Times New Roman" w:cs="Times New Roman"/>
          <w:bCs/>
          <w:sz w:val="22"/>
          <w:szCs w:val="22"/>
        </w:rPr>
        <w:t>or, failing</w:t>
      </w:r>
      <w:r w:rsidR="0014628C" w:rsidRPr="00124849">
        <w:rPr>
          <w:rFonts w:ascii="Times New Roman" w:hAnsi="Times New Roman" w:cs="Times New Roman"/>
          <w:bCs/>
          <w:sz w:val="22"/>
          <w:szCs w:val="22"/>
        </w:rPr>
        <w:t xml:space="preserve"> agreement, by the Administrative Court to whom the matter shall be referred for decision;</w:t>
      </w:r>
    </w:p>
    <w:p w14:paraId="52143C62" w14:textId="7641E08F" w:rsidR="006502F4" w:rsidRPr="00124849" w:rsidRDefault="0014628C" w:rsidP="00124849">
      <w:pPr>
        <w:pStyle w:val="ListParagraph"/>
        <w:numPr>
          <w:ilvl w:val="0"/>
          <w:numId w:val="3"/>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upon any mining location,</w:t>
      </w:r>
      <w:r w:rsidR="00B56681" w:rsidRPr="00124849">
        <w:rPr>
          <w:rFonts w:ascii="Times New Roman" w:hAnsi="Times New Roman" w:cs="Times New Roman"/>
          <w:bCs/>
          <w:sz w:val="22"/>
          <w:szCs w:val="22"/>
        </w:rPr>
        <w:t xml:space="preserve"> other than one in respect of which he may have acquired the </w:t>
      </w:r>
      <w:r w:rsidR="003D02C2" w:rsidRPr="00124849">
        <w:rPr>
          <w:rFonts w:ascii="Times New Roman" w:hAnsi="Times New Roman" w:cs="Times New Roman"/>
          <w:bCs/>
          <w:sz w:val="22"/>
          <w:szCs w:val="22"/>
        </w:rPr>
        <w:t>exclusive right</w:t>
      </w:r>
      <w:r w:rsidR="006502F4" w:rsidRPr="00124849">
        <w:rPr>
          <w:rFonts w:ascii="Times New Roman" w:hAnsi="Times New Roman" w:cs="Times New Roman"/>
          <w:bCs/>
          <w:sz w:val="22"/>
          <w:szCs w:val="22"/>
        </w:rPr>
        <w:t xml:space="preserve"> of prospecting under such licence or special grant or exclusive prospecting order;</w:t>
      </w:r>
    </w:p>
    <w:p w14:paraId="312697FA" w14:textId="500AFED0" w:rsidR="00F22D9E" w:rsidRPr="00124849" w:rsidRDefault="00F22D9E" w:rsidP="00124849">
      <w:pPr>
        <w:pStyle w:val="ListParagraph"/>
        <w:numPr>
          <w:ilvl w:val="0"/>
          <w:numId w:val="3"/>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within the surveyed limits of any city, town, township or village, or upon a belt fifty metres in width outside such limits;</w:t>
      </w:r>
    </w:p>
    <w:p w14:paraId="7D3B865A" w14:textId="77777777" w:rsidR="00F22D9E" w:rsidRPr="00124849" w:rsidRDefault="00F22D9E" w:rsidP="00124849">
      <w:pPr>
        <w:pStyle w:val="ListParagraph"/>
        <w:numPr>
          <w:ilvl w:val="0"/>
          <w:numId w:val="3"/>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upon any site which is on town lands, but outside the surveyed limits of any city, town, township or village situated thereon, and has been surveyed and set aside for any specific purpose;</w:t>
      </w:r>
    </w:p>
    <w:p w14:paraId="334DE612" w14:textId="77777777" w:rsidR="00F33229" w:rsidRPr="00124849" w:rsidRDefault="00F33229" w:rsidP="00124849">
      <w:pPr>
        <w:pStyle w:val="ListParagraph"/>
        <w:numPr>
          <w:ilvl w:val="0"/>
          <w:numId w:val="3"/>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upon any licenced aerodrome or any emergency landing ground or aerodrome of the State;</w:t>
      </w:r>
    </w:p>
    <w:p w14:paraId="052B38E5" w14:textId="77777777" w:rsidR="005021C3" w:rsidRPr="00124849" w:rsidRDefault="005021C3" w:rsidP="00124849">
      <w:pPr>
        <w:pStyle w:val="ListParagraph"/>
        <w:numPr>
          <w:ilvl w:val="0"/>
          <w:numId w:val="3"/>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upon any rifle range of the State, any railway reserve or any cemetery;</w:t>
      </w:r>
    </w:p>
    <w:p w14:paraId="2ADE46C1" w14:textId="23DE2238" w:rsidR="00DB05AA" w:rsidRPr="00124849" w:rsidRDefault="00DB05AA" w:rsidP="00124849">
      <w:pPr>
        <w:pStyle w:val="ListParagraph"/>
        <w:numPr>
          <w:ilvl w:val="0"/>
          <w:numId w:val="3"/>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except with the consent in writing—</w:t>
      </w:r>
    </w:p>
    <w:p w14:paraId="3E5A60F6" w14:textId="283296D0" w:rsidR="00DB05AA" w:rsidRPr="00124849" w:rsidRDefault="00DB05AA" w:rsidP="00124849">
      <w:pPr>
        <w:spacing w:line="240" w:lineRule="auto"/>
        <w:jc w:val="both"/>
        <w:rPr>
          <w:rFonts w:ascii="Times New Roman" w:hAnsi="Times New Roman" w:cs="Times New Roman"/>
          <w:bCs/>
          <w:sz w:val="22"/>
          <w:szCs w:val="22"/>
        </w:rPr>
      </w:pPr>
    </w:p>
    <w:p w14:paraId="35FEFFD4" w14:textId="6B5291D2" w:rsidR="004E213E" w:rsidRPr="00124849" w:rsidRDefault="00DB05AA" w:rsidP="00124849">
      <w:pPr>
        <w:pStyle w:val="ListParagraph"/>
        <w:numPr>
          <w:ilvl w:val="0"/>
          <w:numId w:val="5"/>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of the owner</w:t>
      </w:r>
      <w:r w:rsidR="004E213E" w:rsidRPr="00124849">
        <w:rPr>
          <w:rFonts w:ascii="Times New Roman" w:hAnsi="Times New Roman" w:cs="Times New Roman"/>
          <w:bCs/>
          <w:sz w:val="22"/>
          <w:szCs w:val="22"/>
        </w:rPr>
        <w:t xml:space="preserve"> or of some person duly authorised thereto by the owner, upon any holding of land which does not exceed one hundred hectares in extent and which is held by such owner under one separate ti</w:t>
      </w:r>
      <w:r w:rsidR="005122AF" w:rsidRPr="00124849">
        <w:rPr>
          <w:rFonts w:ascii="Times New Roman" w:hAnsi="Times New Roman" w:cs="Times New Roman"/>
          <w:bCs/>
          <w:sz w:val="22"/>
          <w:szCs w:val="22"/>
        </w:rPr>
        <w:t>t</w:t>
      </w:r>
      <w:r w:rsidR="004E213E" w:rsidRPr="00124849">
        <w:rPr>
          <w:rFonts w:ascii="Times New Roman" w:hAnsi="Times New Roman" w:cs="Times New Roman"/>
          <w:bCs/>
          <w:sz w:val="22"/>
          <w:szCs w:val="22"/>
        </w:rPr>
        <w:t>le:</w:t>
      </w:r>
    </w:p>
    <w:p w14:paraId="72425976" w14:textId="39E48D54" w:rsidR="00FA5056" w:rsidRPr="00124849" w:rsidRDefault="003D02C2" w:rsidP="00124849">
      <w:pPr>
        <w:pStyle w:val="ListParagraph"/>
        <w:spacing w:line="240" w:lineRule="auto"/>
        <w:ind w:left="1800"/>
        <w:jc w:val="both"/>
        <w:rPr>
          <w:rFonts w:ascii="Times New Roman" w:hAnsi="Times New Roman" w:cs="Times New Roman"/>
          <w:bCs/>
          <w:sz w:val="22"/>
          <w:szCs w:val="22"/>
        </w:rPr>
      </w:pPr>
      <w:r w:rsidRPr="00124849">
        <w:rPr>
          <w:rFonts w:ascii="Times New Roman" w:hAnsi="Times New Roman" w:cs="Times New Roman"/>
          <w:bCs/>
          <w:sz w:val="22"/>
          <w:szCs w:val="22"/>
        </w:rPr>
        <w:t>Provided that</w:t>
      </w:r>
      <w:r w:rsidR="005144B0" w:rsidRPr="00124849">
        <w:rPr>
          <w:rFonts w:ascii="Times New Roman" w:hAnsi="Times New Roman" w:cs="Times New Roman"/>
          <w:bCs/>
          <w:sz w:val="22"/>
          <w:szCs w:val="22"/>
        </w:rPr>
        <w:t xml:space="preserve"> if such owner has one or more holdings which are </w:t>
      </w:r>
      <w:r w:rsidRPr="00124849">
        <w:rPr>
          <w:rFonts w:ascii="Times New Roman" w:hAnsi="Times New Roman" w:cs="Times New Roman"/>
          <w:bCs/>
          <w:sz w:val="22"/>
          <w:szCs w:val="22"/>
        </w:rPr>
        <w:t>contiguous and</w:t>
      </w:r>
      <w:r w:rsidR="00E5611F" w:rsidRPr="00124849">
        <w:rPr>
          <w:rFonts w:ascii="Times New Roman" w:hAnsi="Times New Roman" w:cs="Times New Roman"/>
          <w:bCs/>
          <w:sz w:val="22"/>
          <w:szCs w:val="22"/>
        </w:rPr>
        <w:t xml:space="preserve"> the total area of such contiguous holding exceeds one hundred hectares this paragraph shall not apply to such holdings;</w:t>
      </w:r>
    </w:p>
    <w:p w14:paraId="2142AC6A" w14:textId="77777777" w:rsidR="00812C4A" w:rsidRPr="00124849" w:rsidRDefault="00812C4A" w:rsidP="00124849">
      <w:pPr>
        <w:pStyle w:val="ListParagraph"/>
        <w:numPr>
          <w:ilvl w:val="0"/>
          <w:numId w:val="5"/>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in the case of a portion of Communal Land which does not exceed one hundred hectares in extent, of the occupier of such portion;</w:t>
      </w:r>
    </w:p>
    <w:p w14:paraId="52D1523B" w14:textId="77777777" w:rsidR="004336AA" w:rsidRPr="00124849" w:rsidRDefault="004336AA" w:rsidP="00124849">
      <w:pPr>
        <w:pStyle w:val="ListParagraph"/>
        <w:numPr>
          <w:ilvl w:val="0"/>
          <w:numId w:val="5"/>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where any consent in terms of this paragraph is unreasonably withheld, the Minister may authorise any person to exercise his right under any prospecting licence or any special grant to carry out prospecting operations or any exclusive prospecting order on such land, subject to such conditions as the Minister may impose;</w:t>
      </w:r>
    </w:p>
    <w:p w14:paraId="6BF35221" w14:textId="77777777" w:rsidR="004336AA" w:rsidRPr="00124849" w:rsidRDefault="004336AA" w:rsidP="00124849">
      <w:pPr>
        <w:pStyle w:val="ListParagraph"/>
        <w:spacing w:line="240" w:lineRule="auto"/>
        <w:ind w:left="1800"/>
        <w:jc w:val="both"/>
        <w:rPr>
          <w:rFonts w:ascii="Times New Roman" w:hAnsi="Times New Roman" w:cs="Times New Roman"/>
          <w:bCs/>
          <w:sz w:val="22"/>
          <w:szCs w:val="22"/>
        </w:rPr>
      </w:pPr>
    </w:p>
    <w:p w14:paraId="061090FA" w14:textId="622BFA25" w:rsidR="005C78CB" w:rsidRPr="00124849" w:rsidRDefault="00247593" w:rsidP="00124849">
      <w:pPr>
        <w:pStyle w:val="ListParagraph"/>
        <w:numPr>
          <w:ilvl w:val="0"/>
          <w:numId w:val="3"/>
        </w:numPr>
        <w:spacing w:line="240" w:lineRule="auto"/>
        <w:jc w:val="both"/>
        <w:rPr>
          <w:rFonts w:ascii="Times New Roman" w:hAnsi="Times New Roman" w:cs="Times New Roman"/>
          <w:bCs/>
          <w:sz w:val="22"/>
          <w:szCs w:val="22"/>
        </w:rPr>
      </w:pPr>
      <w:r w:rsidRPr="00124849">
        <w:rPr>
          <w:rFonts w:ascii="Times New Roman" w:hAnsi="Times New Roman" w:cs="Times New Roman"/>
          <w:bCs/>
          <w:sz w:val="22"/>
          <w:szCs w:val="22"/>
        </w:rPr>
        <w:t xml:space="preserve">upon any Communal Land occupied as a </w:t>
      </w:r>
      <w:r w:rsidR="003D02C2" w:rsidRPr="00124849">
        <w:rPr>
          <w:rFonts w:ascii="Times New Roman" w:hAnsi="Times New Roman" w:cs="Times New Roman"/>
          <w:bCs/>
          <w:sz w:val="22"/>
          <w:szCs w:val="22"/>
        </w:rPr>
        <w:t>village without</w:t>
      </w:r>
      <w:r w:rsidR="00516133" w:rsidRPr="00124849">
        <w:rPr>
          <w:rFonts w:ascii="Times New Roman" w:hAnsi="Times New Roman" w:cs="Times New Roman"/>
          <w:bCs/>
          <w:sz w:val="22"/>
          <w:szCs w:val="22"/>
        </w:rPr>
        <w:t xml:space="preserve"> the written consent of </w:t>
      </w:r>
      <w:r w:rsidR="003D02C2" w:rsidRPr="00124849">
        <w:rPr>
          <w:rFonts w:ascii="Times New Roman" w:hAnsi="Times New Roman" w:cs="Times New Roman"/>
          <w:bCs/>
          <w:sz w:val="22"/>
          <w:szCs w:val="22"/>
        </w:rPr>
        <w:t>the rural</w:t>
      </w:r>
      <w:r w:rsidR="00516133" w:rsidRPr="00124849">
        <w:rPr>
          <w:rFonts w:ascii="Times New Roman" w:hAnsi="Times New Roman" w:cs="Times New Roman"/>
          <w:bCs/>
          <w:sz w:val="22"/>
          <w:szCs w:val="22"/>
        </w:rPr>
        <w:t xml:space="preserve"> district council established for the area concerned.</w:t>
      </w:r>
    </w:p>
    <w:p w14:paraId="05F0E7A6" w14:textId="77777777" w:rsidR="00B8390B" w:rsidRPr="00124849" w:rsidRDefault="005C78CB" w:rsidP="00124849">
      <w:pPr>
        <w:spacing w:line="240" w:lineRule="auto"/>
        <w:ind w:left="720"/>
        <w:jc w:val="both"/>
        <w:rPr>
          <w:rFonts w:ascii="Times New Roman" w:hAnsi="Times New Roman" w:cs="Times New Roman"/>
          <w:bCs/>
          <w:sz w:val="22"/>
          <w:szCs w:val="22"/>
        </w:rPr>
      </w:pPr>
      <w:r w:rsidRPr="00124849">
        <w:rPr>
          <w:rFonts w:ascii="Times New Roman" w:hAnsi="Times New Roman" w:cs="Times New Roman"/>
          <w:bCs/>
          <w:sz w:val="22"/>
          <w:szCs w:val="22"/>
        </w:rPr>
        <w:t xml:space="preserve">(2) Where a site intended for a principal homestead has been registered by the land owner </w:t>
      </w:r>
      <w:r w:rsidR="00B8390B" w:rsidRPr="00124849">
        <w:rPr>
          <w:rFonts w:ascii="Times New Roman" w:hAnsi="Times New Roman" w:cs="Times New Roman"/>
          <w:bCs/>
          <w:sz w:val="22"/>
          <w:szCs w:val="22"/>
        </w:rPr>
        <w:t>under subparagraph (ii) of paragraph (a) of subsection (1)—</w:t>
      </w:r>
    </w:p>
    <w:p w14:paraId="09DDF544" w14:textId="77777777" w:rsidR="00B8390B" w:rsidRPr="00124849" w:rsidRDefault="00B8390B" w:rsidP="00124849">
      <w:pPr>
        <w:spacing w:line="240" w:lineRule="auto"/>
        <w:ind w:left="1440"/>
        <w:jc w:val="both"/>
        <w:rPr>
          <w:rFonts w:ascii="Times New Roman" w:hAnsi="Times New Roman" w:cs="Times New Roman"/>
          <w:bCs/>
          <w:sz w:val="22"/>
          <w:szCs w:val="22"/>
        </w:rPr>
      </w:pPr>
      <w:r w:rsidRPr="00124849">
        <w:rPr>
          <w:rFonts w:ascii="Times New Roman" w:hAnsi="Times New Roman" w:cs="Times New Roman"/>
          <w:bCs/>
          <w:sz w:val="22"/>
          <w:szCs w:val="22"/>
        </w:rPr>
        <w:t>(a) the land owner shall as soon as may be after such registration erect a peg marking the centre of the site and bearing an inscription stating the purpose of such peg, and shall maintain such peg and maintain such inscription in legible form;</w:t>
      </w:r>
    </w:p>
    <w:p w14:paraId="414D3FB5" w14:textId="7A98C640" w:rsidR="009A6797" w:rsidRPr="00124849" w:rsidRDefault="00B8390B" w:rsidP="00124849">
      <w:pPr>
        <w:spacing w:line="240" w:lineRule="auto"/>
        <w:ind w:left="1440"/>
        <w:jc w:val="both"/>
        <w:rPr>
          <w:rFonts w:ascii="Times New Roman" w:hAnsi="Times New Roman" w:cs="Times New Roman"/>
          <w:bCs/>
          <w:sz w:val="22"/>
          <w:szCs w:val="22"/>
        </w:rPr>
      </w:pPr>
      <w:r w:rsidRPr="00124849">
        <w:rPr>
          <w:rFonts w:ascii="Times New Roman" w:hAnsi="Times New Roman" w:cs="Times New Roman"/>
          <w:bCs/>
          <w:sz w:val="22"/>
          <w:szCs w:val="22"/>
        </w:rPr>
        <w:t xml:space="preserve">(b) the land owner shall not, </w:t>
      </w:r>
      <w:r w:rsidR="00055360" w:rsidRPr="00124849">
        <w:rPr>
          <w:rFonts w:ascii="Times New Roman" w:hAnsi="Times New Roman" w:cs="Times New Roman"/>
          <w:bCs/>
          <w:sz w:val="22"/>
          <w:szCs w:val="22"/>
        </w:rPr>
        <w:t xml:space="preserve">if such principal homestead has not been </w:t>
      </w:r>
      <w:r w:rsidR="003D02C2" w:rsidRPr="00124849">
        <w:rPr>
          <w:rFonts w:ascii="Times New Roman" w:hAnsi="Times New Roman" w:cs="Times New Roman"/>
          <w:bCs/>
          <w:sz w:val="22"/>
          <w:szCs w:val="22"/>
        </w:rPr>
        <w:t>erected within</w:t>
      </w:r>
      <w:r w:rsidR="00C366C1" w:rsidRPr="00124849">
        <w:rPr>
          <w:rFonts w:ascii="Times New Roman" w:hAnsi="Times New Roman" w:cs="Times New Roman"/>
          <w:bCs/>
          <w:sz w:val="22"/>
          <w:szCs w:val="22"/>
        </w:rPr>
        <w:t xml:space="preserve"> the period of three years mentioned in the proviso to that subparagraph, be entitled again to </w:t>
      </w:r>
      <w:r w:rsidR="00C366C1" w:rsidRPr="00124849">
        <w:rPr>
          <w:rFonts w:ascii="Times New Roman" w:hAnsi="Times New Roman" w:cs="Times New Roman"/>
          <w:bCs/>
          <w:sz w:val="22"/>
          <w:szCs w:val="22"/>
        </w:rPr>
        <w:lastRenderedPageBreak/>
        <w:t>register such site or any portion thereof until a period of not less than twelve months has elapsed from the date upon which such site again became open to prospecting.</w:t>
      </w:r>
    </w:p>
    <w:p w14:paraId="32EF437E" w14:textId="3512E22B" w:rsidR="00C77822" w:rsidRPr="00124849" w:rsidRDefault="009A6797" w:rsidP="00124849">
      <w:pPr>
        <w:spacing w:line="240" w:lineRule="auto"/>
        <w:ind w:left="720"/>
        <w:jc w:val="both"/>
        <w:rPr>
          <w:rFonts w:ascii="Times New Roman" w:hAnsi="Times New Roman" w:cs="Times New Roman"/>
          <w:bCs/>
          <w:sz w:val="22"/>
          <w:szCs w:val="22"/>
        </w:rPr>
      </w:pPr>
      <w:r w:rsidRPr="00124849">
        <w:rPr>
          <w:rFonts w:ascii="Times New Roman" w:hAnsi="Times New Roman" w:cs="Times New Roman"/>
          <w:bCs/>
          <w:sz w:val="22"/>
          <w:szCs w:val="22"/>
        </w:rPr>
        <w:t xml:space="preserve">(3) If a land owner fails to comply with any provisions of paragraph (a) of subsection (2), the mining commissioner may cancel the registration </w:t>
      </w:r>
      <w:r w:rsidR="006C190A" w:rsidRPr="00124849">
        <w:rPr>
          <w:rFonts w:ascii="Times New Roman" w:hAnsi="Times New Roman" w:cs="Times New Roman"/>
          <w:bCs/>
          <w:sz w:val="22"/>
          <w:szCs w:val="22"/>
        </w:rPr>
        <w:t>of the site to which such failure relates.</w:t>
      </w:r>
      <w:r w:rsidR="00DB7352" w:rsidRPr="00124849">
        <w:rPr>
          <w:rFonts w:ascii="Times New Roman" w:hAnsi="Times New Roman" w:cs="Times New Roman"/>
          <w:bCs/>
          <w:sz w:val="22"/>
          <w:szCs w:val="22"/>
        </w:rPr>
        <w:t>”</w:t>
      </w:r>
    </w:p>
    <w:p w14:paraId="04CE6123" w14:textId="77777777" w:rsidR="00DB7352" w:rsidRPr="00A81423" w:rsidRDefault="00DB7352" w:rsidP="00A81423">
      <w:pPr>
        <w:spacing w:line="360" w:lineRule="auto"/>
        <w:jc w:val="both"/>
        <w:rPr>
          <w:rFonts w:ascii="Times New Roman" w:hAnsi="Times New Roman" w:cs="Times New Roman"/>
          <w:bCs/>
        </w:rPr>
      </w:pPr>
    </w:p>
    <w:p w14:paraId="2C3EB0CA" w14:textId="279FF1F9" w:rsidR="004C028C" w:rsidRPr="00A81423" w:rsidRDefault="006A18BE" w:rsidP="00124849">
      <w:pPr>
        <w:spacing w:after="0" w:line="360" w:lineRule="auto"/>
        <w:ind w:firstLine="720"/>
        <w:jc w:val="both"/>
        <w:rPr>
          <w:rFonts w:ascii="Times New Roman" w:hAnsi="Times New Roman" w:cs="Times New Roman"/>
          <w:bCs/>
        </w:rPr>
      </w:pPr>
      <w:r w:rsidRPr="00A81423">
        <w:rPr>
          <w:rFonts w:ascii="Times New Roman" w:hAnsi="Times New Roman" w:cs="Times New Roman"/>
          <w:bCs/>
        </w:rPr>
        <w:t xml:space="preserve">From a jurisdictional perspective, </w:t>
      </w:r>
      <w:r w:rsidR="00BE3940" w:rsidRPr="00A81423">
        <w:rPr>
          <w:rFonts w:ascii="Times New Roman" w:hAnsi="Times New Roman" w:cs="Times New Roman"/>
          <w:bCs/>
        </w:rPr>
        <w:t xml:space="preserve">it is difficult for me to conclude that this court does not have jurisdiction to resolve the dispute between two miners. </w:t>
      </w:r>
      <w:r w:rsidR="00710381" w:rsidRPr="00A81423">
        <w:rPr>
          <w:rFonts w:ascii="Times New Roman" w:hAnsi="Times New Roman" w:cs="Times New Roman"/>
          <w:bCs/>
        </w:rPr>
        <w:t xml:space="preserve">In my view, the point </w:t>
      </w:r>
      <w:r w:rsidR="00710381" w:rsidRPr="00A81423">
        <w:rPr>
          <w:rFonts w:ascii="Times New Roman" w:hAnsi="Times New Roman" w:cs="Times New Roman"/>
          <w:bCs/>
          <w:i/>
          <w:iCs/>
        </w:rPr>
        <w:t>in limine</w:t>
      </w:r>
      <w:r w:rsidR="00710381" w:rsidRPr="00A81423">
        <w:rPr>
          <w:rFonts w:ascii="Times New Roman" w:hAnsi="Times New Roman" w:cs="Times New Roman"/>
          <w:bCs/>
        </w:rPr>
        <w:t xml:space="preserve"> of jurisdiction is not sust</w:t>
      </w:r>
      <w:r w:rsidR="00646F7E" w:rsidRPr="00A81423">
        <w:rPr>
          <w:rFonts w:ascii="Times New Roman" w:hAnsi="Times New Roman" w:cs="Times New Roman"/>
          <w:bCs/>
        </w:rPr>
        <w:t>ain</w:t>
      </w:r>
      <w:r w:rsidR="00710381" w:rsidRPr="00A81423">
        <w:rPr>
          <w:rFonts w:ascii="Times New Roman" w:hAnsi="Times New Roman" w:cs="Times New Roman"/>
          <w:bCs/>
        </w:rPr>
        <w:t>able under such circumstances</w:t>
      </w:r>
      <w:r w:rsidR="00C95CA7">
        <w:rPr>
          <w:rFonts w:ascii="Times New Roman" w:hAnsi="Times New Roman" w:cs="Times New Roman"/>
          <w:bCs/>
        </w:rPr>
        <w:t>,</w:t>
      </w:r>
      <w:r w:rsidR="00710381" w:rsidRPr="00A81423">
        <w:rPr>
          <w:rFonts w:ascii="Times New Roman" w:hAnsi="Times New Roman" w:cs="Times New Roman"/>
          <w:bCs/>
        </w:rPr>
        <w:t xml:space="preserve"> especially where the Applicant also seeks to rely on </w:t>
      </w:r>
      <w:r w:rsidR="00124849">
        <w:rPr>
          <w:rFonts w:ascii="Times New Roman" w:hAnsi="Times New Roman" w:cs="Times New Roman"/>
          <w:bCs/>
        </w:rPr>
        <w:t>s</w:t>
      </w:r>
      <w:r w:rsidR="00710381" w:rsidRPr="00A81423">
        <w:rPr>
          <w:rFonts w:ascii="Times New Roman" w:hAnsi="Times New Roman" w:cs="Times New Roman"/>
          <w:bCs/>
        </w:rPr>
        <w:t xml:space="preserve"> 177(3) of the Mines and Minerals Act.</w:t>
      </w:r>
      <w:r w:rsidR="00646F7E" w:rsidRPr="00A81423">
        <w:rPr>
          <w:rFonts w:ascii="Times New Roman" w:hAnsi="Times New Roman" w:cs="Times New Roman"/>
          <w:bCs/>
        </w:rPr>
        <w:t xml:space="preserve"> The present matter does not fall within </w:t>
      </w:r>
      <w:r w:rsidR="00C95CA7">
        <w:rPr>
          <w:rFonts w:ascii="Times New Roman" w:hAnsi="Times New Roman" w:cs="Times New Roman"/>
          <w:bCs/>
        </w:rPr>
        <w:t xml:space="preserve">the </w:t>
      </w:r>
      <w:r w:rsidR="00646F7E" w:rsidRPr="00A81423">
        <w:rPr>
          <w:rFonts w:ascii="Times New Roman" w:hAnsi="Times New Roman" w:cs="Times New Roman"/>
          <w:bCs/>
        </w:rPr>
        <w:t xml:space="preserve">category of disputes between </w:t>
      </w:r>
      <w:r w:rsidR="00C95CA7">
        <w:rPr>
          <w:rFonts w:ascii="Times New Roman" w:hAnsi="Times New Roman" w:cs="Times New Roman"/>
          <w:bCs/>
        </w:rPr>
        <w:t>landowner</w:t>
      </w:r>
      <w:r w:rsidR="00646F7E" w:rsidRPr="00A81423">
        <w:rPr>
          <w:rFonts w:ascii="Times New Roman" w:hAnsi="Times New Roman" w:cs="Times New Roman"/>
          <w:bCs/>
        </w:rPr>
        <w:t xml:space="preserve"> and prospector. The Applicant and the </w:t>
      </w:r>
      <w:r w:rsidR="00E73291">
        <w:rPr>
          <w:rFonts w:ascii="Times New Roman" w:hAnsi="Times New Roman" w:cs="Times New Roman"/>
          <w:bCs/>
        </w:rPr>
        <w:t>first</w:t>
      </w:r>
      <w:r w:rsidR="00646F7E" w:rsidRPr="00A81423">
        <w:rPr>
          <w:rFonts w:ascii="Times New Roman" w:hAnsi="Times New Roman" w:cs="Times New Roman"/>
          <w:bCs/>
        </w:rPr>
        <w:t xml:space="preserve"> Respondent are all miners.</w:t>
      </w:r>
      <w:r w:rsidR="00BE3940" w:rsidRPr="00A81423">
        <w:rPr>
          <w:rFonts w:ascii="Times New Roman" w:hAnsi="Times New Roman" w:cs="Times New Roman"/>
          <w:bCs/>
        </w:rPr>
        <w:t xml:space="preserve"> Declining jurisdiction to hear this </w:t>
      </w:r>
      <w:r w:rsidR="004B7A1E" w:rsidRPr="00A81423">
        <w:rPr>
          <w:rFonts w:ascii="Times New Roman" w:hAnsi="Times New Roman" w:cs="Times New Roman"/>
          <w:bCs/>
        </w:rPr>
        <w:t xml:space="preserve">matter </w:t>
      </w:r>
      <w:r w:rsidR="00BE3940" w:rsidRPr="00A81423">
        <w:rPr>
          <w:rFonts w:ascii="Times New Roman" w:hAnsi="Times New Roman" w:cs="Times New Roman"/>
          <w:bCs/>
        </w:rPr>
        <w:t xml:space="preserve">will assume that the Administrative Court does have jurisdiction to hear </w:t>
      </w:r>
      <w:r w:rsidR="00AA17AC" w:rsidRPr="00A81423">
        <w:rPr>
          <w:rFonts w:ascii="Times New Roman" w:hAnsi="Times New Roman" w:cs="Times New Roman"/>
          <w:bCs/>
        </w:rPr>
        <w:t xml:space="preserve">the matter. It is evident that the Administrative </w:t>
      </w:r>
      <w:r w:rsidR="004B7A1E" w:rsidRPr="00A81423">
        <w:rPr>
          <w:rFonts w:ascii="Times New Roman" w:hAnsi="Times New Roman" w:cs="Times New Roman"/>
          <w:bCs/>
        </w:rPr>
        <w:t xml:space="preserve">Court </w:t>
      </w:r>
      <w:r w:rsidR="00AA17AC" w:rsidRPr="00A81423">
        <w:rPr>
          <w:rFonts w:ascii="Times New Roman" w:hAnsi="Times New Roman" w:cs="Times New Roman"/>
          <w:bCs/>
        </w:rPr>
        <w:t>does not have jurisdiction to hear this matter.</w:t>
      </w:r>
      <w:r w:rsidR="00FF3D43" w:rsidRPr="00A81423">
        <w:rPr>
          <w:rFonts w:ascii="Times New Roman" w:hAnsi="Times New Roman" w:cs="Times New Roman"/>
          <w:bCs/>
        </w:rPr>
        <w:t xml:space="preserve"> Declining this court’s jurisdiction will leave the Applicant without a remedy. </w:t>
      </w:r>
      <w:r w:rsidR="00AA17AC" w:rsidRPr="00A81423">
        <w:rPr>
          <w:rFonts w:ascii="Times New Roman" w:hAnsi="Times New Roman" w:cs="Times New Roman"/>
          <w:bCs/>
        </w:rPr>
        <w:t xml:space="preserve"> </w:t>
      </w:r>
      <w:r w:rsidR="00F40289" w:rsidRPr="00A81423">
        <w:rPr>
          <w:rFonts w:ascii="Times New Roman" w:hAnsi="Times New Roman" w:cs="Times New Roman"/>
          <w:bCs/>
        </w:rPr>
        <w:t xml:space="preserve">Any reference to </w:t>
      </w:r>
      <w:r w:rsidR="00124849">
        <w:rPr>
          <w:rFonts w:ascii="Times New Roman" w:hAnsi="Times New Roman" w:cs="Times New Roman"/>
          <w:bCs/>
        </w:rPr>
        <w:t>s</w:t>
      </w:r>
      <w:r w:rsidR="00F40289" w:rsidRPr="00A81423">
        <w:rPr>
          <w:rFonts w:ascii="Times New Roman" w:hAnsi="Times New Roman" w:cs="Times New Roman"/>
          <w:bCs/>
        </w:rPr>
        <w:t xml:space="preserve"> 31 of the Mines and </w:t>
      </w:r>
      <w:r w:rsidR="003D02C2" w:rsidRPr="00A81423">
        <w:rPr>
          <w:rFonts w:ascii="Times New Roman" w:hAnsi="Times New Roman" w:cs="Times New Roman"/>
          <w:bCs/>
        </w:rPr>
        <w:t>Minerals Act</w:t>
      </w:r>
      <w:r w:rsidR="004A1669" w:rsidRPr="00A81423">
        <w:rPr>
          <w:rFonts w:ascii="Times New Roman" w:hAnsi="Times New Roman" w:cs="Times New Roman"/>
          <w:bCs/>
        </w:rPr>
        <w:t xml:space="preserve"> is likely to be a result of </w:t>
      </w:r>
      <w:r w:rsidR="00FF3D43" w:rsidRPr="00A81423">
        <w:rPr>
          <w:rFonts w:ascii="Times New Roman" w:hAnsi="Times New Roman" w:cs="Times New Roman"/>
          <w:bCs/>
        </w:rPr>
        <w:t xml:space="preserve">an </w:t>
      </w:r>
      <w:r w:rsidR="004A1669" w:rsidRPr="00A81423">
        <w:rPr>
          <w:rFonts w:ascii="Times New Roman" w:hAnsi="Times New Roman" w:cs="Times New Roman"/>
          <w:bCs/>
        </w:rPr>
        <w:t>error.</w:t>
      </w:r>
      <w:r w:rsidR="006B335D">
        <w:rPr>
          <w:rFonts w:ascii="Times New Roman" w:hAnsi="Times New Roman" w:cs="Times New Roman"/>
          <w:bCs/>
        </w:rPr>
        <w:t xml:space="preserve"> I would have ruled otherwise if </w:t>
      </w:r>
      <w:r w:rsidR="00124849">
        <w:rPr>
          <w:rFonts w:ascii="Times New Roman" w:hAnsi="Times New Roman" w:cs="Times New Roman"/>
          <w:bCs/>
        </w:rPr>
        <w:t>s</w:t>
      </w:r>
      <w:r w:rsidR="006B335D">
        <w:rPr>
          <w:rFonts w:ascii="Times New Roman" w:hAnsi="Times New Roman" w:cs="Times New Roman"/>
          <w:bCs/>
        </w:rPr>
        <w:t xml:space="preserve"> 31 of the Mines and Minerals Act was correctly pleaded. </w:t>
      </w:r>
      <w:r w:rsidR="004A1669" w:rsidRPr="00A81423">
        <w:rPr>
          <w:rFonts w:ascii="Times New Roman" w:hAnsi="Times New Roman" w:cs="Times New Roman"/>
          <w:bCs/>
        </w:rPr>
        <w:t xml:space="preserve"> </w:t>
      </w:r>
      <w:r w:rsidR="00646F7E" w:rsidRPr="00A81423">
        <w:rPr>
          <w:rFonts w:ascii="Times New Roman" w:hAnsi="Times New Roman" w:cs="Times New Roman"/>
          <w:bCs/>
        </w:rPr>
        <w:t xml:space="preserve">Accordingly, the </w:t>
      </w:r>
      <w:r w:rsidR="003D02C2" w:rsidRPr="00A81423">
        <w:rPr>
          <w:rFonts w:ascii="Times New Roman" w:hAnsi="Times New Roman" w:cs="Times New Roman"/>
          <w:bCs/>
        </w:rPr>
        <w:t xml:space="preserve">point </w:t>
      </w:r>
      <w:r w:rsidR="003D02C2" w:rsidRPr="00E254ED">
        <w:rPr>
          <w:rFonts w:ascii="Times New Roman" w:hAnsi="Times New Roman" w:cs="Times New Roman"/>
          <w:bCs/>
          <w:i/>
          <w:iCs/>
        </w:rPr>
        <w:t>in</w:t>
      </w:r>
      <w:r w:rsidR="00646F7E" w:rsidRPr="00A81423">
        <w:rPr>
          <w:rFonts w:ascii="Times New Roman" w:hAnsi="Times New Roman" w:cs="Times New Roman"/>
          <w:bCs/>
          <w:i/>
          <w:iCs/>
        </w:rPr>
        <w:t xml:space="preserve"> limine</w:t>
      </w:r>
      <w:r w:rsidR="00646F7E" w:rsidRPr="00A81423">
        <w:rPr>
          <w:rFonts w:ascii="Times New Roman" w:hAnsi="Times New Roman" w:cs="Times New Roman"/>
          <w:bCs/>
        </w:rPr>
        <w:t xml:space="preserve"> is hereby dismissed.</w:t>
      </w:r>
    </w:p>
    <w:p w14:paraId="226B0BF5" w14:textId="0F31C30F" w:rsidR="009D0863" w:rsidRPr="00A81423" w:rsidRDefault="00EF3B98" w:rsidP="00F223DC">
      <w:pPr>
        <w:spacing w:after="0" w:line="360" w:lineRule="auto"/>
        <w:ind w:firstLine="720"/>
        <w:jc w:val="both"/>
        <w:rPr>
          <w:rFonts w:ascii="Times New Roman" w:hAnsi="Times New Roman" w:cs="Times New Roman"/>
          <w:bCs/>
        </w:rPr>
      </w:pPr>
      <w:r w:rsidRPr="00A81423">
        <w:rPr>
          <w:rFonts w:ascii="Times New Roman" w:hAnsi="Times New Roman" w:cs="Times New Roman"/>
          <w:bCs/>
        </w:rPr>
        <w:t>Moving on to the question of statutory prescription</w:t>
      </w:r>
      <w:r w:rsidR="00622BD0" w:rsidRPr="00A81423">
        <w:rPr>
          <w:rFonts w:ascii="Times New Roman" w:hAnsi="Times New Roman" w:cs="Times New Roman"/>
          <w:bCs/>
        </w:rPr>
        <w:t xml:space="preserve">, </w:t>
      </w:r>
      <w:r w:rsidR="003D02C2" w:rsidRPr="00A81423">
        <w:rPr>
          <w:rFonts w:ascii="Times New Roman" w:hAnsi="Times New Roman" w:cs="Times New Roman"/>
          <w:bCs/>
        </w:rPr>
        <w:t>the</w:t>
      </w:r>
      <w:r w:rsidR="00622BD0" w:rsidRPr="00A81423">
        <w:rPr>
          <w:rFonts w:ascii="Times New Roman" w:hAnsi="Times New Roman" w:cs="Times New Roman"/>
          <w:bCs/>
        </w:rPr>
        <w:t xml:space="preserve"> </w:t>
      </w:r>
      <w:r w:rsidR="00E73291">
        <w:rPr>
          <w:rFonts w:ascii="Times New Roman" w:hAnsi="Times New Roman" w:cs="Times New Roman"/>
          <w:bCs/>
        </w:rPr>
        <w:t>first</w:t>
      </w:r>
      <w:r w:rsidR="00622BD0" w:rsidRPr="00A81423">
        <w:rPr>
          <w:rFonts w:ascii="Times New Roman" w:hAnsi="Times New Roman" w:cs="Times New Roman"/>
          <w:bCs/>
        </w:rPr>
        <w:t xml:space="preserve"> Respondent argued that the Applicant failed to challenge its mining title for over two years and hence the Applicant lost the right to challenge such title. The </w:t>
      </w:r>
      <w:r w:rsidR="00E73291">
        <w:rPr>
          <w:rFonts w:ascii="Times New Roman" w:hAnsi="Times New Roman" w:cs="Times New Roman"/>
          <w:bCs/>
        </w:rPr>
        <w:t>first</w:t>
      </w:r>
      <w:r w:rsidR="00622BD0" w:rsidRPr="00A81423">
        <w:rPr>
          <w:rFonts w:ascii="Times New Roman" w:hAnsi="Times New Roman" w:cs="Times New Roman"/>
          <w:bCs/>
        </w:rPr>
        <w:t xml:space="preserve"> Respondent</w:t>
      </w:r>
      <w:r w:rsidR="00411B9A" w:rsidRPr="00A81423">
        <w:rPr>
          <w:rFonts w:ascii="Times New Roman" w:hAnsi="Times New Roman" w:cs="Times New Roman"/>
          <w:bCs/>
        </w:rPr>
        <w:t xml:space="preserve"> alleged that it got registered as the owner of the disputed mining claims in 2019</w:t>
      </w:r>
      <w:r w:rsidR="00C95CA7">
        <w:rPr>
          <w:rFonts w:ascii="Times New Roman" w:hAnsi="Times New Roman" w:cs="Times New Roman"/>
          <w:bCs/>
        </w:rPr>
        <w:t>,</w:t>
      </w:r>
      <w:r w:rsidR="00411B9A" w:rsidRPr="00A81423">
        <w:rPr>
          <w:rFonts w:ascii="Times New Roman" w:hAnsi="Times New Roman" w:cs="Times New Roman"/>
          <w:bCs/>
        </w:rPr>
        <w:t xml:space="preserve"> while the Applicant sought to challenge the title more than two years later.</w:t>
      </w:r>
      <w:r w:rsidR="009D0863" w:rsidRPr="00A81423">
        <w:rPr>
          <w:rFonts w:ascii="Times New Roman" w:hAnsi="Times New Roman" w:cs="Times New Roman"/>
          <w:bCs/>
        </w:rPr>
        <w:t xml:space="preserve"> </w:t>
      </w:r>
      <w:r w:rsidR="00EB012A" w:rsidRPr="00A81423">
        <w:rPr>
          <w:rFonts w:ascii="Times New Roman" w:hAnsi="Times New Roman" w:cs="Times New Roman"/>
          <w:bCs/>
        </w:rPr>
        <w:t xml:space="preserve">Reference was made to </w:t>
      </w:r>
      <w:r w:rsidR="00124849">
        <w:rPr>
          <w:rFonts w:ascii="Times New Roman" w:hAnsi="Times New Roman" w:cs="Times New Roman"/>
          <w:bCs/>
        </w:rPr>
        <w:t>s</w:t>
      </w:r>
      <w:r w:rsidR="00EB012A" w:rsidRPr="00A81423">
        <w:rPr>
          <w:rFonts w:ascii="Times New Roman" w:hAnsi="Times New Roman" w:cs="Times New Roman"/>
          <w:bCs/>
        </w:rPr>
        <w:t xml:space="preserve"> 58 of the Mines and Minerals Act.</w:t>
      </w:r>
    </w:p>
    <w:p w14:paraId="21D3581D" w14:textId="691BCA16" w:rsidR="00A9397D" w:rsidRPr="00A81423" w:rsidRDefault="009D0863" w:rsidP="00F223DC">
      <w:pPr>
        <w:spacing w:line="360" w:lineRule="auto"/>
        <w:ind w:firstLine="720"/>
        <w:jc w:val="both"/>
        <w:rPr>
          <w:rFonts w:ascii="Times New Roman" w:hAnsi="Times New Roman" w:cs="Times New Roman"/>
          <w:bCs/>
        </w:rPr>
      </w:pPr>
      <w:r w:rsidRPr="00A81423">
        <w:rPr>
          <w:rFonts w:ascii="Times New Roman" w:hAnsi="Times New Roman" w:cs="Times New Roman"/>
          <w:bCs/>
        </w:rPr>
        <w:t xml:space="preserve">Responding to this point </w:t>
      </w:r>
      <w:r w:rsidRPr="00A81423">
        <w:rPr>
          <w:rFonts w:ascii="Times New Roman" w:hAnsi="Times New Roman" w:cs="Times New Roman"/>
          <w:bCs/>
          <w:i/>
          <w:iCs/>
        </w:rPr>
        <w:t>in limine</w:t>
      </w:r>
      <w:r w:rsidRPr="00A81423">
        <w:rPr>
          <w:rFonts w:ascii="Times New Roman" w:hAnsi="Times New Roman" w:cs="Times New Roman"/>
          <w:bCs/>
        </w:rPr>
        <w:t xml:space="preserve">, </w:t>
      </w:r>
      <w:r w:rsidR="003D02C2" w:rsidRPr="00A81423">
        <w:rPr>
          <w:rFonts w:ascii="Times New Roman" w:hAnsi="Times New Roman" w:cs="Times New Roman"/>
          <w:bCs/>
        </w:rPr>
        <w:t>the Applicant</w:t>
      </w:r>
      <w:r w:rsidR="000D4C29" w:rsidRPr="00A81423">
        <w:rPr>
          <w:rFonts w:ascii="Times New Roman" w:hAnsi="Times New Roman" w:cs="Times New Roman"/>
          <w:bCs/>
        </w:rPr>
        <w:t xml:space="preserve"> maintained that </w:t>
      </w:r>
      <w:r w:rsidR="00F223DC">
        <w:rPr>
          <w:rFonts w:ascii="Times New Roman" w:hAnsi="Times New Roman" w:cs="Times New Roman"/>
          <w:bCs/>
        </w:rPr>
        <w:t>s</w:t>
      </w:r>
      <w:r w:rsidR="000D4C29" w:rsidRPr="00A81423">
        <w:rPr>
          <w:rFonts w:ascii="Times New Roman" w:hAnsi="Times New Roman" w:cs="Times New Roman"/>
          <w:bCs/>
        </w:rPr>
        <w:t xml:space="preserve"> 58 of the Mines and Minerals Act does not arise where the Applicant is a prior pegger. In </w:t>
      </w:r>
      <w:r w:rsidR="000B113D" w:rsidRPr="00A81423">
        <w:rPr>
          <w:rFonts w:ascii="Times New Roman" w:hAnsi="Times New Roman" w:cs="Times New Roman"/>
          <w:bCs/>
        </w:rPr>
        <w:t>its Heads of Argument</w:t>
      </w:r>
      <w:r w:rsidR="000D4C29" w:rsidRPr="00A81423">
        <w:rPr>
          <w:rFonts w:ascii="Times New Roman" w:hAnsi="Times New Roman" w:cs="Times New Roman"/>
          <w:bCs/>
        </w:rPr>
        <w:t xml:space="preserve">, the </w:t>
      </w:r>
      <w:r w:rsidR="003D02C2" w:rsidRPr="00A81423">
        <w:rPr>
          <w:rFonts w:ascii="Times New Roman" w:hAnsi="Times New Roman" w:cs="Times New Roman"/>
          <w:bCs/>
        </w:rPr>
        <w:t>Applicant referred</w:t>
      </w:r>
      <w:r w:rsidR="000B113D" w:rsidRPr="00A81423">
        <w:rPr>
          <w:rFonts w:ascii="Times New Roman" w:hAnsi="Times New Roman" w:cs="Times New Roman"/>
          <w:bCs/>
        </w:rPr>
        <w:t xml:space="preserve"> the court to the case </w:t>
      </w:r>
      <w:r w:rsidR="003D02C2" w:rsidRPr="00A81423">
        <w:rPr>
          <w:rFonts w:ascii="Times New Roman" w:hAnsi="Times New Roman" w:cs="Times New Roman"/>
          <w:bCs/>
        </w:rPr>
        <w:t xml:space="preserve">of </w:t>
      </w:r>
      <w:r w:rsidR="003D02C2" w:rsidRPr="00C95CA7">
        <w:rPr>
          <w:rFonts w:ascii="Times New Roman" w:hAnsi="Times New Roman" w:cs="Times New Roman"/>
          <w:bCs/>
          <w:i/>
        </w:rPr>
        <w:t>Gin</w:t>
      </w:r>
      <w:r w:rsidR="00C843B1" w:rsidRPr="00C95CA7">
        <w:rPr>
          <w:rFonts w:ascii="Times New Roman" w:hAnsi="Times New Roman" w:cs="Times New Roman"/>
          <w:bCs/>
          <w:i/>
        </w:rPr>
        <w:t xml:space="preserve"> Yang Africa </w:t>
      </w:r>
      <w:r w:rsidR="003D02C2" w:rsidRPr="00F223DC">
        <w:rPr>
          <w:rFonts w:ascii="Times New Roman" w:hAnsi="Times New Roman" w:cs="Times New Roman"/>
          <w:bCs/>
          <w:iCs/>
        </w:rPr>
        <w:t>v</w:t>
      </w:r>
      <w:r w:rsidR="003D02C2" w:rsidRPr="00C95CA7">
        <w:rPr>
          <w:rFonts w:ascii="Times New Roman" w:hAnsi="Times New Roman" w:cs="Times New Roman"/>
          <w:bCs/>
          <w:i/>
        </w:rPr>
        <w:t xml:space="preserve"> Estate Late</w:t>
      </w:r>
      <w:r w:rsidR="00A9397D" w:rsidRPr="00C95CA7">
        <w:rPr>
          <w:rFonts w:ascii="Times New Roman" w:hAnsi="Times New Roman" w:cs="Times New Roman"/>
          <w:bCs/>
          <w:i/>
        </w:rPr>
        <w:t xml:space="preserve"> George </w:t>
      </w:r>
      <w:proofErr w:type="spellStart"/>
      <w:r w:rsidR="00A9397D" w:rsidRPr="00C95CA7">
        <w:rPr>
          <w:rFonts w:ascii="Times New Roman" w:hAnsi="Times New Roman" w:cs="Times New Roman"/>
          <w:bCs/>
          <w:i/>
        </w:rPr>
        <w:t>Makurira</w:t>
      </w:r>
      <w:proofErr w:type="spellEnd"/>
      <w:r w:rsidR="00A9397D" w:rsidRPr="00C95CA7">
        <w:rPr>
          <w:rFonts w:ascii="Times New Roman" w:hAnsi="Times New Roman" w:cs="Times New Roman"/>
          <w:bCs/>
          <w:i/>
        </w:rPr>
        <w:t xml:space="preserve"> and </w:t>
      </w:r>
      <w:proofErr w:type="spellStart"/>
      <w:r w:rsidR="00A9397D" w:rsidRPr="00C95CA7">
        <w:rPr>
          <w:rFonts w:ascii="Times New Roman" w:hAnsi="Times New Roman" w:cs="Times New Roman"/>
          <w:bCs/>
          <w:i/>
        </w:rPr>
        <w:t>ors</w:t>
      </w:r>
      <w:proofErr w:type="spellEnd"/>
      <w:r w:rsidR="000D4C29" w:rsidRPr="00A81423">
        <w:rPr>
          <w:rStyle w:val="FootnoteReference"/>
          <w:rFonts w:ascii="Times New Roman" w:hAnsi="Times New Roman" w:cs="Times New Roman"/>
          <w:bCs/>
        </w:rPr>
        <w:footnoteReference w:id="2"/>
      </w:r>
      <w:r w:rsidR="00A9397D" w:rsidRPr="00A81423">
        <w:rPr>
          <w:rFonts w:ascii="Times New Roman" w:hAnsi="Times New Roman" w:cs="Times New Roman"/>
          <w:bCs/>
        </w:rPr>
        <w:t xml:space="preserve">, where </w:t>
      </w:r>
      <w:proofErr w:type="spellStart"/>
      <w:r w:rsidR="00097297" w:rsidRPr="00F223DC">
        <w:rPr>
          <w:rFonts w:ascii="Times New Roman" w:hAnsi="Times New Roman" w:cs="Times New Roman"/>
          <w:bCs/>
          <w:smallCaps/>
        </w:rPr>
        <w:t>Makonese</w:t>
      </w:r>
      <w:proofErr w:type="spellEnd"/>
      <w:r w:rsidR="00097297" w:rsidRPr="00F223DC">
        <w:rPr>
          <w:rFonts w:ascii="Times New Roman" w:hAnsi="Times New Roman" w:cs="Times New Roman"/>
          <w:bCs/>
          <w:smallCaps/>
        </w:rPr>
        <w:t xml:space="preserve"> </w:t>
      </w:r>
      <w:r w:rsidR="00097297">
        <w:rPr>
          <w:rFonts w:ascii="Times New Roman" w:hAnsi="Times New Roman" w:cs="Times New Roman"/>
          <w:bCs/>
        </w:rPr>
        <w:t xml:space="preserve">J </w:t>
      </w:r>
      <w:r w:rsidR="00A9397D" w:rsidRPr="00A81423">
        <w:rPr>
          <w:rFonts w:ascii="Times New Roman" w:hAnsi="Times New Roman" w:cs="Times New Roman"/>
          <w:bCs/>
        </w:rPr>
        <w:t>held that:</w:t>
      </w:r>
    </w:p>
    <w:p w14:paraId="2BE99F8A" w14:textId="63F4F00E" w:rsidR="00A9397D" w:rsidRPr="00805848" w:rsidRDefault="00A9397D" w:rsidP="006C57B1">
      <w:pPr>
        <w:spacing w:line="240" w:lineRule="auto"/>
        <w:ind w:left="720"/>
        <w:jc w:val="both"/>
        <w:rPr>
          <w:rFonts w:ascii="Times New Roman" w:hAnsi="Times New Roman" w:cs="Times New Roman"/>
          <w:bCs/>
          <w:sz w:val="22"/>
          <w:szCs w:val="22"/>
          <w:lang w:val="en-US"/>
        </w:rPr>
      </w:pPr>
      <w:r w:rsidRPr="00805848">
        <w:rPr>
          <w:rFonts w:ascii="Times New Roman" w:hAnsi="Times New Roman" w:cs="Times New Roman"/>
          <w:bCs/>
          <w:sz w:val="22"/>
          <w:szCs w:val="22"/>
        </w:rPr>
        <w:t>“</w:t>
      </w:r>
      <w:r w:rsidRPr="00805848">
        <w:rPr>
          <w:rFonts w:ascii="Times New Roman" w:hAnsi="Times New Roman" w:cs="Times New Roman"/>
          <w:bCs/>
          <w:sz w:val="22"/>
          <w:szCs w:val="22"/>
          <w:lang w:val="en-US"/>
        </w:rPr>
        <w:t xml:space="preserve">The legal position is clear. A prior pegger has superior rights and s 177 (3) of the Act protects the applicant.  I am not persuaded that s 58 of the Act can be applied to protect the rights of a claim that was pegged in an area not open for pegging. Once it is established that Applicant has prior rights, the court cannot and should not resort to s 58 of the Act.  Olympia 7 Mine was registered encroaching into Bonsor South Mine. It was not supposed to be registered in the first place. It is liable for cancellation in terms of s 50 of the Act. This is because the rights of </w:t>
      </w:r>
      <w:r w:rsidR="00E73291" w:rsidRPr="00805848">
        <w:rPr>
          <w:rFonts w:ascii="Times New Roman" w:hAnsi="Times New Roman" w:cs="Times New Roman"/>
          <w:bCs/>
          <w:sz w:val="22"/>
          <w:szCs w:val="22"/>
          <w:lang w:val="en-US"/>
        </w:rPr>
        <w:t>first</w:t>
      </w:r>
      <w:r w:rsidRPr="00805848">
        <w:rPr>
          <w:rFonts w:ascii="Times New Roman" w:hAnsi="Times New Roman" w:cs="Times New Roman"/>
          <w:bCs/>
          <w:sz w:val="22"/>
          <w:szCs w:val="22"/>
          <w:lang w:val="en-US"/>
        </w:rPr>
        <w:t xml:space="preserve"> and</w:t>
      </w:r>
      <w:r w:rsidR="00805848" w:rsidRPr="00805848">
        <w:rPr>
          <w:rFonts w:ascii="Times New Roman" w:hAnsi="Times New Roman" w:cs="Times New Roman"/>
          <w:bCs/>
          <w:sz w:val="22"/>
          <w:szCs w:val="22"/>
          <w:lang w:val="en-US"/>
        </w:rPr>
        <w:t xml:space="preserve"> second</w:t>
      </w:r>
      <w:r w:rsidRPr="00805848">
        <w:rPr>
          <w:rFonts w:ascii="Times New Roman" w:hAnsi="Times New Roman" w:cs="Times New Roman"/>
          <w:bCs/>
          <w:sz w:val="22"/>
          <w:szCs w:val="22"/>
          <w:lang w:val="en-US"/>
        </w:rPr>
        <w:t xml:space="preserve"> </w:t>
      </w:r>
      <w:r w:rsidRPr="00805848">
        <w:rPr>
          <w:rFonts w:ascii="Times New Roman" w:hAnsi="Times New Roman" w:cs="Times New Roman"/>
          <w:bCs/>
          <w:sz w:val="22"/>
          <w:szCs w:val="22"/>
          <w:lang w:val="en-US"/>
        </w:rPr>
        <w:lastRenderedPageBreak/>
        <w:t xml:space="preserve">respondents are subordinate to the rights of the Applicant who is the first pegger. See the case of </w:t>
      </w:r>
      <w:r w:rsidRPr="00805848">
        <w:rPr>
          <w:rFonts w:ascii="Times New Roman" w:hAnsi="Times New Roman" w:cs="Times New Roman"/>
          <w:bCs/>
          <w:i/>
          <w:sz w:val="22"/>
          <w:szCs w:val="22"/>
          <w:lang w:val="en-US"/>
        </w:rPr>
        <w:t xml:space="preserve">K &amp; G Mining Syndicate </w:t>
      </w:r>
      <w:r w:rsidRPr="00805848">
        <w:rPr>
          <w:rFonts w:ascii="Times New Roman" w:hAnsi="Times New Roman" w:cs="Times New Roman"/>
          <w:bCs/>
          <w:iCs/>
          <w:sz w:val="22"/>
          <w:szCs w:val="22"/>
          <w:lang w:val="en-US"/>
        </w:rPr>
        <w:t xml:space="preserve">v </w:t>
      </w:r>
      <w:r w:rsidRPr="00805848">
        <w:rPr>
          <w:rFonts w:ascii="Times New Roman" w:hAnsi="Times New Roman" w:cs="Times New Roman"/>
          <w:bCs/>
          <w:i/>
          <w:sz w:val="22"/>
          <w:szCs w:val="22"/>
          <w:lang w:val="en-US"/>
        </w:rPr>
        <w:t>Mugangavari &amp;</w:t>
      </w:r>
      <w:r w:rsidRPr="00805848">
        <w:rPr>
          <w:rFonts w:ascii="Times New Roman" w:hAnsi="Times New Roman" w:cs="Times New Roman"/>
          <w:bCs/>
          <w:sz w:val="22"/>
          <w:szCs w:val="22"/>
          <w:lang w:val="en-US"/>
        </w:rPr>
        <w:t xml:space="preserve"> Ors HB 131/17.  In this instance Bonsor South and Olympia 7 cannot co-exist. This is what has led to the physical and at times violent confrontation between the disputing parties.”  </w:t>
      </w:r>
    </w:p>
    <w:p w14:paraId="37315BF4" w14:textId="135F677A" w:rsidR="00622BD0" w:rsidRPr="00805848" w:rsidRDefault="00411B9A" w:rsidP="00A81423">
      <w:pPr>
        <w:spacing w:line="360" w:lineRule="auto"/>
        <w:jc w:val="both"/>
        <w:rPr>
          <w:rFonts w:ascii="Times New Roman" w:hAnsi="Times New Roman" w:cs="Times New Roman"/>
          <w:bCs/>
          <w:sz w:val="22"/>
          <w:szCs w:val="22"/>
        </w:rPr>
      </w:pPr>
      <w:r w:rsidRPr="00805848">
        <w:rPr>
          <w:rFonts w:ascii="Times New Roman" w:hAnsi="Times New Roman" w:cs="Times New Roman"/>
          <w:bCs/>
          <w:sz w:val="22"/>
          <w:szCs w:val="22"/>
        </w:rPr>
        <w:t xml:space="preserve">  </w:t>
      </w:r>
    </w:p>
    <w:p w14:paraId="045F15FD" w14:textId="44AF7D62" w:rsidR="00DC7BA3" w:rsidRPr="00A81423" w:rsidRDefault="00D6370F" w:rsidP="00A81423">
      <w:pPr>
        <w:spacing w:line="360" w:lineRule="auto"/>
        <w:jc w:val="both"/>
        <w:rPr>
          <w:rFonts w:ascii="Times New Roman" w:hAnsi="Times New Roman" w:cs="Times New Roman"/>
          <w:bCs/>
        </w:rPr>
      </w:pPr>
      <w:r w:rsidRPr="00A81423">
        <w:rPr>
          <w:rFonts w:ascii="Times New Roman" w:hAnsi="Times New Roman" w:cs="Times New Roman"/>
          <w:bCs/>
        </w:rPr>
        <w:t>Section 58 of the Mines and Minerals Act provides as follows:</w:t>
      </w:r>
    </w:p>
    <w:p w14:paraId="496BF85A" w14:textId="3AEEA8BA" w:rsidR="005127C1" w:rsidRPr="00805848" w:rsidRDefault="00DC7BA3" w:rsidP="00805848">
      <w:pPr>
        <w:spacing w:line="240" w:lineRule="auto"/>
        <w:ind w:left="720"/>
        <w:jc w:val="both"/>
        <w:rPr>
          <w:rFonts w:ascii="Times New Roman" w:hAnsi="Times New Roman" w:cs="Times New Roman"/>
          <w:bCs/>
          <w:sz w:val="22"/>
          <w:szCs w:val="22"/>
        </w:rPr>
      </w:pPr>
      <w:r w:rsidRPr="00805848">
        <w:rPr>
          <w:rFonts w:ascii="Times New Roman" w:hAnsi="Times New Roman" w:cs="Times New Roman"/>
          <w:bCs/>
          <w:sz w:val="22"/>
          <w:szCs w:val="22"/>
        </w:rPr>
        <w:t xml:space="preserve">“When a mining location or a </w:t>
      </w:r>
      <w:r w:rsidR="003D02C2" w:rsidRPr="00805848">
        <w:rPr>
          <w:rFonts w:ascii="Times New Roman" w:hAnsi="Times New Roman" w:cs="Times New Roman"/>
          <w:bCs/>
          <w:sz w:val="22"/>
          <w:szCs w:val="22"/>
        </w:rPr>
        <w:t>secondary reef</w:t>
      </w:r>
      <w:r w:rsidRPr="00805848">
        <w:rPr>
          <w:rFonts w:ascii="Times New Roman" w:hAnsi="Times New Roman" w:cs="Times New Roman"/>
          <w:bCs/>
          <w:sz w:val="22"/>
          <w:szCs w:val="22"/>
        </w:rPr>
        <w:t xml:space="preserve"> in a mining location has been registered for a period of two years, it shall not be </w:t>
      </w:r>
      <w:r w:rsidR="00C64A1F" w:rsidRPr="00805848">
        <w:rPr>
          <w:rFonts w:ascii="Times New Roman" w:hAnsi="Times New Roman" w:cs="Times New Roman"/>
          <w:bCs/>
          <w:sz w:val="22"/>
          <w:szCs w:val="22"/>
        </w:rPr>
        <w:t xml:space="preserve">competent </w:t>
      </w:r>
      <w:r w:rsidRPr="00805848">
        <w:rPr>
          <w:rFonts w:ascii="Times New Roman" w:hAnsi="Times New Roman" w:cs="Times New Roman"/>
          <w:bCs/>
          <w:sz w:val="22"/>
          <w:szCs w:val="22"/>
        </w:rPr>
        <w:t xml:space="preserve">for any person to </w:t>
      </w:r>
      <w:r w:rsidR="003D02C2" w:rsidRPr="00805848">
        <w:rPr>
          <w:rFonts w:ascii="Times New Roman" w:hAnsi="Times New Roman" w:cs="Times New Roman"/>
          <w:bCs/>
          <w:sz w:val="22"/>
          <w:szCs w:val="22"/>
        </w:rPr>
        <w:t>dispute the</w:t>
      </w:r>
      <w:r w:rsidR="00C64A1F" w:rsidRPr="00805848">
        <w:rPr>
          <w:rFonts w:ascii="Times New Roman" w:hAnsi="Times New Roman" w:cs="Times New Roman"/>
          <w:bCs/>
          <w:sz w:val="22"/>
          <w:szCs w:val="22"/>
        </w:rPr>
        <w:t xml:space="preserve"> title in respect of such location or reef on the ground that the pegging of </w:t>
      </w:r>
      <w:r w:rsidR="003D02C2" w:rsidRPr="00805848">
        <w:rPr>
          <w:rFonts w:ascii="Times New Roman" w:hAnsi="Times New Roman" w:cs="Times New Roman"/>
          <w:bCs/>
          <w:sz w:val="22"/>
          <w:szCs w:val="22"/>
        </w:rPr>
        <w:t>such location</w:t>
      </w:r>
      <w:r w:rsidR="00C64A1F" w:rsidRPr="00805848">
        <w:rPr>
          <w:rFonts w:ascii="Times New Roman" w:hAnsi="Times New Roman" w:cs="Times New Roman"/>
          <w:bCs/>
          <w:sz w:val="22"/>
          <w:szCs w:val="22"/>
        </w:rPr>
        <w:t xml:space="preserve"> </w:t>
      </w:r>
      <w:r w:rsidR="003D02C2" w:rsidRPr="00805848">
        <w:rPr>
          <w:rFonts w:ascii="Times New Roman" w:hAnsi="Times New Roman" w:cs="Times New Roman"/>
          <w:bCs/>
          <w:sz w:val="22"/>
          <w:szCs w:val="22"/>
        </w:rPr>
        <w:t>or reef</w:t>
      </w:r>
      <w:r w:rsidR="00C64A1F" w:rsidRPr="00805848">
        <w:rPr>
          <w:rFonts w:ascii="Times New Roman" w:hAnsi="Times New Roman" w:cs="Times New Roman"/>
          <w:bCs/>
          <w:sz w:val="22"/>
          <w:szCs w:val="22"/>
        </w:rPr>
        <w:t xml:space="preserve"> was invalid or illegal or that provisions of this Act were not complied with prior to the issue of the certificate of registration.”</w:t>
      </w:r>
    </w:p>
    <w:p w14:paraId="30AB45EE" w14:textId="70CBBCD6" w:rsidR="005127C1" w:rsidRPr="00A81423" w:rsidRDefault="005127C1" w:rsidP="00A81423">
      <w:pPr>
        <w:spacing w:line="360" w:lineRule="auto"/>
        <w:jc w:val="both"/>
        <w:rPr>
          <w:rFonts w:ascii="Times New Roman" w:hAnsi="Times New Roman" w:cs="Times New Roman"/>
          <w:bCs/>
        </w:rPr>
      </w:pPr>
      <w:r w:rsidRPr="00A81423">
        <w:rPr>
          <w:rFonts w:ascii="Times New Roman" w:hAnsi="Times New Roman" w:cs="Times New Roman"/>
          <w:bCs/>
        </w:rPr>
        <w:t>Section 177(3) of the Mines and Minerals Act provides as follows:</w:t>
      </w:r>
    </w:p>
    <w:p w14:paraId="0DE9230B" w14:textId="1644EA41" w:rsidR="00BA73DF" w:rsidRPr="00805848" w:rsidRDefault="005127C1" w:rsidP="00805848">
      <w:pPr>
        <w:spacing w:line="240" w:lineRule="auto"/>
        <w:ind w:left="720"/>
        <w:jc w:val="both"/>
        <w:rPr>
          <w:rFonts w:ascii="Times New Roman" w:hAnsi="Times New Roman" w:cs="Times New Roman"/>
          <w:bCs/>
          <w:sz w:val="22"/>
          <w:szCs w:val="22"/>
        </w:rPr>
      </w:pPr>
      <w:r w:rsidRPr="00805848">
        <w:rPr>
          <w:rFonts w:ascii="Times New Roman" w:hAnsi="Times New Roman" w:cs="Times New Roman"/>
          <w:bCs/>
          <w:sz w:val="22"/>
          <w:szCs w:val="22"/>
        </w:rPr>
        <w:t>“</w:t>
      </w:r>
      <w:r w:rsidR="000F3F93" w:rsidRPr="00805848">
        <w:rPr>
          <w:rFonts w:ascii="Times New Roman" w:hAnsi="Times New Roman" w:cs="Times New Roman"/>
          <w:bCs/>
          <w:sz w:val="22"/>
          <w:szCs w:val="22"/>
        </w:rPr>
        <w:t>Priority of acquisition of title to any mining location, reef or deposit,  if such title has been duly maintained, shall in every case determine the rights as between the various peggers of mining locations,</w:t>
      </w:r>
      <w:r w:rsidR="00C31AEE" w:rsidRPr="00805848">
        <w:rPr>
          <w:rFonts w:ascii="Times New Roman" w:hAnsi="Times New Roman" w:cs="Times New Roman"/>
          <w:bCs/>
          <w:sz w:val="22"/>
          <w:szCs w:val="22"/>
        </w:rPr>
        <w:t xml:space="preserve"> reefs or deposits as aforesaid and in all cases of dispute the rule</w:t>
      </w:r>
      <w:r w:rsidR="00162C34" w:rsidRPr="00805848">
        <w:rPr>
          <w:rFonts w:ascii="Times New Roman" w:hAnsi="Times New Roman" w:cs="Times New Roman"/>
          <w:bCs/>
          <w:sz w:val="22"/>
          <w:szCs w:val="22"/>
        </w:rPr>
        <w:t xml:space="preserve"> shall be followed that, in the event of the rights of any subsequent </w:t>
      </w:r>
      <w:r w:rsidR="008E3020" w:rsidRPr="00805848">
        <w:rPr>
          <w:rFonts w:ascii="Times New Roman" w:hAnsi="Times New Roman" w:cs="Times New Roman"/>
          <w:bCs/>
          <w:sz w:val="22"/>
          <w:szCs w:val="22"/>
        </w:rPr>
        <w:t xml:space="preserve">pegger </w:t>
      </w:r>
      <w:r w:rsidR="00162C34" w:rsidRPr="00805848">
        <w:rPr>
          <w:rFonts w:ascii="Times New Roman" w:hAnsi="Times New Roman" w:cs="Times New Roman"/>
          <w:bCs/>
          <w:sz w:val="22"/>
          <w:szCs w:val="22"/>
        </w:rPr>
        <w:t>conflicting with the rights of a prior pegger, then, to the extent to which such rights conflict, the right of any subsequent pegger shall be subordinated to those of the prior pegger and all certificates of registration shall be deemed to be issued subject to the above conditions.”</w:t>
      </w:r>
    </w:p>
    <w:p w14:paraId="5327BB33" w14:textId="6CDB71E3" w:rsidR="00BA73DF" w:rsidRPr="00A81423" w:rsidRDefault="00BA73DF" w:rsidP="00805848">
      <w:pPr>
        <w:spacing w:line="360" w:lineRule="auto"/>
        <w:ind w:firstLine="720"/>
        <w:jc w:val="both"/>
        <w:rPr>
          <w:rFonts w:ascii="Times New Roman" w:hAnsi="Times New Roman" w:cs="Times New Roman"/>
        </w:rPr>
      </w:pPr>
      <w:r w:rsidRPr="00A81423">
        <w:rPr>
          <w:rFonts w:ascii="Times New Roman" w:hAnsi="Times New Roman" w:cs="Times New Roman"/>
        </w:rPr>
        <w:t xml:space="preserve">It is an established principle of statutory interpretation that words must be assigned their </w:t>
      </w:r>
      <w:r w:rsidR="00B90765" w:rsidRPr="00A81423">
        <w:rPr>
          <w:rFonts w:ascii="Times New Roman" w:hAnsi="Times New Roman" w:cs="Times New Roman"/>
        </w:rPr>
        <w:t xml:space="preserve">ordinary and </w:t>
      </w:r>
      <w:r w:rsidRPr="00A81423">
        <w:rPr>
          <w:rFonts w:ascii="Times New Roman" w:hAnsi="Times New Roman" w:cs="Times New Roman"/>
        </w:rPr>
        <w:t xml:space="preserve">grammatical </w:t>
      </w:r>
      <w:r w:rsidR="00B90765" w:rsidRPr="00A81423">
        <w:rPr>
          <w:rFonts w:ascii="Times New Roman" w:hAnsi="Times New Roman" w:cs="Times New Roman"/>
        </w:rPr>
        <w:t xml:space="preserve">signification </w:t>
      </w:r>
      <w:r w:rsidRPr="00A81423">
        <w:rPr>
          <w:rFonts w:ascii="Times New Roman" w:hAnsi="Times New Roman" w:cs="Times New Roman"/>
        </w:rPr>
        <w:t xml:space="preserve">unless </w:t>
      </w:r>
      <w:r w:rsidR="00B90765" w:rsidRPr="00A81423">
        <w:rPr>
          <w:rFonts w:ascii="Times New Roman" w:hAnsi="Times New Roman" w:cs="Times New Roman"/>
        </w:rPr>
        <w:t xml:space="preserve">where doing so would </w:t>
      </w:r>
      <w:r w:rsidRPr="00A81423">
        <w:rPr>
          <w:rFonts w:ascii="Times New Roman" w:hAnsi="Times New Roman" w:cs="Times New Roman"/>
        </w:rPr>
        <w:t xml:space="preserve">lead to repugnance or absurdity. Reference is made to the case of </w:t>
      </w:r>
      <w:r w:rsidRPr="00C95CA7">
        <w:rPr>
          <w:rFonts w:ascii="Times New Roman" w:hAnsi="Times New Roman" w:cs="Times New Roman"/>
          <w:i/>
        </w:rPr>
        <w:t xml:space="preserve">Falcon Gold Zimbabwe </w:t>
      </w:r>
      <w:r w:rsidRPr="00805848">
        <w:rPr>
          <w:rFonts w:ascii="Times New Roman" w:hAnsi="Times New Roman" w:cs="Times New Roman"/>
          <w:iCs/>
        </w:rPr>
        <w:t>v</w:t>
      </w:r>
      <w:r w:rsidRPr="00C95CA7">
        <w:rPr>
          <w:rFonts w:ascii="Times New Roman" w:hAnsi="Times New Roman" w:cs="Times New Roman"/>
          <w:i/>
        </w:rPr>
        <w:t xml:space="preserve"> Pfura Rural District Council</w:t>
      </w:r>
      <w:r w:rsidRPr="00A81423">
        <w:rPr>
          <w:rStyle w:val="FootnoteReference"/>
          <w:rFonts w:ascii="Times New Roman" w:hAnsi="Times New Roman" w:cs="Times New Roman"/>
        </w:rPr>
        <w:footnoteReference w:id="3"/>
      </w:r>
      <w:r w:rsidRPr="00A81423">
        <w:rPr>
          <w:rFonts w:ascii="Times New Roman" w:hAnsi="Times New Roman" w:cs="Times New Roman"/>
        </w:rPr>
        <w:t>, where the Supreme Court opined as follows:</w:t>
      </w:r>
    </w:p>
    <w:p w14:paraId="364563C7" w14:textId="77777777" w:rsidR="00BA73DF" w:rsidRPr="00805848" w:rsidRDefault="00BA73DF" w:rsidP="006C57B1">
      <w:pPr>
        <w:spacing w:after="0" w:line="240" w:lineRule="auto"/>
        <w:ind w:left="720"/>
        <w:jc w:val="both"/>
        <w:rPr>
          <w:rFonts w:ascii="Times New Roman" w:eastAsia="Times New Roman" w:hAnsi="Times New Roman" w:cs="Times New Roman"/>
          <w:sz w:val="22"/>
          <w:szCs w:val="22"/>
          <w:lang w:val="en-GB"/>
        </w:rPr>
      </w:pPr>
      <w:r w:rsidRPr="00805848">
        <w:rPr>
          <w:rFonts w:ascii="Times New Roman" w:hAnsi="Times New Roman" w:cs="Times New Roman"/>
          <w:sz w:val="22"/>
          <w:szCs w:val="22"/>
        </w:rPr>
        <w:t>“</w:t>
      </w:r>
      <w:r w:rsidRPr="00805848">
        <w:rPr>
          <w:rFonts w:ascii="Times New Roman" w:eastAsia="Times New Roman" w:hAnsi="Times New Roman" w:cs="Times New Roman"/>
          <w:sz w:val="22"/>
          <w:szCs w:val="22"/>
          <w:lang w:val="en-GB"/>
        </w:rPr>
        <w:t xml:space="preserve">The law on the interpretation of statutes and other legal documents is now well established in this jurisdiction.  It is the duty of the court to give effect to every word which is used in a statute unless necessity or absolute intractability of the language employed compels the court to treat the words as not written – </w:t>
      </w:r>
      <w:r w:rsidRPr="00805848">
        <w:rPr>
          <w:rFonts w:ascii="Times New Roman" w:eastAsia="Times New Roman" w:hAnsi="Times New Roman" w:cs="Times New Roman"/>
          <w:i/>
          <w:sz w:val="22"/>
          <w:szCs w:val="22"/>
          <w:lang w:val="en-GB"/>
        </w:rPr>
        <w:t>Keyter</w:t>
      </w:r>
      <w:r w:rsidRPr="00805848">
        <w:rPr>
          <w:rFonts w:ascii="Times New Roman" w:eastAsia="Times New Roman" w:hAnsi="Times New Roman" w:cs="Times New Roman"/>
          <w:sz w:val="22"/>
          <w:szCs w:val="22"/>
          <w:lang w:val="en-GB"/>
        </w:rPr>
        <w:t xml:space="preserve"> v </w:t>
      </w:r>
      <w:r w:rsidRPr="00805848">
        <w:rPr>
          <w:rFonts w:ascii="Times New Roman" w:eastAsia="Times New Roman" w:hAnsi="Times New Roman" w:cs="Times New Roman"/>
          <w:i/>
          <w:sz w:val="22"/>
          <w:szCs w:val="22"/>
          <w:lang w:val="en-GB"/>
        </w:rPr>
        <w:t>Minister of Agriculture</w:t>
      </w:r>
      <w:r w:rsidRPr="00805848">
        <w:rPr>
          <w:rFonts w:ascii="Times New Roman" w:eastAsia="Times New Roman" w:hAnsi="Times New Roman" w:cs="Times New Roman"/>
          <w:sz w:val="22"/>
          <w:szCs w:val="22"/>
          <w:lang w:val="en-GB"/>
        </w:rPr>
        <w:t xml:space="preserve"> 1908 NLR 522.  This is the golden rule of interpretation which, put otherwise, stipulates that the language in the document is to be given its grammatical and ordinary meaning, unless this would result in some absurdity, or some repugnance or inconsistency with the rest of the instrument – </w:t>
      </w:r>
      <w:r w:rsidRPr="00805848">
        <w:rPr>
          <w:rFonts w:ascii="Times New Roman" w:eastAsia="Times New Roman" w:hAnsi="Times New Roman" w:cs="Times New Roman"/>
          <w:i/>
          <w:sz w:val="22"/>
          <w:szCs w:val="22"/>
          <w:lang w:val="en-GB"/>
        </w:rPr>
        <w:t xml:space="preserve">Coopers and Lybrand &amp; Others </w:t>
      </w:r>
      <w:r w:rsidRPr="00805848">
        <w:rPr>
          <w:rFonts w:ascii="Times New Roman" w:eastAsia="Times New Roman" w:hAnsi="Times New Roman" w:cs="Times New Roman"/>
          <w:iCs/>
          <w:sz w:val="22"/>
          <w:szCs w:val="22"/>
          <w:lang w:val="en-GB"/>
        </w:rPr>
        <w:t>v</w:t>
      </w:r>
      <w:r w:rsidRPr="00805848">
        <w:rPr>
          <w:rFonts w:ascii="Times New Roman" w:eastAsia="Times New Roman" w:hAnsi="Times New Roman" w:cs="Times New Roman"/>
          <w:i/>
          <w:sz w:val="22"/>
          <w:szCs w:val="22"/>
          <w:lang w:val="en-GB"/>
        </w:rPr>
        <w:t xml:space="preserve"> Bryant</w:t>
      </w:r>
      <w:r w:rsidRPr="00805848">
        <w:rPr>
          <w:rFonts w:ascii="Times New Roman" w:eastAsia="Times New Roman" w:hAnsi="Times New Roman" w:cs="Times New Roman"/>
          <w:sz w:val="22"/>
          <w:szCs w:val="22"/>
          <w:lang w:val="en-GB"/>
        </w:rPr>
        <w:t xml:space="preserve"> 1995 (3) SA 761, 767 (A). In </w:t>
      </w:r>
      <w:r w:rsidRPr="00805848">
        <w:rPr>
          <w:rFonts w:ascii="Times New Roman" w:eastAsia="Times New Roman" w:hAnsi="Times New Roman" w:cs="Times New Roman"/>
          <w:i/>
          <w:sz w:val="22"/>
          <w:szCs w:val="22"/>
          <w:lang w:val="en-GB"/>
        </w:rPr>
        <w:t xml:space="preserve">Chegutu Municipality </w:t>
      </w:r>
      <w:r w:rsidRPr="00805848">
        <w:rPr>
          <w:rFonts w:ascii="Times New Roman" w:eastAsia="Times New Roman" w:hAnsi="Times New Roman" w:cs="Times New Roman"/>
          <w:iCs/>
          <w:sz w:val="22"/>
          <w:szCs w:val="22"/>
          <w:lang w:val="en-GB"/>
        </w:rPr>
        <w:t>v</w:t>
      </w:r>
      <w:r w:rsidRPr="00805848">
        <w:rPr>
          <w:rFonts w:ascii="Times New Roman" w:eastAsia="Times New Roman" w:hAnsi="Times New Roman" w:cs="Times New Roman"/>
          <w:i/>
          <w:sz w:val="22"/>
          <w:szCs w:val="22"/>
          <w:lang w:val="en-GB"/>
        </w:rPr>
        <w:t xml:space="preserve"> Manyora</w:t>
      </w:r>
      <w:r w:rsidRPr="00805848">
        <w:rPr>
          <w:rFonts w:ascii="Times New Roman" w:eastAsia="Times New Roman" w:hAnsi="Times New Roman" w:cs="Times New Roman"/>
          <w:sz w:val="22"/>
          <w:szCs w:val="22"/>
          <w:lang w:val="en-GB"/>
        </w:rPr>
        <w:t xml:space="preserve"> 1996 (1) ZLR – 262 (SC) this Court remarked that there is no magic about interpretation and that words must be taken in their context.</w:t>
      </w:r>
    </w:p>
    <w:p w14:paraId="1F119160" w14:textId="77777777" w:rsidR="00BA73DF" w:rsidRPr="00805848" w:rsidRDefault="00BA73DF" w:rsidP="006C57B1">
      <w:pPr>
        <w:spacing w:after="0" w:line="240" w:lineRule="auto"/>
        <w:jc w:val="both"/>
        <w:rPr>
          <w:rFonts w:ascii="Times New Roman" w:eastAsia="Times New Roman" w:hAnsi="Times New Roman" w:cs="Times New Roman"/>
          <w:sz w:val="22"/>
          <w:szCs w:val="22"/>
          <w:lang w:val="en-GB"/>
        </w:rPr>
      </w:pPr>
      <w:r w:rsidRPr="00805848">
        <w:rPr>
          <w:rFonts w:ascii="Times New Roman" w:eastAsia="Times New Roman" w:hAnsi="Times New Roman" w:cs="Times New Roman"/>
          <w:sz w:val="22"/>
          <w:szCs w:val="22"/>
          <w:lang w:val="en-GB"/>
        </w:rPr>
        <w:t xml:space="preserve">   </w:t>
      </w:r>
      <w:r w:rsidRPr="00805848">
        <w:rPr>
          <w:rFonts w:ascii="Times New Roman" w:eastAsia="Times New Roman" w:hAnsi="Times New Roman" w:cs="Times New Roman"/>
          <w:sz w:val="22"/>
          <w:szCs w:val="22"/>
          <w:lang w:val="en-GB"/>
        </w:rPr>
        <w:tab/>
        <w:t xml:space="preserve"> </w:t>
      </w:r>
    </w:p>
    <w:p w14:paraId="0002DFAE" w14:textId="77777777" w:rsidR="00BA73DF" w:rsidRPr="00805848" w:rsidRDefault="00BA73DF" w:rsidP="006C57B1">
      <w:pPr>
        <w:spacing w:after="0" w:line="240" w:lineRule="auto"/>
        <w:ind w:left="567"/>
        <w:jc w:val="both"/>
        <w:rPr>
          <w:rFonts w:ascii="Times New Roman" w:eastAsia="Times New Roman" w:hAnsi="Times New Roman" w:cs="Times New Roman"/>
          <w:sz w:val="22"/>
          <w:szCs w:val="22"/>
          <w:lang w:val="en-GB"/>
        </w:rPr>
      </w:pPr>
      <w:r w:rsidRPr="00805848">
        <w:rPr>
          <w:rFonts w:ascii="Times New Roman" w:eastAsia="Times New Roman" w:hAnsi="Times New Roman" w:cs="Times New Roman"/>
          <w:sz w:val="22"/>
          <w:szCs w:val="22"/>
          <w:lang w:val="en-GB"/>
        </w:rPr>
        <w:t xml:space="preserve">[19] More recently the Constitutional Court of Zimbabwe in </w:t>
      </w:r>
      <w:r w:rsidRPr="00805848">
        <w:rPr>
          <w:rFonts w:ascii="Times New Roman" w:eastAsia="Times New Roman" w:hAnsi="Times New Roman" w:cs="Times New Roman"/>
          <w:i/>
          <w:sz w:val="22"/>
          <w:szCs w:val="22"/>
          <w:lang w:val="en-GB"/>
        </w:rPr>
        <w:t>Chihava</w:t>
      </w:r>
      <w:r w:rsidRPr="00805848">
        <w:rPr>
          <w:rFonts w:ascii="Times New Roman" w:eastAsia="Times New Roman" w:hAnsi="Times New Roman" w:cs="Times New Roman"/>
          <w:sz w:val="22"/>
          <w:szCs w:val="22"/>
          <w:lang w:val="en-GB"/>
        </w:rPr>
        <w:t xml:space="preserve"> v </w:t>
      </w:r>
      <w:r w:rsidRPr="00805848">
        <w:rPr>
          <w:rFonts w:ascii="Times New Roman" w:eastAsia="Times New Roman" w:hAnsi="Times New Roman" w:cs="Times New Roman"/>
          <w:i/>
          <w:sz w:val="22"/>
          <w:szCs w:val="22"/>
          <w:lang w:val="en-GB"/>
        </w:rPr>
        <w:t>The Provincial Magistrate Francis Mapfumo</w:t>
      </w:r>
      <w:r w:rsidRPr="00805848">
        <w:rPr>
          <w:rFonts w:ascii="Times New Roman" w:eastAsia="Times New Roman" w:hAnsi="Times New Roman" w:cs="Times New Roman"/>
          <w:sz w:val="22"/>
          <w:szCs w:val="22"/>
          <w:lang w:val="en-GB"/>
        </w:rPr>
        <w:t xml:space="preserve"> CCZ 6/15 stated at pp 7-8 of the unreported judgment:</w:t>
      </w:r>
    </w:p>
    <w:p w14:paraId="094BB47C" w14:textId="77777777" w:rsidR="00BA73DF" w:rsidRPr="00805848" w:rsidRDefault="00BA73DF" w:rsidP="006C57B1">
      <w:pPr>
        <w:spacing w:after="0" w:line="240" w:lineRule="auto"/>
        <w:ind w:left="567"/>
        <w:jc w:val="both"/>
        <w:rPr>
          <w:rFonts w:ascii="Times New Roman" w:eastAsia="Times New Roman" w:hAnsi="Times New Roman" w:cs="Times New Roman"/>
          <w:sz w:val="22"/>
          <w:szCs w:val="22"/>
          <w:lang w:val="en-GB"/>
        </w:rPr>
      </w:pPr>
      <w:r w:rsidRPr="00805848">
        <w:rPr>
          <w:rFonts w:ascii="Times New Roman" w:eastAsia="Times New Roman" w:hAnsi="Times New Roman" w:cs="Times New Roman"/>
          <w:sz w:val="22"/>
          <w:szCs w:val="22"/>
          <w:lang w:val="en-GB"/>
        </w:rPr>
        <w:t xml:space="preserve">“The principles set out in the </w:t>
      </w:r>
      <w:r w:rsidRPr="00805848">
        <w:rPr>
          <w:rFonts w:ascii="Times New Roman" w:eastAsia="Times New Roman" w:hAnsi="Times New Roman" w:cs="Times New Roman"/>
          <w:i/>
          <w:sz w:val="22"/>
          <w:szCs w:val="22"/>
          <w:lang w:val="en-GB"/>
        </w:rPr>
        <w:t>dicta</w:t>
      </w:r>
      <w:r w:rsidRPr="00805848">
        <w:rPr>
          <w:rFonts w:ascii="Times New Roman" w:eastAsia="Times New Roman" w:hAnsi="Times New Roman" w:cs="Times New Roman"/>
          <w:sz w:val="22"/>
          <w:szCs w:val="22"/>
          <w:lang w:val="en-GB"/>
        </w:rPr>
        <w:t xml:space="preserve"> cited above can aptly and instructively be summarized as follows:</w:t>
      </w:r>
    </w:p>
    <w:p w14:paraId="3857BB36" w14:textId="77777777" w:rsidR="00BA73DF" w:rsidRPr="00805848" w:rsidRDefault="00BA73DF" w:rsidP="006C57B1">
      <w:pPr>
        <w:pStyle w:val="ListParagraph"/>
        <w:numPr>
          <w:ilvl w:val="0"/>
          <w:numId w:val="6"/>
        </w:numPr>
        <w:spacing w:after="0" w:line="240" w:lineRule="auto"/>
        <w:jc w:val="both"/>
        <w:rPr>
          <w:rFonts w:ascii="Times New Roman" w:eastAsia="Times New Roman" w:hAnsi="Times New Roman" w:cs="Times New Roman"/>
          <w:sz w:val="22"/>
          <w:szCs w:val="22"/>
          <w:lang w:val="en-GB"/>
        </w:rPr>
      </w:pPr>
      <w:r w:rsidRPr="00805848">
        <w:rPr>
          <w:rFonts w:ascii="Times New Roman" w:eastAsia="Times New Roman" w:hAnsi="Times New Roman" w:cs="Times New Roman"/>
          <w:sz w:val="22"/>
          <w:szCs w:val="22"/>
          <w:lang w:val="en-GB"/>
        </w:rPr>
        <w:lastRenderedPageBreak/>
        <w:t xml:space="preserve"> the Legislature is presumed not to intend an absurdity, ambiguity or repugnancy to arise out of the grammatical and ordinary meaning of the words that it uses in an enactment.</w:t>
      </w:r>
    </w:p>
    <w:p w14:paraId="18B5D6D7" w14:textId="77777777" w:rsidR="00BA73DF" w:rsidRPr="00805848" w:rsidRDefault="00BA73DF" w:rsidP="006C57B1">
      <w:pPr>
        <w:pStyle w:val="ListParagraph"/>
        <w:numPr>
          <w:ilvl w:val="0"/>
          <w:numId w:val="6"/>
        </w:numPr>
        <w:spacing w:after="0" w:line="240" w:lineRule="auto"/>
        <w:jc w:val="both"/>
        <w:rPr>
          <w:rFonts w:ascii="Times New Roman" w:hAnsi="Times New Roman" w:cs="Times New Roman"/>
          <w:sz w:val="22"/>
          <w:szCs w:val="22"/>
        </w:rPr>
      </w:pPr>
      <w:r w:rsidRPr="00805848">
        <w:rPr>
          <w:rFonts w:ascii="Times New Roman" w:eastAsia="Times New Roman" w:hAnsi="Times New Roman" w:cs="Times New Roman"/>
          <w:sz w:val="22"/>
          <w:szCs w:val="22"/>
          <w:lang w:val="en-GB"/>
        </w:rPr>
        <w:t>Therefore, in order to ascertain the true purpose and intent of the Legislature, regard is to be had, not only to the literal meaning of the words, but also to their practical effect.”</w:t>
      </w:r>
    </w:p>
    <w:p w14:paraId="2EF4429F" w14:textId="77777777" w:rsidR="00773805" w:rsidRPr="00805848" w:rsidRDefault="00773805" w:rsidP="00A81423">
      <w:pPr>
        <w:spacing w:line="360" w:lineRule="auto"/>
        <w:jc w:val="both"/>
        <w:rPr>
          <w:rFonts w:ascii="Times New Roman" w:hAnsi="Times New Roman" w:cs="Times New Roman"/>
          <w:bCs/>
          <w:sz w:val="22"/>
          <w:szCs w:val="22"/>
        </w:rPr>
      </w:pPr>
    </w:p>
    <w:p w14:paraId="52FA11AA" w14:textId="4F7C1019" w:rsidR="0076133F" w:rsidRPr="00A81423" w:rsidRDefault="00EF3F1A" w:rsidP="00805848">
      <w:pPr>
        <w:spacing w:after="0" w:line="360" w:lineRule="auto"/>
        <w:ind w:firstLine="720"/>
        <w:jc w:val="both"/>
        <w:rPr>
          <w:rFonts w:ascii="Times New Roman" w:hAnsi="Times New Roman" w:cs="Times New Roman"/>
          <w:bCs/>
        </w:rPr>
      </w:pPr>
      <w:r w:rsidRPr="00A81423">
        <w:rPr>
          <w:rFonts w:ascii="Times New Roman" w:hAnsi="Times New Roman" w:cs="Times New Roman"/>
          <w:bCs/>
        </w:rPr>
        <w:t xml:space="preserve">In </w:t>
      </w:r>
      <w:r w:rsidRPr="00805848">
        <w:rPr>
          <w:rFonts w:ascii="Times New Roman" w:hAnsi="Times New Roman" w:cs="Times New Roman"/>
          <w:bCs/>
          <w:i/>
          <w:iCs/>
        </w:rPr>
        <w:t>casu</w:t>
      </w:r>
      <w:r w:rsidRPr="00A81423">
        <w:rPr>
          <w:rFonts w:ascii="Times New Roman" w:hAnsi="Times New Roman" w:cs="Times New Roman"/>
          <w:bCs/>
        </w:rPr>
        <w:t>, i</w:t>
      </w:r>
      <w:r w:rsidR="00F542B7" w:rsidRPr="00A81423">
        <w:rPr>
          <w:rFonts w:ascii="Times New Roman" w:hAnsi="Times New Roman" w:cs="Times New Roman"/>
          <w:bCs/>
        </w:rPr>
        <w:t>t is apparent that the prior pegger rule is a time-</w:t>
      </w:r>
      <w:r w:rsidR="003D02C2" w:rsidRPr="00A81423">
        <w:rPr>
          <w:rFonts w:ascii="Times New Roman" w:hAnsi="Times New Roman" w:cs="Times New Roman"/>
          <w:bCs/>
        </w:rPr>
        <w:t>honoured and</w:t>
      </w:r>
      <w:r w:rsidR="00B91B20" w:rsidRPr="00A81423">
        <w:rPr>
          <w:rFonts w:ascii="Times New Roman" w:hAnsi="Times New Roman" w:cs="Times New Roman"/>
          <w:bCs/>
        </w:rPr>
        <w:t xml:space="preserve"> celebrated </w:t>
      </w:r>
      <w:r w:rsidR="00F542B7" w:rsidRPr="00A81423">
        <w:rPr>
          <w:rFonts w:ascii="Times New Roman" w:hAnsi="Times New Roman" w:cs="Times New Roman"/>
          <w:bCs/>
        </w:rPr>
        <w:t xml:space="preserve">principle which has been used to </w:t>
      </w:r>
      <w:r w:rsidR="003D02C2" w:rsidRPr="00A81423">
        <w:rPr>
          <w:rFonts w:ascii="Times New Roman" w:hAnsi="Times New Roman" w:cs="Times New Roman"/>
          <w:bCs/>
        </w:rPr>
        <w:t>resolve mining</w:t>
      </w:r>
      <w:r w:rsidR="00F542B7" w:rsidRPr="00A81423">
        <w:rPr>
          <w:rFonts w:ascii="Times New Roman" w:hAnsi="Times New Roman" w:cs="Times New Roman"/>
          <w:bCs/>
        </w:rPr>
        <w:t xml:space="preserve"> disputes</w:t>
      </w:r>
      <w:r w:rsidR="00FF3D43" w:rsidRPr="00A81423">
        <w:rPr>
          <w:rFonts w:ascii="Times New Roman" w:hAnsi="Times New Roman" w:cs="Times New Roman"/>
          <w:bCs/>
        </w:rPr>
        <w:t xml:space="preserve"> in our jurisdiction</w:t>
      </w:r>
      <w:r w:rsidR="00F542B7" w:rsidRPr="00A81423">
        <w:rPr>
          <w:rFonts w:ascii="Times New Roman" w:hAnsi="Times New Roman" w:cs="Times New Roman"/>
          <w:bCs/>
        </w:rPr>
        <w:t>.</w:t>
      </w:r>
      <w:r w:rsidR="00B91B20" w:rsidRPr="00A81423">
        <w:rPr>
          <w:rFonts w:ascii="Times New Roman" w:hAnsi="Times New Roman" w:cs="Times New Roman"/>
          <w:bCs/>
        </w:rPr>
        <w:t xml:space="preserve"> This principle establishes certainty in the resolution </w:t>
      </w:r>
      <w:r w:rsidR="003D02C2" w:rsidRPr="00A81423">
        <w:rPr>
          <w:rFonts w:ascii="Times New Roman" w:hAnsi="Times New Roman" w:cs="Times New Roman"/>
          <w:bCs/>
        </w:rPr>
        <w:t>of mining</w:t>
      </w:r>
      <w:r w:rsidR="00B91B20" w:rsidRPr="00A81423">
        <w:rPr>
          <w:rFonts w:ascii="Times New Roman" w:hAnsi="Times New Roman" w:cs="Times New Roman"/>
          <w:bCs/>
        </w:rPr>
        <w:t xml:space="preserve"> disputes.</w:t>
      </w:r>
      <w:r w:rsidR="00491A97">
        <w:rPr>
          <w:rFonts w:ascii="Times New Roman" w:hAnsi="Times New Roman" w:cs="Times New Roman"/>
          <w:bCs/>
        </w:rPr>
        <w:t xml:space="preserve"> T</w:t>
      </w:r>
      <w:r w:rsidR="00491A97" w:rsidRPr="00A81423">
        <w:rPr>
          <w:rFonts w:ascii="Times New Roman" w:hAnsi="Times New Roman" w:cs="Times New Roman"/>
          <w:bCs/>
        </w:rPr>
        <w:t xml:space="preserve">he principle </w:t>
      </w:r>
      <w:r w:rsidR="00491A97">
        <w:rPr>
          <w:rFonts w:ascii="Times New Roman" w:hAnsi="Times New Roman" w:cs="Times New Roman"/>
          <w:bCs/>
        </w:rPr>
        <w:t>d</w:t>
      </w:r>
      <w:r w:rsidR="00F92211">
        <w:rPr>
          <w:rFonts w:ascii="Times New Roman" w:hAnsi="Times New Roman" w:cs="Times New Roman"/>
          <w:bCs/>
        </w:rPr>
        <w:t>efinitely</w:t>
      </w:r>
      <w:r w:rsidR="00E06AB8" w:rsidRPr="00A81423">
        <w:rPr>
          <w:rFonts w:ascii="Times New Roman" w:hAnsi="Times New Roman" w:cs="Times New Roman"/>
          <w:bCs/>
        </w:rPr>
        <w:t xml:space="preserve"> cannot be overruled by </w:t>
      </w:r>
      <w:r w:rsidR="00805848">
        <w:rPr>
          <w:rFonts w:ascii="Times New Roman" w:hAnsi="Times New Roman" w:cs="Times New Roman"/>
          <w:bCs/>
        </w:rPr>
        <w:t>s</w:t>
      </w:r>
      <w:r w:rsidR="00E06AB8" w:rsidRPr="00A81423">
        <w:rPr>
          <w:rFonts w:ascii="Times New Roman" w:hAnsi="Times New Roman" w:cs="Times New Roman"/>
          <w:bCs/>
        </w:rPr>
        <w:t xml:space="preserve"> 58 of the Mines and Minerals Act.</w:t>
      </w:r>
      <w:r w:rsidR="001767BB" w:rsidRPr="00A81423">
        <w:rPr>
          <w:rFonts w:ascii="Times New Roman" w:hAnsi="Times New Roman" w:cs="Times New Roman"/>
          <w:bCs/>
        </w:rPr>
        <w:t xml:space="preserve"> </w:t>
      </w:r>
      <w:r w:rsidR="00247AC9" w:rsidRPr="00A81423">
        <w:rPr>
          <w:rFonts w:ascii="Times New Roman" w:hAnsi="Times New Roman" w:cs="Times New Roman"/>
          <w:bCs/>
        </w:rPr>
        <w:t>In its wisdom</w:t>
      </w:r>
      <w:r w:rsidR="008427AC" w:rsidRPr="00A81423">
        <w:rPr>
          <w:rFonts w:ascii="Times New Roman" w:hAnsi="Times New Roman" w:cs="Times New Roman"/>
          <w:bCs/>
        </w:rPr>
        <w:t xml:space="preserve">, the </w:t>
      </w:r>
      <w:r w:rsidR="003D02C2" w:rsidRPr="00A81423">
        <w:rPr>
          <w:rFonts w:ascii="Times New Roman" w:hAnsi="Times New Roman" w:cs="Times New Roman"/>
          <w:bCs/>
        </w:rPr>
        <w:t>legislature promulgated</w:t>
      </w:r>
      <w:r w:rsidR="008427AC" w:rsidRPr="00A81423">
        <w:rPr>
          <w:rFonts w:ascii="Times New Roman" w:hAnsi="Times New Roman" w:cs="Times New Roman"/>
          <w:bCs/>
        </w:rPr>
        <w:t xml:space="preserve"> </w:t>
      </w:r>
      <w:r w:rsidR="00805848">
        <w:rPr>
          <w:rFonts w:ascii="Times New Roman" w:hAnsi="Times New Roman" w:cs="Times New Roman"/>
          <w:bCs/>
        </w:rPr>
        <w:t>s</w:t>
      </w:r>
      <w:r w:rsidR="008427AC" w:rsidRPr="00A81423">
        <w:rPr>
          <w:rFonts w:ascii="Times New Roman" w:hAnsi="Times New Roman" w:cs="Times New Roman"/>
          <w:bCs/>
        </w:rPr>
        <w:t xml:space="preserve"> 177(3) of the Mines and Minerals Act to resolve the dispute between miners.</w:t>
      </w:r>
      <w:r w:rsidR="00F901C4" w:rsidRPr="00A81423">
        <w:rPr>
          <w:rFonts w:ascii="Times New Roman" w:hAnsi="Times New Roman" w:cs="Times New Roman"/>
          <w:bCs/>
        </w:rPr>
        <w:t xml:space="preserve"> Through the use of the phrases “in every case” and “in all cases” in </w:t>
      </w:r>
      <w:r w:rsidR="00805848">
        <w:rPr>
          <w:rFonts w:ascii="Times New Roman" w:hAnsi="Times New Roman" w:cs="Times New Roman"/>
          <w:bCs/>
        </w:rPr>
        <w:t>s</w:t>
      </w:r>
      <w:r w:rsidR="00F901C4" w:rsidRPr="00A81423">
        <w:rPr>
          <w:rFonts w:ascii="Times New Roman" w:hAnsi="Times New Roman" w:cs="Times New Roman"/>
          <w:bCs/>
        </w:rPr>
        <w:t xml:space="preserve"> 177(3</w:t>
      </w:r>
      <w:r w:rsidR="003D02C2" w:rsidRPr="00A81423">
        <w:rPr>
          <w:rFonts w:ascii="Times New Roman" w:hAnsi="Times New Roman" w:cs="Times New Roman"/>
          <w:bCs/>
        </w:rPr>
        <w:t>) of</w:t>
      </w:r>
      <w:r w:rsidR="00F901C4" w:rsidRPr="00A81423">
        <w:rPr>
          <w:rFonts w:ascii="Times New Roman" w:hAnsi="Times New Roman" w:cs="Times New Roman"/>
          <w:bCs/>
        </w:rPr>
        <w:t xml:space="preserve"> the Mines and Minerals Act, the legislature made </w:t>
      </w:r>
      <w:r w:rsidR="003D02C2" w:rsidRPr="00A81423">
        <w:rPr>
          <w:rFonts w:ascii="Times New Roman" w:hAnsi="Times New Roman" w:cs="Times New Roman"/>
          <w:bCs/>
        </w:rPr>
        <w:t>its intentions</w:t>
      </w:r>
      <w:r w:rsidR="00F901C4" w:rsidRPr="00A81423">
        <w:rPr>
          <w:rFonts w:ascii="Times New Roman" w:hAnsi="Times New Roman" w:cs="Times New Roman"/>
          <w:bCs/>
        </w:rPr>
        <w:t xml:space="preserve"> precise</w:t>
      </w:r>
      <w:r w:rsidR="00ED11FE" w:rsidRPr="00A81423">
        <w:rPr>
          <w:rFonts w:ascii="Times New Roman" w:hAnsi="Times New Roman" w:cs="Times New Roman"/>
          <w:bCs/>
        </w:rPr>
        <w:t xml:space="preserve"> and clear</w:t>
      </w:r>
      <w:r w:rsidR="00F901C4" w:rsidRPr="00A81423">
        <w:rPr>
          <w:rFonts w:ascii="Times New Roman" w:hAnsi="Times New Roman" w:cs="Times New Roman"/>
          <w:bCs/>
        </w:rPr>
        <w:t>. The phrases used suggest</w:t>
      </w:r>
      <w:r w:rsidR="003B52ED" w:rsidRPr="00A81423">
        <w:rPr>
          <w:rFonts w:ascii="Times New Roman" w:hAnsi="Times New Roman" w:cs="Times New Roman"/>
          <w:bCs/>
        </w:rPr>
        <w:t xml:space="preserve"> that under all circumstances</w:t>
      </w:r>
      <w:r w:rsidR="00491A97">
        <w:rPr>
          <w:rFonts w:ascii="Times New Roman" w:hAnsi="Times New Roman" w:cs="Times New Roman"/>
          <w:bCs/>
        </w:rPr>
        <w:t>,</w:t>
      </w:r>
      <w:r w:rsidR="003B52ED" w:rsidRPr="00A81423">
        <w:rPr>
          <w:rFonts w:ascii="Times New Roman" w:hAnsi="Times New Roman" w:cs="Times New Roman"/>
          <w:bCs/>
        </w:rPr>
        <w:t xml:space="preserve"> the prior pegger rule must be employed to resolve the disputes between miners</w:t>
      </w:r>
      <w:r w:rsidR="00E8301E" w:rsidRPr="00A81423">
        <w:rPr>
          <w:rFonts w:ascii="Times New Roman" w:hAnsi="Times New Roman" w:cs="Times New Roman"/>
          <w:bCs/>
        </w:rPr>
        <w:t xml:space="preserve"> subject to the satisfaction of the conditions outlined in </w:t>
      </w:r>
      <w:r w:rsidR="00805848">
        <w:rPr>
          <w:rFonts w:ascii="Times New Roman" w:hAnsi="Times New Roman" w:cs="Times New Roman"/>
          <w:bCs/>
        </w:rPr>
        <w:t>s</w:t>
      </w:r>
      <w:r w:rsidR="00E8301E" w:rsidRPr="00A81423">
        <w:rPr>
          <w:rFonts w:ascii="Times New Roman" w:hAnsi="Times New Roman" w:cs="Times New Roman"/>
          <w:bCs/>
        </w:rPr>
        <w:t xml:space="preserve"> 177(3) of the Mines </w:t>
      </w:r>
      <w:r w:rsidR="003D02C2" w:rsidRPr="00A81423">
        <w:rPr>
          <w:rFonts w:ascii="Times New Roman" w:hAnsi="Times New Roman" w:cs="Times New Roman"/>
          <w:bCs/>
        </w:rPr>
        <w:t>and Minerals</w:t>
      </w:r>
      <w:r w:rsidR="003D0236" w:rsidRPr="00A81423">
        <w:rPr>
          <w:rFonts w:ascii="Times New Roman" w:hAnsi="Times New Roman" w:cs="Times New Roman"/>
          <w:bCs/>
        </w:rPr>
        <w:t xml:space="preserve"> Act</w:t>
      </w:r>
      <w:r w:rsidR="003B52ED" w:rsidRPr="00A81423">
        <w:rPr>
          <w:rFonts w:ascii="Times New Roman" w:hAnsi="Times New Roman" w:cs="Times New Roman"/>
          <w:bCs/>
        </w:rPr>
        <w:t xml:space="preserve">. The legislature </w:t>
      </w:r>
      <w:r w:rsidR="001B185F" w:rsidRPr="00A81423">
        <w:rPr>
          <w:rFonts w:ascii="Times New Roman" w:hAnsi="Times New Roman" w:cs="Times New Roman"/>
          <w:bCs/>
        </w:rPr>
        <w:t xml:space="preserve">put it beyond any doubt </w:t>
      </w:r>
      <w:r w:rsidR="003339C2" w:rsidRPr="00A81423">
        <w:rPr>
          <w:rFonts w:ascii="Times New Roman" w:hAnsi="Times New Roman" w:cs="Times New Roman"/>
          <w:bCs/>
        </w:rPr>
        <w:t xml:space="preserve">that </w:t>
      </w:r>
      <w:r w:rsidR="00805848">
        <w:rPr>
          <w:rFonts w:ascii="Times New Roman" w:hAnsi="Times New Roman" w:cs="Times New Roman"/>
          <w:bCs/>
        </w:rPr>
        <w:t>s</w:t>
      </w:r>
      <w:r w:rsidR="003B52ED" w:rsidRPr="00A81423">
        <w:rPr>
          <w:rFonts w:ascii="Times New Roman" w:hAnsi="Times New Roman" w:cs="Times New Roman"/>
          <w:bCs/>
        </w:rPr>
        <w:t xml:space="preserve"> 177(3) </w:t>
      </w:r>
      <w:r w:rsidR="003D0236" w:rsidRPr="00A81423">
        <w:rPr>
          <w:rFonts w:ascii="Times New Roman" w:hAnsi="Times New Roman" w:cs="Times New Roman"/>
          <w:bCs/>
        </w:rPr>
        <w:t xml:space="preserve">of the Mines and Minerals Act </w:t>
      </w:r>
      <w:r w:rsidR="001B185F" w:rsidRPr="00A81423">
        <w:rPr>
          <w:rFonts w:ascii="Times New Roman" w:hAnsi="Times New Roman" w:cs="Times New Roman"/>
          <w:bCs/>
        </w:rPr>
        <w:t xml:space="preserve">should not </w:t>
      </w:r>
      <w:r w:rsidR="003B52ED" w:rsidRPr="00A81423">
        <w:rPr>
          <w:rFonts w:ascii="Times New Roman" w:hAnsi="Times New Roman" w:cs="Times New Roman"/>
          <w:bCs/>
        </w:rPr>
        <w:t xml:space="preserve">be subjected to </w:t>
      </w:r>
      <w:r w:rsidR="00805848">
        <w:rPr>
          <w:rFonts w:ascii="Times New Roman" w:hAnsi="Times New Roman" w:cs="Times New Roman"/>
          <w:bCs/>
        </w:rPr>
        <w:t>s</w:t>
      </w:r>
      <w:r w:rsidR="003B52ED" w:rsidRPr="00A81423">
        <w:rPr>
          <w:rFonts w:ascii="Times New Roman" w:hAnsi="Times New Roman" w:cs="Times New Roman"/>
          <w:bCs/>
        </w:rPr>
        <w:t xml:space="preserve"> 58 </w:t>
      </w:r>
      <w:r w:rsidR="003D0236" w:rsidRPr="00A81423">
        <w:rPr>
          <w:rFonts w:ascii="Times New Roman" w:hAnsi="Times New Roman" w:cs="Times New Roman"/>
          <w:bCs/>
        </w:rPr>
        <w:t xml:space="preserve">of the Mines and Minerals Act </w:t>
      </w:r>
      <w:r w:rsidR="003B52ED" w:rsidRPr="00A81423">
        <w:rPr>
          <w:rFonts w:ascii="Times New Roman" w:hAnsi="Times New Roman" w:cs="Times New Roman"/>
          <w:bCs/>
        </w:rPr>
        <w:t>by the use of phrases</w:t>
      </w:r>
      <w:r w:rsidR="001F02CD" w:rsidRPr="00A81423">
        <w:rPr>
          <w:rFonts w:ascii="Times New Roman" w:hAnsi="Times New Roman" w:cs="Times New Roman"/>
          <w:bCs/>
        </w:rPr>
        <w:t xml:space="preserve"> </w:t>
      </w:r>
      <w:r w:rsidR="003D0236" w:rsidRPr="00A81423">
        <w:rPr>
          <w:rFonts w:ascii="Times New Roman" w:hAnsi="Times New Roman" w:cs="Times New Roman"/>
          <w:bCs/>
        </w:rPr>
        <w:t xml:space="preserve">such as </w:t>
      </w:r>
      <w:r w:rsidR="001F02CD" w:rsidRPr="00A81423">
        <w:rPr>
          <w:rFonts w:ascii="Times New Roman" w:hAnsi="Times New Roman" w:cs="Times New Roman"/>
          <w:bCs/>
        </w:rPr>
        <w:t>“in every case” and “in all cases”</w:t>
      </w:r>
      <w:r w:rsidR="003B52ED" w:rsidRPr="00A81423">
        <w:rPr>
          <w:rFonts w:ascii="Times New Roman" w:hAnsi="Times New Roman" w:cs="Times New Roman"/>
          <w:bCs/>
        </w:rPr>
        <w:t>.</w:t>
      </w:r>
      <w:r w:rsidR="001F02CD" w:rsidRPr="00A81423">
        <w:rPr>
          <w:rFonts w:ascii="Times New Roman" w:hAnsi="Times New Roman" w:cs="Times New Roman"/>
          <w:bCs/>
        </w:rPr>
        <w:t xml:space="preserve"> </w:t>
      </w:r>
      <w:r w:rsidR="001B185F" w:rsidRPr="00A81423">
        <w:rPr>
          <w:rFonts w:ascii="Times New Roman" w:hAnsi="Times New Roman" w:cs="Times New Roman"/>
          <w:bCs/>
        </w:rPr>
        <w:t>In my view, t</w:t>
      </w:r>
      <w:r w:rsidR="001F02CD" w:rsidRPr="00A81423">
        <w:rPr>
          <w:rFonts w:ascii="Times New Roman" w:hAnsi="Times New Roman" w:cs="Times New Roman"/>
          <w:bCs/>
        </w:rPr>
        <w:t xml:space="preserve">he phrase “any person” in </w:t>
      </w:r>
      <w:r w:rsidR="00805848">
        <w:rPr>
          <w:rFonts w:ascii="Times New Roman" w:hAnsi="Times New Roman" w:cs="Times New Roman"/>
          <w:bCs/>
        </w:rPr>
        <w:t>s</w:t>
      </w:r>
      <w:r w:rsidR="001F02CD" w:rsidRPr="00A81423">
        <w:rPr>
          <w:rFonts w:ascii="Times New Roman" w:hAnsi="Times New Roman" w:cs="Times New Roman"/>
          <w:bCs/>
        </w:rPr>
        <w:t xml:space="preserve"> 58 of the Mines and Minerals Act should not be construed to include the prior pegger.</w:t>
      </w:r>
    </w:p>
    <w:p w14:paraId="523D400E" w14:textId="48A8C874" w:rsidR="003D0236" w:rsidRPr="00A81423" w:rsidRDefault="0076133F" w:rsidP="00805848">
      <w:pPr>
        <w:spacing w:after="0" w:line="360" w:lineRule="auto"/>
        <w:ind w:firstLine="720"/>
        <w:jc w:val="both"/>
        <w:rPr>
          <w:rFonts w:ascii="Times New Roman" w:hAnsi="Times New Roman" w:cs="Times New Roman"/>
          <w:bCs/>
        </w:rPr>
      </w:pPr>
      <w:r w:rsidRPr="00A81423">
        <w:rPr>
          <w:rFonts w:ascii="Times New Roman" w:hAnsi="Times New Roman" w:cs="Times New Roman"/>
          <w:bCs/>
        </w:rPr>
        <w:t xml:space="preserve">The Applicant is alleging to be a prior pegger in the present application. Whether it qualifies to be a prior pegger </w:t>
      </w:r>
      <w:r w:rsidR="00891F1C" w:rsidRPr="00A81423">
        <w:rPr>
          <w:rFonts w:ascii="Times New Roman" w:hAnsi="Times New Roman" w:cs="Times New Roman"/>
          <w:bCs/>
        </w:rPr>
        <w:t xml:space="preserve">will </w:t>
      </w:r>
      <w:r w:rsidRPr="00A81423">
        <w:rPr>
          <w:rFonts w:ascii="Times New Roman" w:hAnsi="Times New Roman" w:cs="Times New Roman"/>
          <w:bCs/>
        </w:rPr>
        <w:t>only be determined at the appropriate stage when the merits of the present application</w:t>
      </w:r>
      <w:r w:rsidR="001B185F" w:rsidRPr="00A81423">
        <w:rPr>
          <w:rFonts w:ascii="Times New Roman" w:hAnsi="Times New Roman" w:cs="Times New Roman"/>
          <w:bCs/>
        </w:rPr>
        <w:t xml:space="preserve"> are considered</w:t>
      </w:r>
      <w:r w:rsidRPr="00A81423">
        <w:rPr>
          <w:rFonts w:ascii="Times New Roman" w:hAnsi="Times New Roman" w:cs="Times New Roman"/>
          <w:bCs/>
        </w:rPr>
        <w:t xml:space="preserve">. On the basis of the allegation of being a prior pegger, the point </w:t>
      </w:r>
      <w:r w:rsidRPr="00A81423">
        <w:rPr>
          <w:rFonts w:ascii="Times New Roman" w:hAnsi="Times New Roman" w:cs="Times New Roman"/>
          <w:bCs/>
          <w:i/>
          <w:iCs/>
        </w:rPr>
        <w:t>in limine</w:t>
      </w:r>
      <w:r w:rsidRPr="00A81423">
        <w:rPr>
          <w:rFonts w:ascii="Times New Roman" w:hAnsi="Times New Roman" w:cs="Times New Roman"/>
          <w:bCs/>
        </w:rPr>
        <w:t xml:space="preserve"> for statutory prescription may not be sustainable. </w:t>
      </w:r>
    </w:p>
    <w:p w14:paraId="35383F4F" w14:textId="17175AE2" w:rsidR="00982272" w:rsidRPr="00A81423" w:rsidRDefault="003D0236" w:rsidP="00805848">
      <w:pPr>
        <w:spacing w:line="360" w:lineRule="auto"/>
        <w:ind w:firstLine="360"/>
        <w:jc w:val="both"/>
        <w:rPr>
          <w:rFonts w:ascii="Times New Roman" w:hAnsi="Times New Roman" w:cs="Times New Roman"/>
          <w:bCs/>
        </w:rPr>
      </w:pPr>
      <w:r w:rsidRPr="00A81423">
        <w:rPr>
          <w:rFonts w:ascii="Times New Roman" w:hAnsi="Times New Roman" w:cs="Times New Roman"/>
          <w:bCs/>
        </w:rPr>
        <w:t xml:space="preserve">Further, it is </w:t>
      </w:r>
      <w:r w:rsidR="003D02C2" w:rsidRPr="00A81423">
        <w:rPr>
          <w:rFonts w:ascii="Times New Roman" w:hAnsi="Times New Roman" w:cs="Times New Roman"/>
          <w:bCs/>
        </w:rPr>
        <w:t>apparent that</w:t>
      </w:r>
      <w:r w:rsidR="00660054" w:rsidRPr="00A81423">
        <w:rPr>
          <w:rFonts w:ascii="Times New Roman" w:hAnsi="Times New Roman" w:cs="Times New Roman"/>
          <w:bCs/>
        </w:rPr>
        <w:t xml:space="preserve"> </w:t>
      </w:r>
      <w:r w:rsidR="00AB5081" w:rsidRPr="00A81423">
        <w:rPr>
          <w:rFonts w:ascii="Times New Roman" w:hAnsi="Times New Roman" w:cs="Times New Roman"/>
          <w:bCs/>
        </w:rPr>
        <w:t xml:space="preserve">certain </w:t>
      </w:r>
      <w:r w:rsidR="003D02C2" w:rsidRPr="00A81423">
        <w:rPr>
          <w:rFonts w:ascii="Times New Roman" w:hAnsi="Times New Roman" w:cs="Times New Roman"/>
          <w:bCs/>
        </w:rPr>
        <w:t>provisions of</w:t>
      </w:r>
      <w:r w:rsidR="009A24B2" w:rsidRPr="00A81423">
        <w:rPr>
          <w:rFonts w:ascii="Times New Roman" w:hAnsi="Times New Roman" w:cs="Times New Roman"/>
          <w:bCs/>
        </w:rPr>
        <w:t xml:space="preserve"> the Mines and </w:t>
      </w:r>
      <w:r w:rsidR="003D02C2" w:rsidRPr="00A81423">
        <w:rPr>
          <w:rFonts w:ascii="Times New Roman" w:hAnsi="Times New Roman" w:cs="Times New Roman"/>
          <w:bCs/>
        </w:rPr>
        <w:t>Minerals Act override</w:t>
      </w:r>
      <w:r w:rsidR="00AF0C25" w:rsidRPr="00A81423">
        <w:rPr>
          <w:rFonts w:ascii="Times New Roman" w:hAnsi="Times New Roman" w:cs="Times New Roman"/>
          <w:bCs/>
        </w:rPr>
        <w:t xml:space="preserve"> </w:t>
      </w:r>
      <w:r w:rsidR="00805848">
        <w:rPr>
          <w:rFonts w:ascii="Times New Roman" w:hAnsi="Times New Roman" w:cs="Times New Roman"/>
          <w:bCs/>
        </w:rPr>
        <w:t>s</w:t>
      </w:r>
      <w:r w:rsidR="00AF0C25" w:rsidRPr="00A81423">
        <w:rPr>
          <w:rFonts w:ascii="Times New Roman" w:hAnsi="Times New Roman" w:cs="Times New Roman"/>
          <w:bCs/>
        </w:rPr>
        <w:t xml:space="preserve"> 58 of the Mines and Minerals Act.  For example,</w:t>
      </w:r>
      <w:r w:rsidR="00805848">
        <w:rPr>
          <w:rFonts w:ascii="Times New Roman" w:hAnsi="Times New Roman" w:cs="Times New Roman"/>
          <w:bCs/>
        </w:rPr>
        <w:t xml:space="preserve"> s</w:t>
      </w:r>
      <w:r w:rsidR="00AF0C25" w:rsidRPr="00A81423">
        <w:rPr>
          <w:rFonts w:ascii="Times New Roman" w:hAnsi="Times New Roman" w:cs="Times New Roman"/>
          <w:bCs/>
        </w:rPr>
        <w:t xml:space="preserve"> 50(1) of the Mines and Minerals Act confers upon the Mining Commissioner </w:t>
      </w:r>
      <w:r w:rsidR="00B419F9">
        <w:rPr>
          <w:rFonts w:ascii="Times New Roman" w:hAnsi="Times New Roman" w:cs="Times New Roman"/>
          <w:bCs/>
        </w:rPr>
        <w:t xml:space="preserve">the </w:t>
      </w:r>
      <w:r w:rsidR="00AF0C25" w:rsidRPr="00A81423">
        <w:rPr>
          <w:rFonts w:ascii="Times New Roman" w:hAnsi="Times New Roman" w:cs="Times New Roman"/>
          <w:bCs/>
        </w:rPr>
        <w:t xml:space="preserve">power to cancel the mining certificates notwithstanding the provisions of </w:t>
      </w:r>
      <w:r w:rsidR="00805848">
        <w:rPr>
          <w:rFonts w:ascii="Times New Roman" w:hAnsi="Times New Roman" w:cs="Times New Roman"/>
          <w:bCs/>
        </w:rPr>
        <w:t>s</w:t>
      </w:r>
      <w:r w:rsidR="00AF0C25" w:rsidRPr="00A81423">
        <w:rPr>
          <w:rFonts w:ascii="Times New Roman" w:hAnsi="Times New Roman" w:cs="Times New Roman"/>
          <w:bCs/>
        </w:rPr>
        <w:t xml:space="preserve"> 58 of the Mines and Minerals Act. Section 50(1) of the Mines and Minerals Act provides as follows:</w:t>
      </w:r>
    </w:p>
    <w:p w14:paraId="6A2E719C" w14:textId="06CE6440" w:rsidR="00982272" w:rsidRPr="00805848" w:rsidRDefault="00663EE1" w:rsidP="006C57B1">
      <w:pPr>
        <w:spacing w:line="240" w:lineRule="auto"/>
        <w:ind w:left="360"/>
        <w:jc w:val="both"/>
        <w:rPr>
          <w:rFonts w:ascii="Times New Roman" w:hAnsi="Times New Roman" w:cs="Times New Roman"/>
          <w:bCs/>
          <w:sz w:val="22"/>
          <w:szCs w:val="22"/>
        </w:rPr>
      </w:pPr>
      <w:r w:rsidRPr="00805848">
        <w:rPr>
          <w:rFonts w:ascii="Times New Roman" w:hAnsi="Times New Roman" w:cs="Times New Roman"/>
          <w:bCs/>
          <w:sz w:val="22"/>
          <w:szCs w:val="22"/>
        </w:rPr>
        <w:t xml:space="preserve">“(1) </w:t>
      </w:r>
      <w:r w:rsidR="00EF26D6" w:rsidRPr="00805848">
        <w:rPr>
          <w:rFonts w:ascii="Times New Roman" w:hAnsi="Times New Roman" w:cs="Times New Roman"/>
          <w:bCs/>
          <w:sz w:val="22"/>
          <w:szCs w:val="22"/>
        </w:rPr>
        <w:t xml:space="preserve">Subject to subsection (2), the </w:t>
      </w:r>
      <w:r w:rsidR="00476599" w:rsidRPr="00805848">
        <w:rPr>
          <w:rFonts w:ascii="Times New Roman" w:hAnsi="Times New Roman" w:cs="Times New Roman"/>
          <w:bCs/>
          <w:sz w:val="22"/>
          <w:szCs w:val="22"/>
        </w:rPr>
        <w:t xml:space="preserve">mining </w:t>
      </w:r>
      <w:r w:rsidR="00EF26D6" w:rsidRPr="00805848">
        <w:rPr>
          <w:rFonts w:ascii="Times New Roman" w:hAnsi="Times New Roman" w:cs="Times New Roman"/>
          <w:bCs/>
          <w:sz w:val="22"/>
          <w:szCs w:val="22"/>
        </w:rPr>
        <w:t xml:space="preserve">commissioner may, notwithstanding subsection (1) of </w:t>
      </w:r>
      <w:r w:rsidR="00476599" w:rsidRPr="00805848">
        <w:rPr>
          <w:rFonts w:ascii="Times New Roman" w:hAnsi="Times New Roman" w:cs="Times New Roman"/>
          <w:bCs/>
          <w:sz w:val="22"/>
          <w:szCs w:val="22"/>
        </w:rPr>
        <w:t>s</w:t>
      </w:r>
      <w:r w:rsidR="00EF26D6" w:rsidRPr="00805848">
        <w:rPr>
          <w:rFonts w:ascii="Times New Roman" w:hAnsi="Times New Roman" w:cs="Times New Roman"/>
          <w:bCs/>
          <w:sz w:val="22"/>
          <w:szCs w:val="22"/>
        </w:rPr>
        <w:t xml:space="preserve">ection fifty-eight, at any time cancel a certificate of registration issued in respect of </w:t>
      </w:r>
      <w:r w:rsidR="00164968" w:rsidRPr="00805848">
        <w:rPr>
          <w:rFonts w:ascii="Times New Roman" w:hAnsi="Times New Roman" w:cs="Times New Roman"/>
          <w:bCs/>
          <w:sz w:val="22"/>
          <w:szCs w:val="22"/>
        </w:rPr>
        <w:t>a block or site if he is satisfied that—</w:t>
      </w:r>
    </w:p>
    <w:p w14:paraId="725FD7C7" w14:textId="0565ED15" w:rsidR="00164968" w:rsidRPr="00805848" w:rsidRDefault="00E85C2F" w:rsidP="006C57B1">
      <w:pPr>
        <w:pStyle w:val="ListParagraph"/>
        <w:numPr>
          <w:ilvl w:val="0"/>
          <w:numId w:val="7"/>
        </w:numPr>
        <w:spacing w:line="240" w:lineRule="auto"/>
        <w:jc w:val="both"/>
        <w:rPr>
          <w:rFonts w:ascii="Times New Roman" w:hAnsi="Times New Roman" w:cs="Times New Roman"/>
          <w:bCs/>
          <w:sz w:val="22"/>
          <w:szCs w:val="22"/>
        </w:rPr>
      </w:pPr>
      <w:r w:rsidRPr="00805848">
        <w:rPr>
          <w:rFonts w:ascii="Times New Roman" w:hAnsi="Times New Roman" w:cs="Times New Roman"/>
          <w:bCs/>
          <w:sz w:val="22"/>
          <w:szCs w:val="22"/>
        </w:rPr>
        <w:lastRenderedPageBreak/>
        <w:t>a</w:t>
      </w:r>
      <w:r w:rsidR="00FC7F5E" w:rsidRPr="00805848">
        <w:rPr>
          <w:rFonts w:ascii="Times New Roman" w:hAnsi="Times New Roman" w:cs="Times New Roman"/>
          <w:bCs/>
          <w:sz w:val="22"/>
          <w:szCs w:val="22"/>
        </w:rPr>
        <w:t xml:space="preserve">t the time when such block or site was pegged it was situated on ground reserved against </w:t>
      </w:r>
      <w:r w:rsidR="003D02C2" w:rsidRPr="00805848">
        <w:rPr>
          <w:rFonts w:ascii="Times New Roman" w:hAnsi="Times New Roman" w:cs="Times New Roman"/>
          <w:bCs/>
          <w:sz w:val="22"/>
          <w:szCs w:val="22"/>
        </w:rPr>
        <w:t>prospecting and</w:t>
      </w:r>
      <w:r w:rsidR="00FC7F5E" w:rsidRPr="00805848">
        <w:rPr>
          <w:rFonts w:ascii="Times New Roman" w:hAnsi="Times New Roman" w:cs="Times New Roman"/>
          <w:bCs/>
          <w:sz w:val="22"/>
          <w:szCs w:val="22"/>
        </w:rPr>
        <w:t xml:space="preserve"> pegging under section thirty-one or thirty-five or on ground not open to pegging in terms of </w:t>
      </w:r>
      <w:r w:rsidR="003D02C2" w:rsidRPr="00805848">
        <w:rPr>
          <w:rFonts w:ascii="Times New Roman" w:hAnsi="Times New Roman" w:cs="Times New Roman"/>
          <w:bCs/>
          <w:sz w:val="22"/>
          <w:szCs w:val="22"/>
        </w:rPr>
        <w:t>subsection (</w:t>
      </w:r>
      <w:r w:rsidR="00FC7F5E" w:rsidRPr="00805848">
        <w:rPr>
          <w:rFonts w:ascii="Times New Roman" w:hAnsi="Times New Roman" w:cs="Times New Roman"/>
          <w:bCs/>
          <w:sz w:val="22"/>
          <w:szCs w:val="22"/>
        </w:rPr>
        <w:t>3) of section two hundred and fifty-eight; or</w:t>
      </w:r>
    </w:p>
    <w:p w14:paraId="39AFDD63" w14:textId="7A5E3D9C" w:rsidR="00FC7F5E" w:rsidRPr="00805848" w:rsidRDefault="003D02C2" w:rsidP="006C57B1">
      <w:pPr>
        <w:pStyle w:val="ListParagraph"/>
        <w:numPr>
          <w:ilvl w:val="0"/>
          <w:numId w:val="7"/>
        </w:numPr>
        <w:spacing w:line="240" w:lineRule="auto"/>
        <w:jc w:val="both"/>
        <w:rPr>
          <w:rFonts w:ascii="Times New Roman" w:hAnsi="Times New Roman" w:cs="Times New Roman"/>
          <w:bCs/>
          <w:sz w:val="22"/>
          <w:szCs w:val="22"/>
        </w:rPr>
      </w:pPr>
      <w:r w:rsidRPr="00805848">
        <w:rPr>
          <w:rFonts w:ascii="Times New Roman" w:hAnsi="Times New Roman" w:cs="Times New Roman"/>
          <w:bCs/>
          <w:sz w:val="22"/>
          <w:szCs w:val="22"/>
        </w:rPr>
        <w:t>provisions of</w:t>
      </w:r>
      <w:r w:rsidR="00B81927" w:rsidRPr="00805848">
        <w:rPr>
          <w:rFonts w:ascii="Times New Roman" w:hAnsi="Times New Roman" w:cs="Times New Roman"/>
          <w:bCs/>
          <w:sz w:val="22"/>
          <w:szCs w:val="22"/>
        </w:rPr>
        <w:t xml:space="preserve"> this </w:t>
      </w:r>
      <w:r w:rsidRPr="00805848">
        <w:rPr>
          <w:rFonts w:ascii="Times New Roman" w:hAnsi="Times New Roman" w:cs="Times New Roman"/>
          <w:bCs/>
          <w:sz w:val="22"/>
          <w:szCs w:val="22"/>
        </w:rPr>
        <w:t>Act relating</w:t>
      </w:r>
      <w:r w:rsidR="00F272C8" w:rsidRPr="00805848">
        <w:rPr>
          <w:rFonts w:ascii="Times New Roman" w:hAnsi="Times New Roman" w:cs="Times New Roman"/>
          <w:bCs/>
          <w:sz w:val="22"/>
          <w:szCs w:val="22"/>
        </w:rPr>
        <w:t xml:space="preserve"> to the method of pegging a block or site were not substantially </w:t>
      </w:r>
      <w:r w:rsidR="00CC5625" w:rsidRPr="00805848">
        <w:rPr>
          <w:rFonts w:ascii="Times New Roman" w:hAnsi="Times New Roman" w:cs="Times New Roman"/>
          <w:bCs/>
          <w:sz w:val="22"/>
          <w:szCs w:val="22"/>
        </w:rPr>
        <w:t>complied with in respect of such block or site.</w:t>
      </w:r>
      <w:r w:rsidR="00476599" w:rsidRPr="00805848">
        <w:rPr>
          <w:rFonts w:ascii="Times New Roman" w:hAnsi="Times New Roman" w:cs="Times New Roman"/>
          <w:bCs/>
          <w:sz w:val="22"/>
          <w:szCs w:val="22"/>
        </w:rPr>
        <w:t>”</w:t>
      </w:r>
      <w:r w:rsidR="00E85C2F" w:rsidRPr="00805848">
        <w:rPr>
          <w:rFonts w:ascii="Times New Roman" w:hAnsi="Times New Roman" w:cs="Times New Roman"/>
          <w:bCs/>
          <w:sz w:val="22"/>
          <w:szCs w:val="22"/>
        </w:rPr>
        <w:t xml:space="preserve"> </w:t>
      </w:r>
    </w:p>
    <w:p w14:paraId="031EDB80" w14:textId="77777777" w:rsidR="00AF0C25" w:rsidRPr="00805848" w:rsidRDefault="00AF0C25" w:rsidP="00A81423">
      <w:pPr>
        <w:spacing w:line="360" w:lineRule="auto"/>
        <w:jc w:val="both"/>
        <w:rPr>
          <w:rFonts w:ascii="Times New Roman" w:hAnsi="Times New Roman" w:cs="Times New Roman"/>
          <w:bCs/>
          <w:sz w:val="22"/>
          <w:szCs w:val="22"/>
        </w:rPr>
      </w:pPr>
    </w:p>
    <w:p w14:paraId="17861A5C" w14:textId="64033D01" w:rsidR="00DB2DE3" w:rsidRPr="00A81423" w:rsidRDefault="00AF0C25" w:rsidP="00805848">
      <w:pPr>
        <w:spacing w:after="0" w:line="360" w:lineRule="auto"/>
        <w:ind w:firstLine="720"/>
        <w:jc w:val="both"/>
        <w:rPr>
          <w:rFonts w:ascii="Times New Roman" w:hAnsi="Times New Roman" w:cs="Times New Roman"/>
          <w:bCs/>
        </w:rPr>
      </w:pPr>
      <w:r w:rsidRPr="00A81423">
        <w:rPr>
          <w:rFonts w:ascii="Times New Roman" w:hAnsi="Times New Roman" w:cs="Times New Roman"/>
          <w:bCs/>
        </w:rPr>
        <w:t xml:space="preserve"> Thus, I am unable </w:t>
      </w:r>
      <w:r w:rsidR="008109C1" w:rsidRPr="00A81423">
        <w:rPr>
          <w:rFonts w:ascii="Times New Roman" w:hAnsi="Times New Roman" w:cs="Times New Roman"/>
          <w:bCs/>
        </w:rPr>
        <w:t xml:space="preserve">to find </w:t>
      </w:r>
      <w:r w:rsidRPr="00A81423">
        <w:rPr>
          <w:rFonts w:ascii="Times New Roman" w:hAnsi="Times New Roman" w:cs="Times New Roman"/>
          <w:bCs/>
        </w:rPr>
        <w:t xml:space="preserve">the merit for statutory prescription. The argument was not properly taken. </w:t>
      </w:r>
      <w:r w:rsidR="00AF1C92" w:rsidRPr="00A81423">
        <w:rPr>
          <w:rFonts w:ascii="Times New Roman" w:hAnsi="Times New Roman" w:cs="Times New Roman"/>
          <w:bCs/>
        </w:rPr>
        <w:t xml:space="preserve">For </w:t>
      </w:r>
      <w:r w:rsidR="00425A4E" w:rsidRPr="00A81423">
        <w:rPr>
          <w:rFonts w:ascii="Times New Roman" w:hAnsi="Times New Roman" w:cs="Times New Roman"/>
          <w:bCs/>
        </w:rPr>
        <w:t xml:space="preserve">these </w:t>
      </w:r>
      <w:r w:rsidR="00AF1C92" w:rsidRPr="00A81423">
        <w:rPr>
          <w:rFonts w:ascii="Times New Roman" w:hAnsi="Times New Roman" w:cs="Times New Roman"/>
          <w:bCs/>
        </w:rPr>
        <w:t>reason</w:t>
      </w:r>
      <w:r w:rsidR="00425A4E" w:rsidRPr="00A81423">
        <w:rPr>
          <w:rFonts w:ascii="Times New Roman" w:hAnsi="Times New Roman" w:cs="Times New Roman"/>
          <w:bCs/>
        </w:rPr>
        <w:t>s</w:t>
      </w:r>
      <w:r w:rsidR="00AF1C92" w:rsidRPr="00A81423">
        <w:rPr>
          <w:rFonts w:ascii="Times New Roman" w:hAnsi="Times New Roman" w:cs="Times New Roman"/>
          <w:bCs/>
        </w:rPr>
        <w:t xml:space="preserve">, the point </w:t>
      </w:r>
      <w:r w:rsidR="00AF1C92" w:rsidRPr="00A81423">
        <w:rPr>
          <w:rFonts w:ascii="Times New Roman" w:hAnsi="Times New Roman" w:cs="Times New Roman"/>
          <w:bCs/>
          <w:i/>
          <w:iCs/>
        </w:rPr>
        <w:t>in limine</w:t>
      </w:r>
      <w:r w:rsidR="00AF1C92" w:rsidRPr="00A81423">
        <w:rPr>
          <w:rFonts w:ascii="Times New Roman" w:hAnsi="Times New Roman" w:cs="Times New Roman"/>
          <w:bCs/>
        </w:rPr>
        <w:t xml:space="preserve"> </w:t>
      </w:r>
      <w:r w:rsidR="003D02C2" w:rsidRPr="00A81423">
        <w:rPr>
          <w:rFonts w:ascii="Times New Roman" w:hAnsi="Times New Roman" w:cs="Times New Roman"/>
          <w:bCs/>
        </w:rPr>
        <w:t>for statutory</w:t>
      </w:r>
      <w:r w:rsidR="00AF1C92" w:rsidRPr="00A81423">
        <w:rPr>
          <w:rFonts w:ascii="Times New Roman" w:hAnsi="Times New Roman" w:cs="Times New Roman"/>
          <w:bCs/>
        </w:rPr>
        <w:t xml:space="preserve"> prescription is </w:t>
      </w:r>
      <w:r w:rsidR="003D02C2" w:rsidRPr="00A81423">
        <w:rPr>
          <w:rFonts w:ascii="Times New Roman" w:hAnsi="Times New Roman" w:cs="Times New Roman"/>
          <w:bCs/>
        </w:rPr>
        <w:t>hereby dismissed</w:t>
      </w:r>
      <w:r w:rsidR="00AF1C92" w:rsidRPr="00A81423">
        <w:rPr>
          <w:rFonts w:ascii="Times New Roman" w:hAnsi="Times New Roman" w:cs="Times New Roman"/>
          <w:bCs/>
        </w:rPr>
        <w:t>.</w:t>
      </w:r>
    </w:p>
    <w:p w14:paraId="4A53F812" w14:textId="2B6E7834" w:rsidR="00525765" w:rsidRPr="00A81423" w:rsidRDefault="00DB2DE3" w:rsidP="00805848">
      <w:pPr>
        <w:spacing w:line="360" w:lineRule="auto"/>
        <w:ind w:firstLine="720"/>
        <w:jc w:val="both"/>
        <w:rPr>
          <w:rFonts w:ascii="Times New Roman" w:hAnsi="Times New Roman" w:cs="Times New Roman"/>
          <w:bCs/>
        </w:rPr>
      </w:pPr>
      <w:r w:rsidRPr="00A81423">
        <w:rPr>
          <w:rFonts w:ascii="Times New Roman" w:hAnsi="Times New Roman" w:cs="Times New Roman"/>
          <w:bCs/>
        </w:rPr>
        <w:t xml:space="preserve">Arguing on the point </w:t>
      </w:r>
      <w:r w:rsidRPr="00A81423">
        <w:rPr>
          <w:rFonts w:ascii="Times New Roman" w:hAnsi="Times New Roman" w:cs="Times New Roman"/>
          <w:bCs/>
          <w:i/>
          <w:iCs/>
        </w:rPr>
        <w:t>in limine</w:t>
      </w:r>
      <w:r w:rsidRPr="00A81423">
        <w:rPr>
          <w:rFonts w:ascii="Times New Roman" w:hAnsi="Times New Roman" w:cs="Times New Roman"/>
          <w:bCs/>
        </w:rPr>
        <w:t xml:space="preserve"> for absence of cause of </w:t>
      </w:r>
      <w:r w:rsidR="003D02C2" w:rsidRPr="00A81423">
        <w:rPr>
          <w:rFonts w:ascii="Times New Roman" w:hAnsi="Times New Roman" w:cs="Times New Roman"/>
          <w:bCs/>
        </w:rPr>
        <w:t>action, the</w:t>
      </w:r>
      <w:r w:rsidR="006324AD" w:rsidRPr="00A81423">
        <w:rPr>
          <w:rFonts w:ascii="Times New Roman" w:hAnsi="Times New Roman" w:cs="Times New Roman"/>
          <w:bCs/>
        </w:rPr>
        <w:t xml:space="preserve"> </w:t>
      </w:r>
      <w:r w:rsidR="00E73291">
        <w:rPr>
          <w:rFonts w:ascii="Times New Roman" w:hAnsi="Times New Roman" w:cs="Times New Roman"/>
          <w:bCs/>
        </w:rPr>
        <w:t>first</w:t>
      </w:r>
      <w:r w:rsidR="006324AD" w:rsidRPr="00A81423">
        <w:rPr>
          <w:rFonts w:ascii="Times New Roman" w:hAnsi="Times New Roman" w:cs="Times New Roman"/>
          <w:bCs/>
        </w:rPr>
        <w:t xml:space="preserve"> Respondent </w:t>
      </w:r>
      <w:r w:rsidR="00230B25" w:rsidRPr="00A81423">
        <w:rPr>
          <w:rFonts w:ascii="Times New Roman" w:hAnsi="Times New Roman" w:cs="Times New Roman"/>
          <w:bCs/>
        </w:rPr>
        <w:t>maintained</w:t>
      </w:r>
      <w:r w:rsidR="00146997" w:rsidRPr="00A81423">
        <w:rPr>
          <w:rFonts w:ascii="Times New Roman" w:hAnsi="Times New Roman" w:cs="Times New Roman"/>
          <w:bCs/>
        </w:rPr>
        <w:t xml:space="preserve"> that the application is anchored on </w:t>
      </w:r>
      <w:r w:rsidR="00805848">
        <w:rPr>
          <w:rFonts w:ascii="Times New Roman" w:hAnsi="Times New Roman" w:cs="Times New Roman"/>
          <w:bCs/>
        </w:rPr>
        <w:t>s</w:t>
      </w:r>
      <w:r w:rsidR="00146997" w:rsidRPr="00A81423">
        <w:rPr>
          <w:rFonts w:ascii="Times New Roman" w:hAnsi="Times New Roman" w:cs="Times New Roman"/>
          <w:bCs/>
        </w:rPr>
        <w:t xml:space="preserve"> 31 of the Mines and Minerals Act. According to </w:t>
      </w:r>
      <w:r w:rsidR="00146997" w:rsidRPr="00805848">
        <w:rPr>
          <w:rFonts w:ascii="Times New Roman" w:hAnsi="Times New Roman" w:cs="Times New Roman"/>
          <w:bCs/>
          <w:i/>
          <w:iCs/>
        </w:rPr>
        <w:t>Adv</w:t>
      </w:r>
      <w:r w:rsidR="00805848" w:rsidRPr="00805848">
        <w:rPr>
          <w:rFonts w:ascii="Times New Roman" w:hAnsi="Times New Roman" w:cs="Times New Roman"/>
          <w:bCs/>
          <w:i/>
          <w:iCs/>
        </w:rPr>
        <w:t>ocate</w:t>
      </w:r>
      <w:r w:rsidR="00146997" w:rsidRPr="00805848">
        <w:rPr>
          <w:rFonts w:ascii="Times New Roman" w:hAnsi="Times New Roman" w:cs="Times New Roman"/>
          <w:bCs/>
          <w:i/>
          <w:iCs/>
        </w:rPr>
        <w:t xml:space="preserve"> Tshuma</w:t>
      </w:r>
      <w:r w:rsidR="00146997" w:rsidRPr="00A81423">
        <w:rPr>
          <w:rFonts w:ascii="Times New Roman" w:hAnsi="Times New Roman" w:cs="Times New Roman"/>
          <w:bCs/>
        </w:rPr>
        <w:t>, this section does not provide for the cancellation of the mining certificates by this court.</w:t>
      </w:r>
      <w:r w:rsidR="009722B4" w:rsidRPr="00A81423">
        <w:rPr>
          <w:rFonts w:ascii="Times New Roman" w:hAnsi="Times New Roman" w:cs="Times New Roman"/>
          <w:bCs/>
        </w:rPr>
        <w:t xml:space="preserve"> He argued that the present application is made in terms of </w:t>
      </w:r>
      <w:r w:rsidR="00805848">
        <w:rPr>
          <w:rFonts w:ascii="Times New Roman" w:hAnsi="Times New Roman" w:cs="Times New Roman"/>
          <w:bCs/>
        </w:rPr>
        <w:t>s</w:t>
      </w:r>
      <w:r w:rsidR="009722B4" w:rsidRPr="00A81423">
        <w:rPr>
          <w:rFonts w:ascii="Times New Roman" w:hAnsi="Times New Roman" w:cs="Times New Roman"/>
          <w:bCs/>
        </w:rPr>
        <w:t xml:space="preserve"> 31 of the Mines and Minerals Act. </w:t>
      </w:r>
      <w:r w:rsidR="00163CB0" w:rsidRPr="00A81423">
        <w:rPr>
          <w:rFonts w:ascii="Times New Roman" w:hAnsi="Times New Roman" w:cs="Times New Roman"/>
          <w:bCs/>
        </w:rPr>
        <w:t xml:space="preserve"> </w:t>
      </w:r>
      <w:r w:rsidR="00F26BBB" w:rsidRPr="00A81423">
        <w:rPr>
          <w:rFonts w:ascii="Times New Roman" w:hAnsi="Times New Roman" w:cs="Times New Roman"/>
          <w:bCs/>
        </w:rPr>
        <w:t>Reference was made to para 10</w:t>
      </w:r>
      <w:r w:rsidR="00B419F9">
        <w:rPr>
          <w:rFonts w:ascii="Times New Roman" w:hAnsi="Times New Roman" w:cs="Times New Roman"/>
          <w:bCs/>
        </w:rPr>
        <w:t xml:space="preserve"> </w:t>
      </w:r>
      <w:r w:rsidR="00F26BBB" w:rsidRPr="00A81423">
        <w:rPr>
          <w:rFonts w:ascii="Times New Roman" w:hAnsi="Times New Roman" w:cs="Times New Roman"/>
          <w:bCs/>
        </w:rPr>
        <w:t>of the Applicant’s founding affidavit</w:t>
      </w:r>
      <w:r w:rsidR="00B419F9">
        <w:rPr>
          <w:rFonts w:ascii="Times New Roman" w:hAnsi="Times New Roman" w:cs="Times New Roman"/>
          <w:bCs/>
        </w:rPr>
        <w:t>,</w:t>
      </w:r>
      <w:r w:rsidR="00F26BBB" w:rsidRPr="00A81423">
        <w:rPr>
          <w:rFonts w:ascii="Times New Roman" w:hAnsi="Times New Roman" w:cs="Times New Roman"/>
          <w:bCs/>
        </w:rPr>
        <w:t xml:space="preserve"> which read</w:t>
      </w:r>
      <w:r w:rsidR="00D7719C" w:rsidRPr="00A81423">
        <w:rPr>
          <w:rFonts w:ascii="Times New Roman" w:hAnsi="Times New Roman" w:cs="Times New Roman"/>
          <w:bCs/>
        </w:rPr>
        <w:t>s</w:t>
      </w:r>
      <w:r w:rsidR="00F26BBB" w:rsidRPr="00A81423">
        <w:rPr>
          <w:rFonts w:ascii="Times New Roman" w:hAnsi="Times New Roman" w:cs="Times New Roman"/>
          <w:bCs/>
        </w:rPr>
        <w:t xml:space="preserve"> as follows:</w:t>
      </w:r>
    </w:p>
    <w:p w14:paraId="00C467B8" w14:textId="02C54977" w:rsidR="00693FB8" w:rsidRPr="00805848" w:rsidRDefault="00525765" w:rsidP="00805848">
      <w:pPr>
        <w:spacing w:line="240" w:lineRule="auto"/>
        <w:ind w:left="720"/>
        <w:jc w:val="both"/>
        <w:rPr>
          <w:rFonts w:ascii="Times New Roman" w:hAnsi="Times New Roman" w:cs="Times New Roman"/>
          <w:bCs/>
          <w:sz w:val="22"/>
          <w:szCs w:val="22"/>
        </w:rPr>
      </w:pPr>
      <w:r w:rsidRPr="00805848">
        <w:rPr>
          <w:rFonts w:ascii="Times New Roman" w:hAnsi="Times New Roman" w:cs="Times New Roman"/>
          <w:bCs/>
          <w:sz w:val="22"/>
          <w:szCs w:val="22"/>
        </w:rPr>
        <w:t xml:space="preserve">“10. This </w:t>
      </w:r>
      <w:r w:rsidR="003D02C2" w:rsidRPr="00805848">
        <w:rPr>
          <w:rFonts w:ascii="Times New Roman" w:hAnsi="Times New Roman" w:cs="Times New Roman"/>
          <w:bCs/>
          <w:sz w:val="22"/>
          <w:szCs w:val="22"/>
        </w:rPr>
        <w:t>is a</w:t>
      </w:r>
      <w:r w:rsidRPr="00805848">
        <w:rPr>
          <w:rFonts w:ascii="Times New Roman" w:hAnsi="Times New Roman" w:cs="Times New Roman"/>
          <w:bCs/>
          <w:sz w:val="22"/>
          <w:szCs w:val="22"/>
        </w:rPr>
        <w:t xml:space="preserve"> court application for an order to cancel mining claims with Registration Numbers BM4745, BM4732 and BM4733 held in the name of the First Respondent [Record </w:t>
      </w:r>
      <w:r w:rsidR="003D02C2" w:rsidRPr="00805848">
        <w:rPr>
          <w:rFonts w:ascii="Times New Roman" w:hAnsi="Times New Roman" w:cs="Times New Roman"/>
          <w:bCs/>
          <w:sz w:val="22"/>
          <w:szCs w:val="22"/>
        </w:rPr>
        <w:t>Note (</w:t>
      </w:r>
      <w:r w:rsidRPr="00805848">
        <w:rPr>
          <w:rFonts w:ascii="Times New Roman" w:hAnsi="Times New Roman" w:cs="Times New Roman"/>
          <w:bCs/>
          <w:sz w:val="22"/>
          <w:szCs w:val="22"/>
        </w:rPr>
        <w:t xml:space="preserve">Private) Limited] which were pegged on land that was not open to prospecting and pegging in violation of </w:t>
      </w:r>
      <w:r w:rsidR="00805848">
        <w:rPr>
          <w:rFonts w:ascii="Times New Roman" w:hAnsi="Times New Roman" w:cs="Times New Roman"/>
          <w:bCs/>
          <w:sz w:val="22"/>
          <w:szCs w:val="22"/>
        </w:rPr>
        <w:t>s</w:t>
      </w:r>
      <w:r w:rsidRPr="00805848">
        <w:rPr>
          <w:rFonts w:ascii="Times New Roman" w:hAnsi="Times New Roman" w:cs="Times New Roman"/>
          <w:bCs/>
          <w:sz w:val="22"/>
          <w:szCs w:val="22"/>
        </w:rPr>
        <w:t xml:space="preserve"> 31 of the Mines and Minerals Act [</w:t>
      </w:r>
      <w:r w:rsidRPr="00805848">
        <w:rPr>
          <w:rFonts w:ascii="Times New Roman" w:hAnsi="Times New Roman" w:cs="Times New Roman"/>
          <w:bCs/>
          <w:i/>
          <w:iCs/>
          <w:sz w:val="22"/>
          <w:szCs w:val="22"/>
        </w:rPr>
        <w:t xml:space="preserve">Chapter </w:t>
      </w:r>
      <w:r w:rsidR="00805848" w:rsidRPr="00805848">
        <w:rPr>
          <w:rFonts w:ascii="Times New Roman" w:hAnsi="Times New Roman" w:cs="Times New Roman"/>
          <w:bCs/>
          <w:i/>
          <w:iCs/>
          <w:sz w:val="22"/>
          <w:szCs w:val="22"/>
        </w:rPr>
        <w:t> </w:t>
      </w:r>
      <w:r w:rsidRPr="00805848">
        <w:rPr>
          <w:rFonts w:ascii="Times New Roman" w:hAnsi="Times New Roman" w:cs="Times New Roman"/>
          <w:bCs/>
          <w:i/>
          <w:iCs/>
          <w:sz w:val="22"/>
          <w:szCs w:val="22"/>
        </w:rPr>
        <w:t>21:05</w:t>
      </w:r>
      <w:r w:rsidRPr="00805848">
        <w:rPr>
          <w:rFonts w:ascii="Times New Roman" w:hAnsi="Times New Roman" w:cs="Times New Roman"/>
          <w:bCs/>
          <w:sz w:val="22"/>
          <w:szCs w:val="22"/>
        </w:rPr>
        <w:t>].</w:t>
      </w:r>
      <w:r w:rsidR="009962B4" w:rsidRPr="00805848">
        <w:rPr>
          <w:rFonts w:ascii="Times New Roman" w:hAnsi="Times New Roman" w:cs="Times New Roman"/>
          <w:bCs/>
          <w:sz w:val="22"/>
          <w:szCs w:val="22"/>
        </w:rPr>
        <w:t>”</w:t>
      </w:r>
    </w:p>
    <w:p w14:paraId="12ABE9FE" w14:textId="22B58528" w:rsidR="003F1945" w:rsidRPr="00A81423" w:rsidRDefault="00552211" w:rsidP="00805848">
      <w:pPr>
        <w:spacing w:after="0" w:line="360" w:lineRule="auto"/>
        <w:jc w:val="both"/>
        <w:rPr>
          <w:rFonts w:ascii="Times New Roman" w:hAnsi="Times New Roman" w:cs="Times New Roman"/>
          <w:bCs/>
        </w:rPr>
      </w:pPr>
      <w:r w:rsidRPr="00A81423">
        <w:rPr>
          <w:rFonts w:ascii="Times New Roman" w:hAnsi="Times New Roman" w:cs="Times New Roman"/>
          <w:bCs/>
        </w:rPr>
        <w:t>Adv</w:t>
      </w:r>
      <w:r w:rsidR="00805848">
        <w:rPr>
          <w:rFonts w:ascii="Times New Roman" w:hAnsi="Times New Roman" w:cs="Times New Roman"/>
          <w:bCs/>
        </w:rPr>
        <w:t>ocate</w:t>
      </w:r>
      <w:r w:rsidRPr="00A81423">
        <w:rPr>
          <w:rFonts w:ascii="Times New Roman" w:hAnsi="Times New Roman" w:cs="Times New Roman"/>
          <w:bCs/>
        </w:rPr>
        <w:t xml:space="preserve"> </w:t>
      </w:r>
      <w:r w:rsidRPr="00805848">
        <w:rPr>
          <w:rFonts w:ascii="Times New Roman" w:hAnsi="Times New Roman" w:cs="Times New Roman"/>
          <w:bCs/>
          <w:i/>
          <w:iCs/>
        </w:rPr>
        <w:t>Tivadar</w:t>
      </w:r>
      <w:r w:rsidRPr="00A81423">
        <w:rPr>
          <w:rFonts w:ascii="Times New Roman" w:hAnsi="Times New Roman" w:cs="Times New Roman"/>
          <w:bCs/>
        </w:rPr>
        <w:t>, in response, argued that the</w:t>
      </w:r>
      <w:r w:rsidR="00595746" w:rsidRPr="00A81423">
        <w:rPr>
          <w:rFonts w:ascii="Times New Roman" w:hAnsi="Times New Roman" w:cs="Times New Roman"/>
          <w:bCs/>
        </w:rPr>
        <w:t xml:space="preserve"> application is seeking remedy in terms of </w:t>
      </w:r>
      <w:r w:rsidR="00805848">
        <w:rPr>
          <w:rFonts w:ascii="Times New Roman" w:hAnsi="Times New Roman" w:cs="Times New Roman"/>
          <w:bCs/>
        </w:rPr>
        <w:t xml:space="preserve">s </w:t>
      </w:r>
      <w:r w:rsidR="00595746" w:rsidRPr="00A81423">
        <w:rPr>
          <w:rFonts w:ascii="Times New Roman" w:hAnsi="Times New Roman" w:cs="Times New Roman"/>
          <w:bCs/>
        </w:rPr>
        <w:t>1</w:t>
      </w:r>
      <w:r w:rsidR="00614B38" w:rsidRPr="00A81423">
        <w:rPr>
          <w:rFonts w:ascii="Times New Roman" w:hAnsi="Times New Roman" w:cs="Times New Roman"/>
          <w:bCs/>
        </w:rPr>
        <w:t>7</w:t>
      </w:r>
      <w:r w:rsidR="00595746" w:rsidRPr="00A81423">
        <w:rPr>
          <w:rFonts w:ascii="Times New Roman" w:hAnsi="Times New Roman" w:cs="Times New Roman"/>
          <w:bCs/>
        </w:rPr>
        <w:t>7(3) of the Mines and Minerals Act. Reference was made to para 28 of the founding affidavit.</w:t>
      </w:r>
      <w:r w:rsidR="00614B38" w:rsidRPr="00A81423">
        <w:rPr>
          <w:rFonts w:ascii="Times New Roman" w:hAnsi="Times New Roman" w:cs="Times New Roman"/>
          <w:bCs/>
        </w:rPr>
        <w:t xml:space="preserve"> </w:t>
      </w:r>
      <w:r w:rsidR="00B32613" w:rsidRPr="00A81423">
        <w:rPr>
          <w:rFonts w:ascii="Times New Roman" w:hAnsi="Times New Roman" w:cs="Times New Roman"/>
          <w:bCs/>
        </w:rPr>
        <w:t xml:space="preserve">He further submitted that if the court makes the finding </w:t>
      </w:r>
      <w:r w:rsidR="003D02C2" w:rsidRPr="00A81423">
        <w:rPr>
          <w:rFonts w:ascii="Times New Roman" w:hAnsi="Times New Roman" w:cs="Times New Roman"/>
          <w:bCs/>
        </w:rPr>
        <w:t>that there</w:t>
      </w:r>
      <w:r w:rsidR="008D649A" w:rsidRPr="00A81423">
        <w:rPr>
          <w:rFonts w:ascii="Times New Roman" w:hAnsi="Times New Roman" w:cs="Times New Roman"/>
          <w:bCs/>
        </w:rPr>
        <w:t xml:space="preserve"> is no cause of action arising from </w:t>
      </w:r>
      <w:r w:rsidR="00805848">
        <w:rPr>
          <w:rFonts w:ascii="Times New Roman" w:hAnsi="Times New Roman" w:cs="Times New Roman"/>
          <w:bCs/>
        </w:rPr>
        <w:t>s</w:t>
      </w:r>
      <w:r w:rsidR="008D649A" w:rsidRPr="00A81423">
        <w:rPr>
          <w:rFonts w:ascii="Times New Roman" w:hAnsi="Times New Roman" w:cs="Times New Roman"/>
          <w:bCs/>
        </w:rPr>
        <w:t xml:space="preserve"> 31 of the Mines and Minerals Act, he is abandoning the relief in terms of this section and </w:t>
      </w:r>
      <w:r w:rsidR="00B419F9">
        <w:rPr>
          <w:rFonts w:ascii="Times New Roman" w:hAnsi="Times New Roman" w:cs="Times New Roman"/>
          <w:bCs/>
        </w:rPr>
        <w:t xml:space="preserve">will </w:t>
      </w:r>
      <w:r w:rsidR="008D649A" w:rsidRPr="00A81423">
        <w:rPr>
          <w:rFonts w:ascii="Times New Roman" w:hAnsi="Times New Roman" w:cs="Times New Roman"/>
          <w:bCs/>
        </w:rPr>
        <w:t xml:space="preserve">pursue the remedy in terms </w:t>
      </w:r>
      <w:proofErr w:type="gramStart"/>
      <w:r w:rsidR="008D649A" w:rsidRPr="00A81423">
        <w:rPr>
          <w:rFonts w:ascii="Times New Roman" w:hAnsi="Times New Roman" w:cs="Times New Roman"/>
          <w:bCs/>
        </w:rPr>
        <w:t xml:space="preserve">of </w:t>
      </w:r>
      <w:r w:rsidR="00805848">
        <w:rPr>
          <w:rFonts w:ascii="Times New Roman" w:hAnsi="Times New Roman" w:cs="Times New Roman"/>
          <w:bCs/>
        </w:rPr>
        <w:t xml:space="preserve"> s</w:t>
      </w:r>
      <w:proofErr w:type="gramEnd"/>
      <w:r w:rsidR="00805848">
        <w:rPr>
          <w:rFonts w:ascii="Times New Roman" w:hAnsi="Times New Roman" w:cs="Times New Roman"/>
          <w:bCs/>
        </w:rPr>
        <w:t xml:space="preserve"> </w:t>
      </w:r>
      <w:r w:rsidR="008D649A" w:rsidRPr="00A81423">
        <w:rPr>
          <w:rFonts w:ascii="Times New Roman" w:hAnsi="Times New Roman" w:cs="Times New Roman"/>
          <w:bCs/>
        </w:rPr>
        <w:t>177(3) of the Mines and Minerals Act.</w:t>
      </w:r>
    </w:p>
    <w:p w14:paraId="6E16664B" w14:textId="4E791105" w:rsidR="004555F6" w:rsidRPr="00A81423" w:rsidRDefault="003F1945" w:rsidP="00805848">
      <w:pPr>
        <w:spacing w:after="0" w:line="360" w:lineRule="auto"/>
        <w:ind w:firstLine="720"/>
        <w:jc w:val="both"/>
        <w:rPr>
          <w:rFonts w:ascii="Times New Roman" w:hAnsi="Times New Roman" w:cs="Times New Roman"/>
          <w:bCs/>
        </w:rPr>
      </w:pPr>
      <w:r w:rsidRPr="00A81423">
        <w:rPr>
          <w:rFonts w:ascii="Times New Roman" w:hAnsi="Times New Roman" w:cs="Times New Roman"/>
          <w:bCs/>
        </w:rPr>
        <w:t xml:space="preserve">A reading of para 10 of the founding affidavit does not suggest that the application is </w:t>
      </w:r>
      <w:r w:rsidR="00614B38" w:rsidRPr="00A81423">
        <w:rPr>
          <w:rFonts w:ascii="Times New Roman" w:hAnsi="Times New Roman" w:cs="Times New Roman"/>
          <w:bCs/>
        </w:rPr>
        <w:t xml:space="preserve">lodged </w:t>
      </w:r>
      <w:r w:rsidRPr="00A81423">
        <w:rPr>
          <w:rFonts w:ascii="Times New Roman" w:hAnsi="Times New Roman" w:cs="Times New Roman"/>
          <w:bCs/>
        </w:rPr>
        <w:t xml:space="preserve">in terms of </w:t>
      </w:r>
      <w:r w:rsidR="00805848">
        <w:rPr>
          <w:rFonts w:ascii="Times New Roman" w:hAnsi="Times New Roman" w:cs="Times New Roman"/>
          <w:bCs/>
        </w:rPr>
        <w:t>s</w:t>
      </w:r>
      <w:r w:rsidRPr="00A81423">
        <w:rPr>
          <w:rFonts w:ascii="Times New Roman" w:hAnsi="Times New Roman" w:cs="Times New Roman"/>
          <w:bCs/>
        </w:rPr>
        <w:t xml:space="preserve"> 31 of the Mines and Minerals Act. </w:t>
      </w:r>
      <w:r w:rsidR="00B72A44" w:rsidRPr="00A81423">
        <w:rPr>
          <w:rFonts w:ascii="Times New Roman" w:hAnsi="Times New Roman" w:cs="Times New Roman"/>
          <w:bCs/>
        </w:rPr>
        <w:t>Reference to this section is not suggesting that the Applicant is seeking relief in terms of this provision,</w:t>
      </w:r>
      <w:r w:rsidR="00CE0A68" w:rsidRPr="00A81423">
        <w:rPr>
          <w:rFonts w:ascii="Times New Roman" w:hAnsi="Times New Roman" w:cs="Times New Roman"/>
          <w:bCs/>
        </w:rPr>
        <w:t xml:space="preserve"> </w:t>
      </w:r>
      <w:r w:rsidR="00B72A44" w:rsidRPr="00A81423">
        <w:rPr>
          <w:rFonts w:ascii="Times New Roman" w:hAnsi="Times New Roman" w:cs="Times New Roman"/>
          <w:bCs/>
        </w:rPr>
        <w:t>in my view.</w:t>
      </w:r>
      <w:r w:rsidR="00CE0A68" w:rsidRPr="00A81423">
        <w:rPr>
          <w:rFonts w:ascii="Times New Roman" w:hAnsi="Times New Roman" w:cs="Times New Roman"/>
          <w:bCs/>
        </w:rPr>
        <w:t xml:space="preserve"> The Applicant is simply stating that the </w:t>
      </w:r>
      <w:r w:rsidR="00E73291">
        <w:rPr>
          <w:rFonts w:ascii="Times New Roman" w:hAnsi="Times New Roman" w:cs="Times New Roman"/>
          <w:bCs/>
        </w:rPr>
        <w:t>first</w:t>
      </w:r>
      <w:r w:rsidR="00CE0A68" w:rsidRPr="00A81423">
        <w:rPr>
          <w:rFonts w:ascii="Times New Roman" w:hAnsi="Times New Roman" w:cs="Times New Roman"/>
          <w:bCs/>
        </w:rPr>
        <w:t xml:space="preserve"> Respondent’s mining claims are violating the provisions of </w:t>
      </w:r>
      <w:r w:rsidR="00805848">
        <w:rPr>
          <w:rFonts w:ascii="Times New Roman" w:hAnsi="Times New Roman" w:cs="Times New Roman"/>
          <w:bCs/>
        </w:rPr>
        <w:t>s</w:t>
      </w:r>
      <w:r w:rsidR="00CE0A68" w:rsidRPr="00A81423">
        <w:rPr>
          <w:rFonts w:ascii="Times New Roman" w:hAnsi="Times New Roman" w:cs="Times New Roman"/>
          <w:bCs/>
        </w:rPr>
        <w:t xml:space="preserve"> 31 of the Mines and Minerals Act.</w:t>
      </w:r>
      <w:r w:rsidR="00DA50CE" w:rsidRPr="00A81423">
        <w:rPr>
          <w:rFonts w:ascii="Times New Roman" w:hAnsi="Times New Roman" w:cs="Times New Roman"/>
          <w:bCs/>
        </w:rPr>
        <w:t xml:space="preserve"> Although the present application is for the cancellation of the mining claims, nothing in para 10 suggests that the application is lodged in terms of </w:t>
      </w:r>
      <w:r w:rsidR="00805848">
        <w:rPr>
          <w:rFonts w:ascii="Times New Roman" w:hAnsi="Times New Roman" w:cs="Times New Roman"/>
          <w:bCs/>
        </w:rPr>
        <w:t>s</w:t>
      </w:r>
      <w:r w:rsidR="00DA50CE" w:rsidRPr="00A81423">
        <w:rPr>
          <w:rFonts w:ascii="Times New Roman" w:hAnsi="Times New Roman" w:cs="Times New Roman"/>
          <w:bCs/>
        </w:rPr>
        <w:t xml:space="preserve"> 31 of the Mine</w:t>
      </w:r>
      <w:r w:rsidR="00614B38" w:rsidRPr="00A81423">
        <w:rPr>
          <w:rFonts w:ascii="Times New Roman" w:hAnsi="Times New Roman" w:cs="Times New Roman"/>
          <w:bCs/>
        </w:rPr>
        <w:t>s</w:t>
      </w:r>
      <w:r w:rsidR="00DA50CE" w:rsidRPr="00A81423">
        <w:rPr>
          <w:rFonts w:ascii="Times New Roman" w:hAnsi="Times New Roman" w:cs="Times New Roman"/>
          <w:bCs/>
        </w:rPr>
        <w:t xml:space="preserve"> and Minerals Act.</w:t>
      </w:r>
      <w:r w:rsidR="00197C92" w:rsidRPr="00A81423">
        <w:rPr>
          <w:rFonts w:ascii="Times New Roman" w:hAnsi="Times New Roman" w:cs="Times New Roman"/>
          <w:bCs/>
        </w:rPr>
        <w:t xml:space="preserve"> </w:t>
      </w:r>
    </w:p>
    <w:p w14:paraId="61B0BD93" w14:textId="3BFA6AEB" w:rsidR="00A43378" w:rsidRPr="00A81423" w:rsidRDefault="004555F6" w:rsidP="00805848">
      <w:pPr>
        <w:spacing w:line="360" w:lineRule="auto"/>
        <w:ind w:firstLine="720"/>
        <w:jc w:val="both"/>
        <w:rPr>
          <w:rFonts w:ascii="Times New Roman" w:hAnsi="Times New Roman" w:cs="Times New Roman"/>
          <w:bCs/>
        </w:rPr>
      </w:pPr>
      <w:r w:rsidRPr="00A81423">
        <w:rPr>
          <w:rFonts w:ascii="Times New Roman" w:hAnsi="Times New Roman" w:cs="Times New Roman"/>
          <w:bCs/>
        </w:rPr>
        <w:lastRenderedPageBreak/>
        <w:t xml:space="preserve">However, the court </w:t>
      </w:r>
      <w:r w:rsidR="002E17E6" w:rsidRPr="00A81423">
        <w:rPr>
          <w:rFonts w:ascii="Times New Roman" w:hAnsi="Times New Roman" w:cs="Times New Roman"/>
          <w:bCs/>
        </w:rPr>
        <w:t xml:space="preserve">needs to examine whether the </w:t>
      </w:r>
      <w:r w:rsidR="00E73291">
        <w:rPr>
          <w:rFonts w:ascii="Times New Roman" w:hAnsi="Times New Roman" w:cs="Times New Roman"/>
          <w:bCs/>
        </w:rPr>
        <w:t>first</w:t>
      </w:r>
      <w:r w:rsidR="003D02C2" w:rsidRPr="00A81423">
        <w:rPr>
          <w:rFonts w:ascii="Times New Roman" w:hAnsi="Times New Roman" w:cs="Times New Roman"/>
          <w:bCs/>
        </w:rPr>
        <w:t xml:space="preserve"> Respondent</w:t>
      </w:r>
      <w:r w:rsidR="00492797" w:rsidRPr="00A81423">
        <w:rPr>
          <w:rFonts w:ascii="Times New Roman" w:hAnsi="Times New Roman" w:cs="Times New Roman"/>
          <w:bCs/>
        </w:rPr>
        <w:t xml:space="preserve"> is violating the provisions of </w:t>
      </w:r>
      <w:r w:rsidR="00805848">
        <w:rPr>
          <w:rFonts w:ascii="Times New Roman" w:hAnsi="Times New Roman" w:cs="Times New Roman"/>
          <w:bCs/>
        </w:rPr>
        <w:t xml:space="preserve">s </w:t>
      </w:r>
      <w:r w:rsidR="00492797" w:rsidRPr="00A81423">
        <w:rPr>
          <w:rFonts w:ascii="Times New Roman" w:hAnsi="Times New Roman" w:cs="Times New Roman"/>
          <w:bCs/>
        </w:rPr>
        <w:t xml:space="preserve">31. It is apparent </w:t>
      </w:r>
      <w:r w:rsidR="000A7E4B" w:rsidRPr="00A81423">
        <w:rPr>
          <w:rFonts w:ascii="Times New Roman" w:hAnsi="Times New Roman" w:cs="Times New Roman"/>
          <w:bCs/>
        </w:rPr>
        <w:t xml:space="preserve">that </w:t>
      </w:r>
      <w:r w:rsidR="00805848">
        <w:rPr>
          <w:rFonts w:ascii="Times New Roman" w:hAnsi="Times New Roman" w:cs="Times New Roman"/>
          <w:bCs/>
        </w:rPr>
        <w:t>s</w:t>
      </w:r>
      <w:r w:rsidR="00492797" w:rsidRPr="00A81423">
        <w:rPr>
          <w:rFonts w:ascii="Times New Roman" w:hAnsi="Times New Roman" w:cs="Times New Roman"/>
          <w:bCs/>
        </w:rPr>
        <w:t xml:space="preserve"> </w:t>
      </w:r>
      <w:r w:rsidR="003D02C2" w:rsidRPr="00A81423">
        <w:rPr>
          <w:rFonts w:ascii="Times New Roman" w:hAnsi="Times New Roman" w:cs="Times New Roman"/>
          <w:bCs/>
        </w:rPr>
        <w:t>31 provides</w:t>
      </w:r>
      <w:r w:rsidR="000A7E4B" w:rsidRPr="00A81423">
        <w:rPr>
          <w:rFonts w:ascii="Times New Roman" w:hAnsi="Times New Roman" w:cs="Times New Roman"/>
          <w:bCs/>
        </w:rPr>
        <w:t xml:space="preserve"> that an area may not be open </w:t>
      </w:r>
      <w:r w:rsidR="00891F1C" w:rsidRPr="00A81423">
        <w:rPr>
          <w:rFonts w:ascii="Times New Roman" w:hAnsi="Times New Roman" w:cs="Times New Roman"/>
          <w:bCs/>
        </w:rPr>
        <w:t xml:space="preserve">to </w:t>
      </w:r>
      <w:r w:rsidR="000A7E4B" w:rsidRPr="00A81423">
        <w:rPr>
          <w:rFonts w:ascii="Times New Roman" w:hAnsi="Times New Roman" w:cs="Times New Roman"/>
          <w:bCs/>
        </w:rPr>
        <w:t>prospecting where the consent of the land owner has not been obtained.</w:t>
      </w:r>
      <w:r w:rsidR="00DD634D" w:rsidRPr="00A81423">
        <w:rPr>
          <w:rFonts w:ascii="Times New Roman" w:hAnsi="Times New Roman" w:cs="Times New Roman"/>
          <w:bCs/>
        </w:rPr>
        <w:t xml:space="preserve"> </w:t>
      </w:r>
      <w:r w:rsidR="00CA638F" w:rsidRPr="00A81423">
        <w:rPr>
          <w:rFonts w:ascii="Times New Roman" w:hAnsi="Times New Roman" w:cs="Times New Roman"/>
          <w:bCs/>
        </w:rPr>
        <w:t>The</w:t>
      </w:r>
      <w:r w:rsidR="0021180F" w:rsidRPr="00A81423">
        <w:rPr>
          <w:rFonts w:ascii="Times New Roman" w:hAnsi="Times New Roman" w:cs="Times New Roman"/>
          <w:bCs/>
        </w:rPr>
        <w:t xml:space="preserve"> Applicant and the </w:t>
      </w:r>
      <w:r w:rsidR="00E73291">
        <w:rPr>
          <w:rFonts w:ascii="Times New Roman" w:hAnsi="Times New Roman" w:cs="Times New Roman"/>
          <w:bCs/>
        </w:rPr>
        <w:t>first</w:t>
      </w:r>
      <w:r w:rsidR="0021180F" w:rsidRPr="00A81423">
        <w:rPr>
          <w:rFonts w:ascii="Times New Roman" w:hAnsi="Times New Roman" w:cs="Times New Roman"/>
          <w:bCs/>
        </w:rPr>
        <w:t xml:space="preserve"> </w:t>
      </w:r>
      <w:r w:rsidR="003D02C2" w:rsidRPr="00A81423">
        <w:rPr>
          <w:rFonts w:ascii="Times New Roman" w:hAnsi="Times New Roman" w:cs="Times New Roman"/>
          <w:bCs/>
        </w:rPr>
        <w:t>Respondent are</w:t>
      </w:r>
      <w:r w:rsidR="007D3248" w:rsidRPr="00A81423">
        <w:rPr>
          <w:rFonts w:ascii="Times New Roman" w:hAnsi="Times New Roman" w:cs="Times New Roman"/>
          <w:bCs/>
        </w:rPr>
        <w:t xml:space="preserve"> all miners. None of them is a </w:t>
      </w:r>
      <w:r w:rsidR="00BB6AA1">
        <w:rPr>
          <w:rFonts w:ascii="Times New Roman" w:hAnsi="Times New Roman" w:cs="Times New Roman"/>
          <w:bCs/>
        </w:rPr>
        <w:t>landowner</w:t>
      </w:r>
      <w:r w:rsidR="007D3248" w:rsidRPr="00A81423">
        <w:rPr>
          <w:rFonts w:ascii="Times New Roman" w:hAnsi="Times New Roman" w:cs="Times New Roman"/>
          <w:bCs/>
        </w:rPr>
        <w:t xml:space="preserve">. Hence, violation of </w:t>
      </w:r>
      <w:r w:rsidR="00805848">
        <w:rPr>
          <w:rFonts w:ascii="Times New Roman" w:hAnsi="Times New Roman" w:cs="Times New Roman"/>
          <w:bCs/>
        </w:rPr>
        <w:t>s</w:t>
      </w:r>
      <w:r w:rsidR="007D3248" w:rsidRPr="00A81423">
        <w:rPr>
          <w:rFonts w:ascii="Times New Roman" w:hAnsi="Times New Roman" w:cs="Times New Roman"/>
          <w:bCs/>
        </w:rPr>
        <w:t xml:space="preserve"> 31 of the Mines and Minerals Act cannot arise</w:t>
      </w:r>
      <w:r w:rsidR="00B9122D" w:rsidRPr="00A81423">
        <w:rPr>
          <w:rFonts w:ascii="Times New Roman" w:hAnsi="Times New Roman" w:cs="Times New Roman"/>
          <w:bCs/>
        </w:rPr>
        <w:t xml:space="preserve"> under such circumstances</w:t>
      </w:r>
      <w:r w:rsidR="007D3248" w:rsidRPr="00A81423">
        <w:rPr>
          <w:rFonts w:ascii="Times New Roman" w:hAnsi="Times New Roman" w:cs="Times New Roman"/>
          <w:bCs/>
        </w:rPr>
        <w:t>.</w:t>
      </w:r>
      <w:r w:rsidR="009E780A" w:rsidRPr="00A81423">
        <w:rPr>
          <w:rFonts w:ascii="Times New Roman" w:hAnsi="Times New Roman" w:cs="Times New Roman"/>
          <w:bCs/>
        </w:rPr>
        <w:t xml:space="preserve"> It is an established principle that the Applicant who </w:t>
      </w:r>
      <w:r w:rsidR="003D02C2" w:rsidRPr="00A81423">
        <w:rPr>
          <w:rFonts w:ascii="Times New Roman" w:hAnsi="Times New Roman" w:cs="Times New Roman"/>
          <w:bCs/>
        </w:rPr>
        <w:t>approaches the</w:t>
      </w:r>
      <w:r w:rsidR="008D0B19" w:rsidRPr="00A81423">
        <w:rPr>
          <w:rFonts w:ascii="Times New Roman" w:hAnsi="Times New Roman" w:cs="Times New Roman"/>
          <w:bCs/>
        </w:rPr>
        <w:t xml:space="preserve"> court must specify the legal provision upon which the application is founded so as to inform the court and the opposite party. </w:t>
      </w:r>
      <w:r w:rsidR="00891F1C" w:rsidRPr="00A81423">
        <w:rPr>
          <w:rFonts w:ascii="Times New Roman" w:hAnsi="Times New Roman" w:cs="Times New Roman"/>
          <w:bCs/>
        </w:rPr>
        <w:t xml:space="preserve">Reference </w:t>
      </w:r>
      <w:r w:rsidR="008D0B19" w:rsidRPr="00A81423">
        <w:rPr>
          <w:rFonts w:ascii="Times New Roman" w:hAnsi="Times New Roman" w:cs="Times New Roman"/>
          <w:bCs/>
        </w:rPr>
        <w:t>is made to the case of</w:t>
      </w:r>
      <w:r w:rsidR="00A43378" w:rsidRPr="00A81423">
        <w:rPr>
          <w:rFonts w:ascii="Times New Roman" w:hAnsi="Times New Roman" w:cs="Times New Roman"/>
          <w:bCs/>
        </w:rPr>
        <w:t xml:space="preserve"> </w:t>
      </w:r>
      <w:r w:rsidR="00A43378" w:rsidRPr="00BB6AA1">
        <w:rPr>
          <w:rFonts w:ascii="Times New Roman" w:hAnsi="Times New Roman" w:cs="Times New Roman"/>
          <w:bCs/>
          <w:i/>
        </w:rPr>
        <w:t xml:space="preserve">Bushu </w:t>
      </w:r>
      <w:r w:rsidR="00A43378" w:rsidRPr="00805848">
        <w:rPr>
          <w:rFonts w:ascii="Times New Roman" w:hAnsi="Times New Roman" w:cs="Times New Roman"/>
          <w:bCs/>
          <w:iCs/>
        </w:rPr>
        <w:t>v</w:t>
      </w:r>
      <w:r w:rsidR="00A43378" w:rsidRPr="00BB6AA1">
        <w:rPr>
          <w:rFonts w:ascii="Times New Roman" w:hAnsi="Times New Roman" w:cs="Times New Roman"/>
          <w:bCs/>
          <w:i/>
        </w:rPr>
        <w:t xml:space="preserve"> GMB and Ors</w:t>
      </w:r>
      <w:r w:rsidR="00BB6AA1">
        <w:rPr>
          <w:rStyle w:val="FootnoteReference"/>
          <w:rFonts w:ascii="Times New Roman" w:hAnsi="Times New Roman" w:cs="Times New Roman"/>
          <w:bCs/>
          <w:i/>
        </w:rPr>
        <w:footnoteReference w:id="4"/>
      </w:r>
      <w:r w:rsidR="00A43378" w:rsidRPr="00BB6AA1">
        <w:rPr>
          <w:rFonts w:ascii="Times New Roman" w:hAnsi="Times New Roman" w:cs="Times New Roman"/>
          <w:bCs/>
          <w:i/>
        </w:rPr>
        <w:t>,</w:t>
      </w:r>
      <w:r w:rsidR="00A43378" w:rsidRPr="00A81423">
        <w:rPr>
          <w:rFonts w:ascii="Times New Roman" w:hAnsi="Times New Roman" w:cs="Times New Roman"/>
          <w:bCs/>
        </w:rPr>
        <w:t xml:space="preserve"> where </w:t>
      </w:r>
      <w:r w:rsidR="00A43378" w:rsidRPr="00805848">
        <w:rPr>
          <w:rFonts w:ascii="Times New Roman" w:hAnsi="Times New Roman" w:cs="Times New Roman"/>
          <w:bCs/>
          <w:smallCaps/>
        </w:rPr>
        <w:t xml:space="preserve">Chitapi </w:t>
      </w:r>
      <w:r w:rsidR="00A43378" w:rsidRPr="00A81423">
        <w:rPr>
          <w:rFonts w:ascii="Times New Roman" w:hAnsi="Times New Roman" w:cs="Times New Roman"/>
          <w:bCs/>
        </w:rPr>
        <w:t>J remarked as follows:</w:t>
      </w:r>
    </w:p>
    <w:p w14:paraId="45868828" w14:textId="56F95096" w:rsidR="00A43378" w:rsidRPr="00805848" w:rsidRDefault="00A43378" w:rsidP="006C57B1">
      <w:pPr>
        <w:spacing w:after="0" w:line="240" w:lineRule="auto"/>
        <w:ind w:left="720"/>
        <w:jc w:val="both"/>
        <w:rPr>
          <w:rFonts w:ascii="Times New Roman" w:hAnsi="Times New Roman" w:cs="Times New Roman"/>
          <w:sz w:val="22"/>
          <w:szCs w:val="22"/>
        </w:rPr>
      </w:pPr>
      <w:r w:rsidRPr="00805848">
        <w:rPr>
          <w:rFonts w:ascii="Times New Roman" w:hAnsi="Times New Roman" w:cs="Times New Roman"/>
          <w:bCs/>
          <w:sz w:val="22"/>
          <w:szCs w:val="22"/>
        </w:rPr>
        <w:t>“</w:t>
      </w:r>
      <w:r w:rsidRPr="00805848">
        <w:rPr>
          <w:rFonts w:ascii="Times New Roman" w:hAnsi="Times New Roman" w:cs="Times New Roman"/>
          <w:sz w:val="22"/>
          <w:szCs w:val="22"/>
        </w:rPr>
        <w:t>The application filed by the applicants’ legal practitioner is hopelessly inadequate in form and substance. I deal with the inadequacies in the application hereunder. Firstly the application does not indicate the provisions of the law under which it is made. I will accept that form 29 of the High Court rules does not specifically provide that the applicant relying on a provision of the law should cite the rule under which the application is made. However, in practice, any astute legal practitioner making an application in terms of a statutory provision including a rule of court is expected to indicate the rule or provision concerned. The need to cite the relevant provision of the law under which the application is made, where applicable of course, cannot be overemphasized. The citation of the correct and relevant provision attunes the court to its jurisdiction and the judge or court as the case may be immediately opens up to the provision and if need be researches on the provision if it is not one that immediately comes to mind.</w:t>
      </w:r>
    </w:p>
    <w:p w14:paraId="55224670" w14:textId="106E4902" w:rsidR="00A43378" w:rsidRPr="00805848" w:rsidRDefault="00A43378" w:rsidP="006C57B1">
      <w:pPr>
        <w:spacing w:after="0" w:line="240" w:lineRule="auto"/>
        <w:ind w:left="720"/>
        <w:jc w:val="both"/>
        <w:rPr>
          <w:rFonts w:ascii="Times New Roman" w:hAnsi="Times New Roman" w:cs="Times New Roman"/>
          <w:sz w:val="22"/>
          <w:szCs w:val="22"/>
        </w:rPr>
      </w:pPr>
      <w:r w:rsidRPr="00805848">
        <w:rPr>
          <w:rFonts w:ascii="Times New Roman" w:hAnsi="Times New Roman" w:cs="Times New Roman"/>
          <w:sz w:val="22"/>
          <w:szCs w:val="22"/>
        </w:rPr>
        <w:tab/>
        <w:t>Notwithstanding that form 29 does not provide for the rule or statutory provision citation, it should be accepted as a basic rule and pre-requisite in any application grounded on a statutory provision or rule of court that the provision or rule be cited. If not cited in the heading “court application…..” then the founding affidavit should at least contain a statement by the applicant that he or she is making an application in terms of the specific provision or rule. It should not be left to the judge to have to go through all the papers filed in the application in order to determine the nature of the application. I have indeed dealt with countless applications where the provision or rule if applicable has been cited. This is as it should be. It is a matter of common sense and logic. It is to me no different from the need for a party to provide a citation for a legal case authority intended to be relied upon in heads of argument. The case citation is indicated as a matter of common sense practice and logic because the party citing the case wants the judge to read the case. A statutory or rule specific application should using the same logic specify the statute or rule. I would extend my reasoning to non statutory or and non rule specific application. If the application is grounded in the common law, it should state so. After all Order 1 r 4 (2) is clear that the forms in the first schedule to the rules should not be used with slavish adherence, but be altered to suit the circumstances of the matter at hand.”</w:t>
      </w:r>
    </w:p>
    <w:p w14:paraId="24A92051" w14:textId="77777777" w:rsidR="00A43378" w:rsidRPr="00805848" w:rsidRDefault="00A43378" w:rsidP="00A81423">
      <w:pPr>
        <w:spacing w:after="0" w:line="360" w:lineRule="auto"/>
        <w:jc w:val="both"/>
        <w:rPr>
          <w:rFonts w:ascii="Times New Roman" w:hAnsi="Times New Roman" w:cs="Times New Roman"/>
          <w:sz w:val="22"/>
          <w:szCs w:val="22"/>
        </w:rPr>
      </w:pPr>
    </w:p>
    <w:p w14:paraId="543AD1CB" w14:textId="58E89B81" w:rsidR="007B4DC9" w:rsidRPr="006F330F" w:rsidRDefault="00D00549" w:rsidP="006F330F">
      <w:pPr>
        <w:spacing w:after="0" w:line="360" w:lineRule="auto"/>
        <w:ind w:firstLine="720"/>
        <w:jc w:val="both"/>
        <w:rPr>
          <w:rFonts w:ascii="Times New Roman" w:hAnsi="Times New Roman" w:cs="Times New Roman"/>
        </w:rPr>
      </w:pPr>
      <w:r w:rsidRPr="00A81423">
        <w:rPr>
          <w:rFonts w:ascii="Times New Roman" w:hAnsi="Times New Roman" w:cs="Times New Roman"/>
        </w:rPr>
        <w:t xml:space="preserve">By referring </w:t>
      </w:r>
      <w:r w:rsidR="00855560" w:rsidRPr="00A81423">
        <w:rPr>
          <w:rFonts w:ascii="Times New Roman" w:hAnsi="Times New Roman" w:cs="Times New Roman"/>
        </w:rPr>
        <w:t xml:space="preserve">to the violation of </w:t>
      </w:r>
      <w:r w:rsidR="00805848">
        <w:rPr>
          <w:rFonts w:ascii="Times New Roman" w:hAnsi="Times New Roman" w:cs="Times New Roman"/>
        </w:rPr>
        <w:t>s</w:t>
      </w:r>
      <w:r w:rsidR="00855560" w:rsidRPr="00A81423">
        <w:rPr>
          <w:rFonts w:ascii="Times New Roman" w:hAnsi="Times New Roman" w:cs="Times New Roman"/>
        </w:rPr>
        <w:t xml:space="preserve"> 31 of the Mines and Minerals Act, the Applicant</w:t>
      </w:r>
      <w:r w:rsidR="008844BC" w:rsidRPr="00A81423">
        <w:rPr>
          <w:rFonts w:ascii="Times New Roman" w:hAnsi="Times New Roman" w:cs="Times New Roman"/>
        </w:rPr>
        <w:t xml:space="preserve"> referred the court and the Respondents to a </w:t>
      </w:r>
      <w:r w:rsidR="003D02C2" w:rsidRPr="00A81423">
        <w:rPr>
          <w:rFonts w:ascii="Times New Roman" w:hAnsi="Times New Roman" w:cs="Times New Roman"/>
        </w:rPr>
        <w:t>wrong provision</w:t>
      </w:r>
      <w:r w:rsidR="008844BC" w:rsidRPr="00A81423">
        <w:rPr>
          <w:rFonts w:ascii="Times New Roman" w:hAnsi="Times New Roman" w:cs="Times New Roman"/>
        </w:rPr>
        <w:t xml:space="preserve"> of the law.</w:t>
      </w:r>
      <w:r w:rsidR="00304EA8">
        <w:rPr>
          <w:rFonts w:ascii="Times New Roman" w:hAnsi="Times New Roman" w:cs="Times New Roman"/>
        </w:rPr>
        <w:t xml:space="preserve"> Section 31 of the Mines and Minerals Act establishes the conditions that enhance </w:t>
      </w:r>
      <w:r w:rsidR="00834986">
        <w:rPr>
          <w:rFonts w:ascii="Times New Roman" w:hAnsi="Times New Roman" w:cs="Times New Roman"/>
        </w:rPr>
        <w:t xml:space="preserve">the </w:t>
      </w:r>
      <w:r w:rsidR="00304EA8">
        <w:rPr>
          <w:rFonts w:ascii="Times New Roman" w:hAnsi="Times New Roman" w:cs="Times New Roman"/>
        </w:rPr>
        <w:t xml:space="preserve">peaceful coexistence between the land </w:t>
      </w:r>
      <w:r w:rsidR="00304EA8">
        <w:rPr>
          <w:rFonts w:ascii="Times New Roman" w:hAnsi="Times New Roman" w:cs="Times New Roman"/>
        </w:rPr>
        <w:lastRenderedPageBreak/>
        <w:t>owner and the miner. There are no allegations made by the Applicant that such conditions have been violated.</w:t>
      </w:r>
      <w:r w:rsidR="00AE5D67">
        <w:rPr>
          <w:rFonts w:ascii="Times New Roman" w:hAnsi="Times New Roman" w:cs="Times New Roman"/>
        </w:rPr>
        <w:t xml:space="preserve"> The pleading of </w:t>
      </w:r>
      <w:r w:rsidR="007F0D30">
        <w:rPr>
          <w:rFonts w:ascii="Times New Roman" w:hAnsi="Times New Roman" w:cs="Times New Roman"/>
        </w:rPr>
        <w:t xml:space="preserve">an </w:t>
      </w:r>
      <w:r w:rsidR="00AE5D67">
        <w:rPr>
          <w:rFonts w:ascii="Times New Roman" w:hAnsi="Times New Roman" w:cs="Times New Roman"/>
        </w:rPr>
        <w:t xml:space="preserve">improper cause of action will </w:t>
      </w:r>
      <w:r w:rsidR="004E525F">
        <w:rPr>
          <w:rFonts w:ascii="Times New Roman" w:hAnsi="Times New Roman" w:cs="Times New Roman"/>
        </w:rPr>
        <w:t xml:space="preserve">affect the manner of response by the opposite party. </w:t>
      </w:r>
      <w:r w:rsidR="00ED6D69">
        <w:rPr>
          <w:rFonts w:ascii="Times New Roman" w:hAnsi="Times New Roman" w:cs="Times New Roman"/>
        </w:rPr>
        <w:t>The other party needs to have a correct picture of the Applicant’s complaint</w:t>
      </w:r>
      <w:r w:rsidR="00834986">
        <w:rPr>
          <w:rFonts w:ascii="Times New Roman" w:hAnsi="Times New Roman" w:cs="Times New Roman"/>
        </w:rPr>
        <w:t xml:space="preserve"> for him or her to properly respond</w:t>
      </w:r>
      <w:r w:rsidR="00ED6D69">
        <w:rPr>
          <w:rFonts w:ascii="Times New Roman" w:hAnsi="Times New Roman" w:cs="Times New Roman"/>
        </w:rPr>
        <w:t>.</w:t>
      </w:r>
      <w:r w:rsidR="00834986">
        <w:rPr>
          <w:rFonts w:ascii="Times New Roman" w:hAnsi="Times New Roman" w:cs="Times New Roman"/>
        </w:rPr>
        <w:t xml:space="preserve"> The pleading of a correct cause of action will enable the court to </w:t>
      </w:r>
      <w:r w:rsidR="007F0D30">
        <w:rPr>
          <w:rFonts w:ascii="Times New Roman" w:hAnsi="Times New Roman" w:cs="Times New Roman"/>
        </w:rPr>
        <w:t>deal with</w:t>
      </w:r>
      <w:r w:rsidR="00834986">
        <w:rPr>
          <w:rFonts w:ascii="Times New Roman" w:hAnsi="Times New Roman" w:cs="Times New Roman"/>
        </w:rPr>
        <w:t xml:space="preserve"> the real dispute between the parties. </w:t>
      </w:r>
      <w:r w:rsidR="00812771">
        <w:rPr>
          <w:rFonts w:ascii="Times New Roman" w:hAnsi="Times New Roman" w:cs="Times New Roman"/>
        </w:rPr>
        <w:t>Further</w:t>
      </w:r>
      <w:r w:rsidR="007F0D30">
        <w:rPr>
          <w:rFonts w:ascii="Times New Roman" w:hAnsi="Times New Roman" w:cs="Times New Roman"/>
        </w:rPr>
        <w:t>,</w:t>
      </w:r>
      <w:r w:rsidR="00812771">
        <w:rPr>
          <w:rFonts w:ascii="Times New Roman" w:hAnsi="Times New Roman" w:cs="Times New Roman"/>
        </w:rPr>
        <w:t xml:space="preserve"> the </w:t>
      </w:r>
      <w:r w:rsidR="00622D36">
        <w:rPr>
          <w:rFonts w:ascii="Times New Roman" w:hAnsi="Times New Roman" w:cs="Times New Roman"/>
        </w:rPr>
        <w:t xml:space="preserve">basis </w:t>
      </w:r>
      <w:r w:rsidR="00812771">
        <w:rPr>
          <w:rFonts w:ascii="Times New Roman" w:hAnsi="Times New Roman" w:cs="Times New Roman"/>
        </w:rPr>
        <w:t xml:space="preserve">for </w:t>
      </w:r>
      <w:r w:rsidR="00622D36">
        <w:rPr>
          <w:rFonts w:ascii="Times New Roman" w:hAnsi="Times New Roman" w:cs="Times New Roman"/>
        </w:rPr>
        <w:t>cancellation of the site</w:t>
      </w:r>
      <w:r w:rsidR="00DB7F5C">
        <w:rPr>
          <w:rFonts w:ascii="Times New Roman" w:hAnsi="Times New Roman" w:cs="Times New Roman"/>
        </w:rPr>
        <w:t>, and not the mining</w:t>
      </w:r>
      <w:r w:rsidR="007F0D30">
        <w:rPr>
          <w:rFonts w:ascii="Times New Roman" w:hAnsi="Times New Roman" w:cs="Times New Roman"/>
        </w:rPr>
        <w:t xml:space="preserve"> </w:t>
      </w:r>
      <w:r w:rsidR="00DB7F5C">
        <w:rPr>
          <w:rFonts w:ascii="Times New Roman" w:hAnsi="Times New Roman" w:cs="Times New Roman"/>
        </w:rPr>
        <w:t>claim,</w:t>
      </w:r>
      <w:r w:rsidR="00622D36">
        <w:rPr>
          <w:rFonts w:ascii="Times New Roman" w:hAnsi="Times New Roman" w:cs="Times New Roman"/>
        </w:rPr>
        <w:t xml:space="preserve"> </w:t>
      </w:r>
      <w:r w:rsidR="00812771">
        <w:rPr>
          <w:rFonts w:ascii="Times New Roman" w:hAnsi="Times New Roman" w:cs="Times New Roman"/>
        </w:rPr>
        <w:t xml:space="preserve">arising </w:t>
      </w:r>
      <w:r w:rsidR="00E254ED">
        <w:rPr>
          <w:rFonts w:ascii="Times New Roman" w:hAnsi="Times New Roman" w:cs="Times New Roman"/>
        </w:rPr>
        <w:t>from s</w:t>
      </w:r>
      <w:r w:rsidR="00812771">
        <w:rPr>
          <w:rFonts w:ascii="Times New Roman" w:hAnsi="Times New Roman" w:cs="Times New Roman"/>
        </w:rPr>
        <w:t xml:space="preserve"> 31(3) of the Mines and Minerals Act</w:t>
      </w:r>
      <w:r w:rsidR="007F0D30">
        <w:rPr>
          <w:rFonts w:ascii="Times New Roman" w:hAnsi="Times New Roman" w:cs="Times New Roman"/>
        </w:rPr>
        <w:t>,</w:t>
      </w:r>
      <w:r w:rsidR="00812771">
        <w:rPr>
          <w:rFonts w:ascii="Times New Roman" w:hAnsi="Times New Roman" w:cs="Times New Roman"/>
        </w:rPr>
        <w:t xml:space="preserve"> can only be a result of </w:t>
      </w:r>
      <w:r w:rsidR="007F0D30">
        <w:rPr>
          <w:rFonts w:ascii="Times New Roman" w:hAnsi="Times New Roman" w:cs="Times New Roman"/>
        </w:rPr>
        <w:t xml:space="preserve">the </w:t>
      </w:r>
      <w:r w:rsidR="00812771">
        <w:rPr>
          <w:rFonts w:ascii="Times New Roman" w:hAnsi="Times New Roman" w:cs="Times New Roman"/>
        </w:rPr>
        <w:t>land owner’s failure to comply with the manner in which his or her principal homestead</w:t>
      </w:r>
      <w:r w:rsidR="00622D36">
        <w:rPr>
          <w:rFonts w:ascii="Times New Roman" w:hAnsi="Times New Roman" w:cs="Times New Roman"/>
        </w:rPr>
        <w:t xml:space="preserve"> may be pegged</w:t>
      </w:r>
      <w:r w:rsidR="00812771">
        <w:rPr>
          <w:rFonts w:ascii="Times New Roman" w:hAnsi="Times New Roman" w:cs="Times New Roman"/>
        </w:rPr>
        <w:t xml:space="preserve">. </w:t>
      </w:r>
      <w:r w:rsidR="00622D36">
        <w:rPr>
          <w:rFonts w:ascii="Times New Roman" w:hAnsi="Times New Roman" w:cs="Times New Roman"/>
        </w:rPr>
        <w:t xml:space="preserve"> This is irrelevant for the present application where none of the parties is a land owner. </w:t>
      </w:r>
      <w:r w:rsidR="00812771">
        <w:rPr>
          <w:rFonts w:ascii="Times New Roman" w:hAnsi="Times New Roman" w:cs="Times New Roman"/>
        </w:rPr>
        <w:t xml:space="preserve"> </w:t>
      </w:r>
      <w:r w:rsidR="008844BC" w:rsidRPr="00A81423">
        <w:rPr>
          <w:rFonts w:ascii="Times New Roman" w:hAnsi="Times New Roman" w:cs="Times New Roman"/>
        </w:rPr>
        <w:t xml:space="preserve">For </w:t>
      </w:r>
      <w:r w:rsidR="00ED6D69">
        <w:rPr>
          <w:rFonts w:ascii="Times New Roman" w:hAnsi="Times New Roman" w:cs="Times New Roman"/>
        </w:rPr>
        <w:t xml:space="preserve">these </w:t>
      </w:r>
      <w:r w:rsidR="008844BC" w:rsidRPr="00A81423">
        <w:rPr>
          <w:rFonts w:ascii="Times New Roman" w:hAnsi="Times New Roman" w:cs="Times New Roman"/>
        </w:rPr>
        <w:t>reason</w:t>
      </w:r>
      <w:r w:rsidR="00EC7C8C">
        <w:rPr>
          <w:rFonts w:ascii="Times New Roman" w:hAnsi="Times New Roman" w:cs="Times New Roman"/>
        </w:rPr>
        <w:t>s</w:t>
      </w:r>
      <w:r w:rsidR="008844BC" w:rsidRPr="00A81423">
        <w:rPr>
          <w:rFonts w:ascii="Times New Roman" w:hAnsi="Times New Roman" w:cs="Times New Roman"/>
        </w:rPr>
        <w:t xml:space="preserve">, </w:t>
      </w:r>
      <w:r w:rsidR="00B42DC2" w:rsidRPr="00A81423">
        <w:rPr>
          <w:rFonts w:ascii="Times New Roman" w:hAnsi="Times New Roman" w:cs="Times New Roman"/>
        </w:rPr>
        <w:t>the Applicant’s cause of action is erroneously rooted.</w:t>
      </w:r>
      <w:r w:rsidR="00D37A9B" w:rsidRPr="00A81423">
        <w:rPr>
          <w:rFonts w:ascii="Times New Roman" w:hAnsi="Times New Roman" w:cs="Times New Roman"/>
        </w:rPr>
        <w:t xml:space="preserve"> The Applicant ought to have referred the court to the appropriate provision.</w:t>
      </w:r>
      <w:r w:rsidR="00FA61CB">
        <w:rPr>
          <w:rFonts w:ascii="Times New Roman" w:hAnsi="Times New Roman" w:cs="Times New Roman"/>
        </w:rPr>
        <w:t xml:space="preserve"> </w:t>
      </w:r>
      <w:r w:rsidR="00D37A9B" w:rsidRPr="00A81423">
        <w:rPr>
          <w:rFonts w:ascii="Times New Roman" w:hAnsi="Times New Roman" w:cs="Times New Roman"/>
        </w:rPr>
        <w:t xml:space="preserve">Any attempt to depart </w:t>
      </w:r>
      <w:r w:rsidR="006F330F" w:rsidRPr="00A81423">
        <w:rPr>
          <w:rFonts w:ascii="Times New Roman" w:hAnsi="Times New Roman" w:cs="Times New Roman"/>
        </w:rPr>
        <w:t xml:space="preserve">from </w:t>
      </w:r>
      <w:r w:rsidR="006F330F">
        <w:rPr>
          <w:rFonts w:ascii="Times New Roman" w:hAnsi="Times New Roman" w:cs="Times New Roman"/>
        </w:rPr>
        <w:t>s</w:t>
      </w:r>
      <w:r w:rsidR="00D37A9B" w:rsidRPr="00A81423">
        <w:rPr>
          <w:rFonts w:ascii="Times New Roman" w:hAnsi="Times New Roman" w:cs="Times New Roman"/>
        </w:rPr>
        <w:t xml:space="preserve"> 31 of </w:t>
      </w:r>
      <w:r w:rsidR="00112CA1" w:rsidRPr="00A81423">
        <w:rPr>
          <w:rFonts w:ascii="Times New Roman" w:hAnsi="Times New Roman" w:cs="Times New Roman"/>
        </w:rPr>
        <w:t xml:space="preserve">the </w:t>
      </w:r>
      <w:r w:rsidR="00D37A9B" w:rsidRPr="00A81423">
        <w:rPr>
          <w:rFonts w:ascii="Times New Roman" w:hAnsi="Times New Roman" w:cs="Times New Roman"/>
        </w:rPr>
        <w:t xml:space="preserve">Mines and </w:t>
      </w:r>
      <w:r w:rsidR="003D02C2" w:rsidRPr="00A81423">
        <w:rPr>
          <w:rFonts w:ascii="Times New Roman" w:hAnsi="Times New Roman" w:cs="Times New Roman"/>
        </w:rPr>
        <w:t>Minerals Act</w:t>
      </w:r>
      <w:r w:rsidR="006776D7" w:rsidRPr="00A81423">
        <w:rPr>
          <w:rFonts w:ascii="Times New Roman" w:hAnsi="Times New Roman" w:cs="Times New Roman"/>
        </w:rPr>
        <w:t xml:space="preserve"> </w:t>
      </w:r>
      <w:r w:rsidR="00891F1C" w:rsidRPr="00A81423">
        <w:rPr>
          <w:rFonts w:ascii="Times New Roman" w:hAnsi="Times New Roman" w:cs="Times New Roman"/>
        </w:rPr>
        <w:t>through oral submissions</w:t>
      </w:r>
      <w:r w:rsidR="007F0D30">
        <w:rPr>
          <w:rFonts w:ascii="Times New Roman" w:hAnsi="Times New Roman" w:cs="Times New Roman"/>
        </w:rPr>
        <w:t>,</w:t>
      </w:r>
      <w:r w:rsidR="00891F1C" w:rsidRPr="00A81423">
        <w:rPr>
          <w:rFonts w:ascii="Times New Roman" w:hAnsi="Times New Roman" w:cs="Times New Roman"/>
        </w:rPr>
        <w:t xml:space="preserve"> as was attempted by </w:t>
      </w:r>
      <w:r w:rsidR="00891F1C" w:rsidRPr="006F330F">
        <w:rPr>
          <w:rFonts w:ascii="Times New Roman" w:hAnsi="Times New Roman" w:cs="Times New Roman"/>
          <w:i/>
          <w:iCs/>
        </w:rPr>
        <w:t>Adv</w:t>
      </w:r>
      <w:r w:rsidR="006F330F" w:rsidRPr="006F330F">
        <w:rPr>
          <w:rFonts w:ascii="Times New Roman" w:hAnsi="Times New Roman" w:cs="Times New Roman"/>
          <w:i/>
          <w:iCs/>
        </w:rPr>
        <w:t>ocate</w:t>
      </w:r>
      <w:r w:rsidR="00891F1C" w:rsidRPr="006F330F">
        <w:rPr>
          <w:rFonts w:ascii="Times New Roman" w:hAnsi="Times New Roman" w:cs="Times New Roman"/>
          <w:i/>
          <w:iCs/>
        </w:rPr>
        <w:t xml:space="preserve"> Tivadar</w:t>
      </w:r>
      <w:r w:rsidR="007F0D30">
        <w:rPr>
          <w:rFonts w:ascii="Times New Roman" w:hAnsi="Times New Roman" w:cs="Times New Roman"/>
        </w:rPr>
        <w:t>,</w:t>
      </w:r>
      <w:r w:rsidR="00891F1C" w:rsidRPr="00A81423">
        <w:rPr>
          <w:rFonts w:ascii="Times New Roman" w:hAnsi="Times New Roman" w:cs="Times New Roman"/>
        </w:rPr>
        <w:t xml:space="preserve"> </w:t>
      </w:r>
      <w:r w:rsidR="006776D7" w:rsidRPr="00A81423">
        <w:rPr>
          <w:rFonts w:ascii="Times New Roman" w:hAnsi="Times New Roman" w:cs="Times New Roman"/>
        </w:rPr>
        <w:t xml:space="preserve">cannot correct the defect. </w:t>
      </w:r>
      <w:r w:rsidR="00CD2586" w:rsidRPr="00A81423">
        <w:rPr>
          <w:rFonts w:ascii="Times New Roman" w:hAnsi="Times New Roman" w:cs="Times New Roman"/>
        </w:rPr>
        <w:t xml:space="preserve">The Applicant must have </w:t>
      </w:r>
      <w:r w:rsidR="00A73445" w:rsidRPr="00A81423">
        <w:rPr>
          <w:rFonts w:ascii="Times New Roman" w:hAnsi="Times New Roman" w:cs="Times New Roman"/>
        </w:rPr>
        <w:t>foreseen this</w:t>
      </w:r>
      <w:r w:rsidR="00112CA1" w:rsidRPr="00A81423">
        <w:rPr>
          <w:rFonts w:ascii="Times New Roman" w:hAnsi="Times New Roman" w:cs="Times New Roman"/>
        </w:rPr>
        <w:t xml:space="preserve"> </w:t>
      </w:r>
      <w:r w:rsidR="00FA61B8">
        <w:rPr>
          <w:rFonts w:ascii="Times New Roman" w:hAnsi="Times New Roman" w:cs="Times New Roman"/>
        </w:rPr>
        <w:t>defect</w:t>
      </w:r>
      <w:r w:rsidR="007F0D30">
        <w:rPr>
          <w:rFonts w:ascii="Times New Roman" w:hAnsi="Times New Roman" w:cs="Times New Roman"/>
        </w:rPr>
        <w:t>,</w:t>
      </w:r>
      <w:r w:rsidR="00FA61B8">
        <w:rPr>
          <w:rFonts w:ascii="Times New Roman" w:hAnsi="Times New Roman" w:cs="Times New Roman"/>
        </w:rPr>
        <w:t xml:space="preserve"> </w:t>
      </w:r>
      <w:r w:rsidR="00112CA1" w:rsidRPr="00A81423">
        <w:rPr>
          <w:rFonts w:ascii="Times New Roman" w:hAnsi="Times New Roman" w:cs="Times New Roman"/>
        </w:rPr>
        <w:t xml:space="preserve">having been alerted through </w:t>
      </w:r>
      <w:r w:rsidR="007F0D30">
        <w:rPr>
          <w:rFonts w:ascii="Times New Roman" w:hAnsi="Times New Roman" w:cs="Times New Roman"/>
        </w:rPr>
        <w:t xml:space="preserve">the </w:t>
      </w:r>
      <w:r w:rsidR="00112CA1" w:rsidRPr="00A81423">
        <w:rPr>
          <w:rFonts w:ascii="Times New Roman" w:hAnsi="Times New Roman" w:cs="Times New Roman"/>
        </w:rPr>
        <w:t xml:space="preserve">Heads of Argument filed on behalf of </w:t>
      </w:r>
      <w:r w:rsidR="003D02C2" w:rsidRPr="00A81423">
        <w:rPr>
          <w:rFonts w:ascii="Times New Roman" w:hAnsi="Times New Roman" w:cs="Times New Roman"/>
        </w:rPr>
        <w:t xml:space="preserve">the </w:t>
      </w:r>
      <w:r w:rsidR="00E73291">
        <w:rPr>
          <w:rFonts w:ascii="Times New Roman" w:hAnsi="Times New Roman" w:cs="Times New Roman"/>
        </w:rPr>
        <w:t>first</w:t>
      </w:r>
      <w:r w:rsidR="00DF0160" w:rsidRPr="00A81423">
        <w:rPr>
          <w:rFonts w:ascii="Times New Roman" w:hAnsi="Times New Roman" w:cs="Times New Roman"/>
        </w:rPr>
        <w:t xml:space="preserve"> Respondent.</w:t>
      </w:r>
      <w:r w:rsidR="00CD2586" w:rsidRPr="00A81423">
        <w:rPr>
          <w:rFonts w:ascii="Times New Roman" w:hAnsi="Times New Roman" w:cs="Times New Roman"/>
        </w:rPr>
        <w:t xml:space="preserve">  </w:t>
      </w:r>
    </w:p>
    <w:p w14:paraId="582BA14B" w14:textId="67AC9D2E" w:rsidR="00A81428" w:rsidRPr="00A81423" w:rsidRDefault="007B4DC9" w:rsidP="006F330F">
      <w:pPr>
        <w:spacing w:line="360" w:lineRule="auto"/>
        <w:ind w:firstLine="720"/>
        <w:jc w:val="both"/>
        <w:rPr>
          <w:rFonts w:ascii="Times New Roman" w:hAnsi="Times New Roman" w:cs="Times New Roman"/>
          <w:bCs/>
        </w:rPr>
      </w:pPr>
      <w:r w:rsidRPr="00A81423">
        <w:rPr>
          <w:rFonts w:ascii="Times New Roman" w:hAnsi="Times New Roman" w:cs="Times New Roman"/>
          <w:bCs/>
        </w:rPr>
        <w:t>Adv</w:t>
      </w:r>
      <w:r w:rsidR="006F330F">
        <w:rPr>
          <w:rFonts w:ascii="Times New Roman" w:hAnsi="Times New Roman" w:cs="Times New Roman"/>
          <w:bCs/>
        </w:rPr>
        <w:t>ocate</w:t>
      </w:r>
      <w:r w:rsidRPr="00A81423">
        <w:rPr>
          <w:rFonts w:ascii="Times New Roman" w:hAnsi="Times New Roman" w:cs="Times New Roman"/>
          <w:bCs/>
        </w:rPr>
        <w:t xml:space="preserve"> </w:t>
      </w:r>
      <w:r w:rsidRPr="006F330F">
        <w:rPr>
          <w:rFonts w:ascii="Times New Roman" w:hAnsi="Times New Roman" w:cs="Times New Roman"/>
          <w:bCs/>
          <w:i/>
          <w:iCs/>
        </w:rPr>
        <w:t>Tivada</w:t>
      </w:r>
      <w:r w:rsidRPr="00A81423">
        <w:rPr>
          <w:rFonts w:ascii="Times New Roman" w:hAnsi="Times New Roman" w:cs="Times New Roman"/>
          <w:bCs/>
        </w:rPr>
        <w:t xml:space="preserve">r submitted that he is now abandoning the relief in terms </w:t>
      </w:r>
      <w:proofErr w:type="gramStart"/>
      <w:r w:rsidRPr="00A81423">
        <w:rPr>
          <w:rFonts w:ascii="Times New Roman" w:hAnsi="Times New Roman" w:cs="Times New Roman"/>
          <w:bCs/>
        </w:rPr>
        <w:t xml:space="preserve">of </w:t>
      </w:r>
      <w:r w:rsidR="006F330F">
        <w:rPr>
          <w:rFonts w:ascii="Times New Roman" w:hAnsi="Times New Roman" w:cs="Times New Roman"/>
          <w:bCs/>
        </w:rPr>
        <w:t xml:space="preserve"> s</w:t>
      </w:r>
      <w:proofErr w:type="gramEnd"/>
      <w:r w:rsidRPr="00A81423">
        <w:rPr>
          <w:rFonts w:ascii="Times New Roman" w:hAnsi="Times New Roman" w:cs="Times New Roman"/>
          <w:bCs/>
        </w:rPr>
        <w:t xml:space="preserve"> 31 of the Mines and Minerals Act</w:t>
      </w:r>
      <w:r w:rsidR="00B37169" w:rsidRPr="00A81423">
        <w:rPr>
          <w:rFonts w:ascii="Times New Roman" w:hAnsi="Times New Roman" w:cs="Times New Roman"/>
          <w:bCs/>
        </w:rPr>
        <w:t xml:space="preserve">. He further submitted that his client is now pursuing remedy in terms </w:t>
      </w:r>
      <w:proofErr w:type="gramStart"/>
      <w:r w:rsidR="00B37169" w:rsidRPr="00A81423">
        <w:rPr>
          <w:rFonts w:ascii="Times New Roman" w:hAnsi="Times New Roman" w:cs="Times New Roman"/>
          <w:bCs/>
        </w:rPr>
        <w:t xml:space="preserve">of </w:t>
      </w:r>
      <w:r w:rsidR="006F330F">
        <w:rPr>
          <w:rFonts w:ascii="Times New Roman" w:hAnsi="Times New Roman" w:cs="Times New Roman"/>
          <w:bCs/>
        </w:rPr>
        <w:t xml:space="preserve"> s</w:t>
      </w:r>
      <w:proofErr w:type="gramEnd"/>
      <w:r w:rsidR="006F330F">
        <w:rPr>
          <w:rFonts w:ascii="Times New Roman" w:hAnsi="Times New Roman" w:cs="Times New Roman"/>
          <w:bCs/>
        </w:rPr>
        <w:t xml:space="preserve"> </w:t>
      </w:r>
      <w:r w:rsidR="00B37169" w:rsidRPr="00A81423">
        <w:rPr>
          <w:rFonts w:ascii="Times New Roman" w:hAnsi="Times New Roman" w:cs="Times New Roman"/>
          <w:bCs/>
        </w:rPr>
        <w:t>177(3)</w:t>
      </w:r>
      <w:r w:rsidR="00114BA5" w:rsidRPr="00A81423">
        <w:rPr>
          <w:rFonts w:ascii="Times New Roman" w:hAnsi="Times New Roman" w:cs="Times New Roman"/>
          <w:bCs/>
        </w:rPr>
        <w:t xml:space="preserve"> of the Mines </w:t>
      </w:r>
      <w:r w:rsidR="003D02C2" w:rsidRPr="00A81423">
        <w:rPr>
          <w:rFonts w:ascii="Times New Roman" w:hAnsi="Times New Roman" w:cs="Times New Roman"/>
          <w:bCs/>
        </w:rPr>
        <w:t>and Minerals</w:t>
      </w:r>
      <w:r w:rsidR="00114BA5" w:rsidRPr="00A81423">
        <w:rPr>
          <w:rFonts w:ascii="Times New Roman" w:hAnsi="Times New Roman" w:cs="Times New Roman"/>
          <w:bCs/>
        </w:rPr>
        <w:t xml:space="preserve"> Act. However, it is apparent that the application stands or falls by its </w:t>
      </w:r>
      <w:r w:rsidR="005B0F19" w:rsidRPr="00A81423">
        <w:rPr>
          <w:rFonts w:ascii="Times New Roman" w:hAnsi="Times New Roman" w:cs="Times New Roman"/>
          <w:bCs/>
        </w:rPr>
        <w:t>founding affidavit.</w:t>
      </w:r>
      <w:r w:rsidR="00EE21CC" w:rsidRPr="00A81423">
        <w:rPr>
          <w:rFonts w:ascii="Times New Roman" w:hAnsi="Times New Roman" w:cs="Times New Roman"/>
          <w:bCs/>
        </w:rPr>
        <w:t xml:space="preserve"> Reference is made to the case of</w:t>
      </w:r>
      <w:r w:rsidR="00A81428" w:rsidRPr="00A81423">
        <w:rPr>
          <w:rFonts w:ascii="Times New Roman" w:hAnsi="Times New Roman" w:cs="Times New Roman"/>
          <w:bCs/>
        </w:rPr>
        <w:t xml:space="preserve"> </w:t>
      </w:r>
      <w:r w:rsidR="00A81428" w:rsidRPr="007F0D30">
        <w:rPr>
          <w:rFonts w:ascii="Times New Roman" w:hAnsi="Times New Roman" w:cs="Times New Roman"/>
          <w:bCs/>
          <w:i/>
        </w:rPr>
        <w:t xml:space="preserve">Chironga and Anor </w:t>
      </w:r>
      <w:r w:rsidR="00A81428" w:rsidRPr="006F330F">
        <w:rPr>
          <w:rFonts w:ascii="Times New Roman" w:hAnsi="Times New Roman" w:cs="Times New Roman"/>
          <w:bCs/>
          <w:iCs/>
        </w:rPr>
        <w:t>v</w:t>
      </w:r>
      <w:r w:rsidR="00A81428" w:rsidRPr="007F0D30">
        <w:rPr>
          <w:rFonts w:ascii="Times New Roman" w:hAnsi="Times New Roman" w:cs="Times New Roman"/>
          <w:bCs/>
          <w:i/>
        </w:rPr>
        <w:t xml:space="preserve"> Minister of Justi</w:t>
      </w:r>
      <w:r w:rsidR="00DF0160" w:rsidRPr="007F0D30">
        <w:rPr>
          <w:rFonts w:ascii="Times New Roman" w:hAnsi="Times New Roman" w:cs="Times New Roman"/>
          <w:bCs/>
          <w:i/>
        </w:rPr>
        <w:t>ce</w:t>
      </w:r>
      <w:r w:rsidR="00A81428" w:rsidRPr="007F0D30">
        <w:rPr>
          <w:rFonts w:ascii="Times New Roman" w:hAnsi="Times New Roman" w:cs="Times New Roman"/>
          <w:bCs/>
          <w:i/>
        </w:rPr>
        <w:t>, Legal and Parliamentary Affairs and Ors</w:t>
      </w:r>
      <w:r w:rsidR="00DF0160" w:rsidRPr="00A81423">
        <w:rPr>
          <w:rStyle w:val="FootnoteReference"/>
          <w:rFonts w:ascii="Times New Roman" w:hAnsi="Times New Roman" w:cs="Times New Roman"/>
          <w:bCs/>
        </w:rPr>
        <w:footnoteReference w:id="5"/>
      </w:r>
      <w:r w:rsidR="00A81428" w:rsidRPr="00A81423">
        <w:rPr>
          <w:rFonts w:ascii="Times New Roman" w:hAnsi="Times New Roman" w:cs="Times New Roman"/>
          <w:bCs/>
        </w:rPr>
        <w:t xml:space="preserve">, where </w:t>
      </w:r>
      <w:r w:rsidR="009B0459" w:rsidRPr="006F330F">
        <w:rPr>
          <w:rFonts w:ascii="Times New Roman" w:hAnsi="Times New Roman" w:cs="Times New Roman"/>
          <w:bCs/>
          <w:smallCaps/>
        </w:rPr>
        <w:t>Hlatshwayo</w:t>
      </w:r>
      <w:r w:rsidR="009B0459" w:rsidRPr="00A81423">
        <w:rPr>
          <w:rFonts w:ascii="Times New Roman" w:hAnsi="Times New Roman" w:cs="Times New Roman"/>
          <w:bCs/>
        </w:rPr>
        <w:t xml:space="preserve"> JCC </w:t>
      </w:r>
      <w:r w:rsidR="00A81428" w:rsidRPr="00A81423">
        <w:rPr>
          <w:rFonts w:ascii="Times New Roman" w:hAnsi="Times New Roman" w:cs="Times New Roman"/>
          <w:bCs/>
        </w:rPr>
        <w:t>held that:</w:t>
      </w:r>
    </w:p>
    <w:p w14:paraId="1CD7AA57" w14:textId="2DBBA8EE" w:rsidR="00A81428" w:rsidRPr="006F330F" w:rsidRDefault="0024148C" w:rsidP="007F0D30">
      <w:pPr>
        <w:spacing w:after="0" w:line="240" w:lineRule="auto"/>
        <w:ind w:left="1134"/>
        <w:jc w:val="both"/>
        <w:rPr>
          <w:rFonts w:ascii="Times New Roman" w:eastAsia="Times New Roman" w:hAnsi="Times New Roman" w:cs="Times New Roman"/>
          <w:sz w:val="22"/>
          <w:szCs w:val="22"/>
        </w:rPr>
      </w:pPr>
      <w:r w:rsidRPr="006F330F">
        <w:rPr>
          <w:rFonts w:ascii="Times New Roman" w:eastAsia="Times New Roman" w:hAnsi="Times New Roman" w:cs="Times New Roman"/>
          <w:sz w:val="22"/>
          <w:szCs w:val="22"/>
        </w:rPr>
        <w:t>“</w:t>
      </w:r>
      <w:r w:rsidR="00A81428" w:rsidRPr="006F330F">
        <w:rPr>
          <w:rFonts w:ascii="Times New Roman" w:eastAsia="Times New Roman" w:hAnsi="Times New Roman" w:cs="Times New Roman"/>
          <w:sz w:val="22"/>
          <w:szCs w:val="22"/>
        </w:rPr>
        <w:t xml:space="preserve">It is trite that an application stands or falls on the averments made in the founding affidavit.  See </w:t>
      </w:r>
      <w:r w:rsidR="00A81428" w:rsidRPr="006F330F">
        <w:rPr>
          <w:rFonts w:ascii="Times New Roman" w:eastAsia="Times New Roman" w:hAnsi="Times New Roman" w:cs="Times New Roman"/>
          <w:i/>
          <w:sz w:val="22"/>
          <w:szCs w:val="22"/>
        </w:rPr>
        <w:t>Herbstein &amp; van Winsen the Civil Practice of the Superior Courts in South Africa 3rd ed (</w:t>
      </w:r>
      <w:r w:rsidR="00A81428" w:rsidRPr="006F330F">
        <w:rPr>
          <w:rFonts w:ascii="Times New Roman" w:eastAsia="Times New Roman" w:hAnsi="Times New Roman" w:cs="Times New Roman"/>
          <w:sz w:val="22"/>
          <w:szCs w:val="22"/>
        </w:rPr>
        <w:t>hereinafter ‘Herbstein &amp;Van Winsen or the Authors’</w:t>
      </w:r>
      <w:r w:rsidR="00A81428" w:rsidRPr="006F330F">
        <w:rPr>
          <w:rFonts w:ascii="Times New Roman" w:eastAsia="Times New Roman" w:hAnsi="Times New Roman" w:cs="Times New Roman"/>
          <w:i/>
          <w:sz w:val="22"/>
          <w:szCs w:val="22"/>
        </w:rPr>
        <w:t xml:space="preserve">) </w:t>
      </w:r>
      <w:r w:rsidR="00A81428" w:rsidRPr="006F330F">
        <w:rPr>
          <w:rFonts w:ascii="Times New Roman" w:eastAsia="Times New Roman" w:hAnsi="Times New Roman" w:cs="Times New Roman"/>
          <w:sz w:val="22"/>
          <w:szCs w:val="22"/>
        </w:rPr>
        <w:t>p 80 where the authors stated that:</w:t>
      </w:r>
    </w:p>
    <w:p w14:paraId="332A4F2B" w14:textId="1E59DABA" w:rsidR="00A73445" w:rsidRDefault="00A81428" w:rsidP="006F330F">
      <w:pPr>
        <w:spacing w:after="0" w:line="240" w:lineRule="auto"/>
        <w:ind w:left="1134"/>
        <w:jc w:val="both"/>
        <w:rPr>
          <w:rFonts w:ascii="Times New Roman" w:eastAsia="Times New Roman" w:hAnsi="Times New Roman" w:cs="Times New Roman"/>
          <w:sz w:val="22"/>
          <w:szCs w:val="22"/>
        </w:rPr>
      </w:pPr>
      <w:r w:rsidRPr="006F330F">
        <w:rPr>
          <w:rFonts w:ascii="Times New Roman" w:eastAsia="Times New Roman" w:hAnsi="Times New Roman" w:cs="Times New Roman"/>
          <w:sz w:val="22"/>
          <w:szCs w:val="22"/>
        </w:rPr>
        <w:t>“The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If the applicant merely sets out a skeleton case in his supporting affidavits any fortifying paragraphs in his replying affidavits will be struck out.”</w:t>
      </w:r>
    </w:p>
    <w:p w14:paraId="53521E88" w14:textId="77777777" w:rsidR="006F330F" w:rsidRPr="006F330F" w:rsidRDefault="006F330F" w:rsidP="006F330F">
      <w:pPr>
        <w:spacing w:after="0" w:line="240" w:lineRule="auto"/>
        <w:ind w:left="1134"/>
        <w:jc w:val="both"/>
        <w:rPr>
          <w:rFonts w:ascii="Times New Roman" w:eastAsia="Times New Roman" w:hAnsi="Times New Roman" w:cs="Times New Roman"/>
          <w:sz w:val="22"/>
          <w:szCs w:val="22"/>
        </w:rPr>
      </w:pPr>
    </w:p>
    <w:p w14:paraId="2C80ED17" w14:textId="64E3FE2B" w:rsidR="00D7409F" w:rsidRPr="00A81423" w:rsidRDefault="00FC7B14" w:rsidP="006F330F">
      <w:pPr>
        <w:spacing w:line="360" w:lineRule="auto"/>
        <w:ind w:firstLine="360"/>
        <w:jc w:val="both"/>
        <w:rPr>
          <w:rFonts w:ascii="Times New Roman" w:hAnsi="Times New Roman" w:cs="Times New Roman"/>
          <w:bCs/>
        </w:rPr>
      </w:pPr>
      <w:r w:rsidRPr="00A81423">
        <w:rPr>
          <w:rFonts w:ascii="Times New Roman" w:hAnsi="Times New Roman" w:cs="Times New Roman"/>
          <w:bCs/>
        </w:rPr>
        <w:t xml:space="preserve">Paragraph 10, </w:t>
      </w:r>
      <w:proofErr w:type="gramStart"/>
      <w:r w:rsidRPr="00A81423">
        <w:rPr>
          <w:rFonts w:ascii="Times New Roman" w:hAnsi="Times New Roman" w:cs="Times New Roman"/>
          <w:bCs/>
        </w:rPr>
        <w:t xml:space="preserve">where </w:t>
      </w:r>
      <w:r w:rsidR="006F330F">
        <w:rPr>
          <w:rFonts w:ascii="Times New Roman" w:hAnsi="Times New Roman" w:cs="Times New Roman"/>
          <w:bCs/>
        </w:rPr>
        <w:t xml:space="preserve"> s</w:t>
      </w:r>
      <w:proofErr w:type="gramEnd"/>
      <w:r w:rsidRPr="00A81423">
        <w:rPr>
          <w:rFonts w:ascii="Times New Roman" w:hAnsi="Times New Roman" w:cs="Times New Roman"/>
          <w:bCs/>
        </w:rPr>
        <w:t xml:space="preserve"> 31 of the Mines and Minerals Act is pleaded, falls under the heading of “nature of application”. </w:t>
      </w:r>
      <w:r w:rsidR="00C20896" w:rsidRPr="00A81423">
        <w:rPr>
          <w:rFonts w:ascii="Times New Roman" w:hAnsi="Times New Roman" w:cs="Times New Roman"/>
          <w:bCs/>
        </w:rPr>
        <w:t>When one reaches the “nature of application</w:t>
      </w:r>
      <w:r w:rsidR="003D02C2" w:rsidRPr="00A81423">
        <w:rPr>
          <w:rFonts w:ascii="Times New Roman" w:hAnsi="Times New Roman" w:cs="Times New Roman"/>
          <w:bCs/>
        </w:rPr>
        <w:t>”, one</w:t>
      </w:r>
      <w:r w:rsidR="009B0459" w:rsidRPr="00A81423">
        <w:rPr>
          <w:rFonts w:ascii="Times New Roman" w:hAnsi="Times New Roman" w:cs="Times New Roman"/>
          <w:bCs/>
        </w:rPr>
        <w:t xml:space="preserve"> may expect </w:t>
      </w:r>
      <w:r w:rsidR="00EB2EDE">
        <w:rPr>
          <w:rFonts w:ascii="Times New Roman" w:hAnsi="Times New Roman" w:cs="Times New Roman"/>
          <w:bCs/>
        </w:rPr>
        <w:t xml:space="preserve">to see </w:t>
      </w:r>
      <w:r w:rsidR="009B0459" w:rsidRPr="00A81423">
        <w:rPr>
          <w:rFonts w:ascii="Times New Roman" w:hAnsi="Times New Roman" w:cs="Times New Roman"/>
          <w:bCs/>
        </w:rPr>
        <w:t xml:space="preserve">the </w:t>
      </w:r>
      <w:r w:rsidR="00C20896" w:rsidRPr="00A81423">
        <w:rPr>
          <w:rFonts w:ascii="Times New Roman" w:hAnsi="Times New Roman" w:cs="Times New Roman"/>
          <w:bCs/>
        </w:rPr>
        <w:t xml:space="preserve">outline </w:t>
      </w:r>
      <w:r w:rsidR="009B0459" w:rsidRPr="00A81423">
        <w:rPr>
          <w:rFonts w:ascii="Times New Roman" w:hAnsi="Times New Roman" w:cs="Times New Roman"/>
          <w:bCs/>
        </w:rPr>
        <w:t xml:space="preserve">of </w:t>
      </w:r>
      <w:r w:rsidR="00C20896" w:rsidRPr="00A81423">
        <w:rPr>
          <w:rFonts w:ascii="Times New Roman" w:hAnsi="Times New Roman" w:cs="Times New Roman"/>
          <w:bCs/>
        </w:rPr>
        <w:t>the cause of action upon which the application</w:t>
      </w:r>
      <w:r w:rsidR="00FE428C" w:rsidRPr="00A81423">
        <w:rPr>
          <w:rFonts w:ascii="Times New Roman" w:hAnsi="Times New Roman" w:cs="Times New Roman"/>
          <w:bCs/>
        </w:rPr>
        <w:t xml:space="preserve"> is set up</w:t>
      </w:r>
      <w:r w:rsidR="00C20896" w:rsidRPr="00A81423">
        <w:rPr>
          <w:rFonts w:ascii="Times New Roman" w:hAnsi="Times New Roman" w:cs="Times New Roman"/>
          <w:bCs/>
        </w:rPr>
        <w:t xml:space="preserve">. </w:t>
      </w:r>
      <w:r w:rsidR="001949BE" w:rsidRPr="00A81423">
        <w:rPr>
          <w:rFonts w:ascii="Times New Roman" w:hAnsi="Times New Roman" w:cs="Times New Roman"/>
          <w:bCs/>
        </w:rPr>
        <w:t>Thus, the present application is founded upon a</w:t>
      </w:r>
      <w:r w:rsidR="00FE428C" w:rsidRPr="00A81423">
        <w:rPr>
          <w:rFonts w:ascii="Times New Roman" w:hAnsi="Times New Roman" w:cs="Times New Roman"/>
          <w:bCs/>
        </w:rPr>
        <w:t>n</w:t>
      </w:r>
      <w:r w:rsidR="001949BE" w:rsidRPr="00A81423">
        <w:rPr>
          <w:rFonts w:ascii="Times New Roman" w:hAnsi="Times New Roman" w:cs="Times New Roman"/>
          <w:bCs/>
        </w:rPr>
        <w:t xml:space="preserve"> </w:t>
      </w:r>
      <w:r w:rsidR="00FE428C" w:rsidRPr="00A81423">
        <w:rPr>
          <w:rFonts w:ascii="Times New Roman" w:hAnsi="Times New Roman" w:cs="Times New Roman"/>
          <w:bCs/>
        </w:rPr>
        <w:t xml:space="preserve">incorrect </w:t>
      </w:r>
      <w:r w:rsidR="001949BE" w:rsidRPr="00A81423">
        <w:rPr>
          <w:rFonts w:ascii="Times New Roman" w:hAnsi="Times New Roman" w:cs="Times New Roman"/>
          <w:bCs/>
        </w:rPr>
        <w:t xml:space="preserve">cause of action. Paragraph 28 of the </w:t>
      </w:r>
      <w:r w:rsidR="008C7329" w:rsidRPr="00A81423">
        <w:rPr>
          <w:rFonts w:ascii="Times New Roman" w:hAnsi="Times New Roman" w:cs="Times New Roman"/>
          <w:bCs/>
        </w:rPr>
        <w:t xml:space="preserve">founding affidavit </w:t>
      </w:r>
      <w:r w:rsidR="00FE428C" w:rsidRPr="00A81423">
        <w:rPr>
          <w:rFonts w:ascii="Times New Roman" w:hAnsi="Times New Roman" w:cs="Times New Roman"/>
          <w:bCs/>
        </w:rPr>
        <w:lastRenderedPageBreak/>
        <w:t>cannot be used to remedy the defect</w:t>
      </w:r>
      <w:r w:rsidR="009473D8">
        <w:rPr>
          <w:rFonts w:ascii="Times New Roman" w:hAnsi="Times New Roman" w:cs="Times New Roman"/>
          <w:bCs/>
        </w:rPr>
        <w:t>,</w:t>
      </w:r>
      <w:r w:rsidR="00FE428C" w:rsidRPr="00A81423">
        <w:rPr>
          <w:rFonts w:ascii="Times New Roman" w:hAnsi="Times New Roman" w:cs="Times New Roman"/>
          <w:bCs/>
        </w:rPr>
        <w:t xml:space="preserve"> as this paragraph is not being pleaded as an alternative </w:t>
      </w:r>
      <w:r w:rsidR="009B0459" w:rsidRPr="00A81423">
        <w:rPr>
          <w:rFonts w:ascii="Times New Roman" w:hAnsi="Times New Roman" w:cs="Times New Roman"/>
          <w:bCs/>
        </w:rPr>
        <w:t xml:space="preserve">cause of action </w:t>
      </w:r>
      <w:r w:rsidR="00FE428C" w:rsidRPr="00A81423">
        <w:rPr>
          <w:rFonts w:ascii="Times New Roman" w:hAnsi="Times New Roman" w:cs="Times New Roman"/>
          <w:bCs/>
        </w:rPr>
        <w:t xml:space="preserve">to </w:t>
      </w:r>
      <w:r w:rsidR="00EC7C8C">
        <w:rPr>
          <w:rFonts w:ascii="Times New Roman" w:hAnsi="Times New Roman" w:cs="Times New Roman"/>
          <w:bCs/>
        </w:rPr>
        <w:t>para 10 of the founding affidavit</w:t>
      </w:r>
      <w:r w:rsidR="009473D8">
        <w:rPr>
          <w:rFonts w:ascii="Times New Roman" w:hAnsi="Times New Roman" w:cs="Times New Roman"/>
          <w:bCs/>
        </w:rPr>
        <w:t>,</w:t>
      </w:r>
      <w:r w:rsidR="00EC7C8C">
        <w:rPr>
          <w:rFonts w:ascii="Times New Roman" w:hAnsi="Times New Roman" w:cs="Times New Roman"/>
          <w:bCs/>
        </w:rPr>
        <w:t xml:space="preserve"> where </w:t>
      </w:r>
      <w:r w:rsidR="006F330F">
        <w:rPr>
          <w:rFonts w:ascii="Times New Roman" w:hAnsi="Times New Roman" w:cs="Times New Roman"/>
          <w:bCs/>
        </w:rPr>
        <w:t xml:space="preserve"> s</w:t>
      </w:r>
      <w:r w:rsidR="00FE428C" w:rsidRPr="00A81423">
        <w:rPr>
          <w:rFonts w:ascii="Times New Roman" w:hAnsi="Times New Roman" w:cs="Times New Roman"/>
          <w:bCs/>
        </w:rPr>
        <w:t xml:space="preserve"> 31 of the Mines and Minerals Act</w:t>
      </w:r>
      <w:r w:rsidR="00EC7C8C">
        <w:rPr>
          <w:rFonts w:ascii="Times New Roman" w:hAnsi="Times New Roman" w:cs="Times New Roman"/>
          <w:bCs/>
        </w:rPr>
        <w:t xml:space="preserve"> is alleged to have been violated</w:t>
      </w:r>
      <w:r w:rsidR="00FE428C" w:rsidRPr="00A81423">
        <w:rPr>
          <w:rFonts w:ascii="Times New Roman" w:hAnsi="Times New Roman" w:cs="Times New Roman"/>
          <w:bCs/>
        </w:rPr>
        <w:t>.</w:t>
      </w:r>
      <w:r w:rsidR="00EC7C8C">
        <w:rPr>
          <w:rFonts w:ascii="Times New Roman" w:hAnsi="Times New Roman" w:cs="Times New Roman"/>
          <w:bCs/>
        </w:rPr>
        <w:t xml:space="preserve"> In any event, para 28 of the founding affidavit does not fall under the “nature of application” like para 10 of the founding affidavit.</w:t>
      </w:r>
      <w:r w:rsidR="009473D8">
        <w:rPr>
          <w:rFonts w:ascii="Times New Roman" w:hAnsi="Times New Roman" w:cs="Times New Roman"/>
          <w:bCs/>
        </w:rPr>
        <w:t xml:space="preserve"> </w:t>
      </w:r>
      <w:r w:rsidR="00EE1EDF" w:rsidRPr="00A81423">
        <w:rPr>
          <w:rFonts w:ascii="Times New Roman" w:hAnsi="Times New Roman" w:cs="Times New Roman"/>
          <w:bCs/>
        </w:rPr>
        <w:t xml:space="preserve">Consequently, the application is improperly before </w:t>
      </w:r>
      <w:r w:rsidR="003F18C0" w:rsidRPr="00A81423">
        <w:rPr>
          <w:rFonts w:ascii="Times New Roman" w:hAnsi="Times New Roman" w:cs="Times New Roman"/>
          <w:bCs/>
        </w:rPr>
        <w:t xml:space="preserve">the court </w:t>
      </w:r>
      <w:r w:rsidR="00EE1EDF" w:rsidRPr="00A81423">
        <w:rPr>
          <w:rFonts w:ascii="Times New Roman" w:hAnsi="Times New Roman" w:cs="Times New Roman"/>
          <w:bCs/>
        </w:rPr>
        <w:t xml:space="preserve">as the Applicant has pleaded a wrong cause of action. </w:t>
      </w:r>
      <w:r w:rsidR="00E5232E" w:rsidRPr="00A81423">
        <w:rPr>
          <w:rFonts w:ascii="Times New Roman" w:hAnsi="Times New Roman" w:cs="Times New Roman"/>
          <w:bCs/>
        </w:rPr>
        <w:t>On this basis, the application must be struck from the roll with costs.</w:t>
      </w:r>
      <w:r w:rsidR="00FE428C" w:rsidRPr="00A81423">
        <w:rPr>
          <w:rFonts w:ascii="Times New Roman" w:hAnsi="Times New Roman" w:cs="Times New Roman"/>
          <w:bCs/>
        </w:rPr>
        <w:t xml:space="preserve"> This will enable the Applicant to approach</w:t>
      </w:r>
      <w:r w:rsidR="007952D3" w:rsidRPr="00A81423">
        <w:rPr>
          <w:rFonts w:ascii="Times New Roman" w:hAnsi="Times New Roman" w:cs="Times New Roman"/>
          <w:bCs/>
        </w:rPr>
        <w:t xml:space="preserve"> the court based on a correct cause of action. </w:t>
      </w:r>
      <w:r w:rsidR="00E5232E" w:rsidRPr="00A81423">
        <w:rPr>
          <w:rFonts w:ascii="Times New Roman" w:hAnsi="Times New Roman" w:cs="Times New Roman"/>
          <w:bCs/>
        </w:rPr>
        <w:t xml:space="preserve"> </w:t>
      </w:r>
      <w:r w:rsidR="00D7409F" w:rsidRPr="00A81423">
        <w:rPr>
          <w:rFonts w:ascii="Times New Roman" w:hAnsi="Times New Roman" w:cs="Times New Roman"/>
          <w:bCs/>
        </w:rPr>
        <w:t>In the circumstances, it is accordingly ordered as follows:</w:t>
      </w:r>
    </w:p>
    <w:p w14:paraId="09BFBFF8" w14:textId="637D472E" w:rsidR="005F1937" w:rsidRPr="00A81423" w:rsidRDefault="005F1937" w:rsidP="00A81423">
      <w:pPr>
        <w:pStyle w:val="ListParagraph"/>
        <w:numPr>
          <w:ilvl w:val="0"/>
          <w:numId w:val="8"/>
        </w:numPr>
        <w:spacing w:line="360" w:lineRule="auto"/>
        <w:jc w:val="both"/>
        <w:rPr>
          <w:rFonts w:ascii="Times New Roman" w:hAnsi="Times New Roman" w:cs="Times New Roman"/>
          <w:bCs/>
        </w:rPr>
      </w:pPr>
      <w:r w:rsidRPr="00A81423">
        <w:rPr>
          <w:rFonts w:ascii="Times New Roman" w:hAnsi="Times New Roman" w:cs="Times New Roman"/>
          <w:bCs/>
        </w:rPr>
        <w:t xml:space="preserve">The </w:t>
      </w:r>
      <w:r w:rsidR="00E5232E" w:rsidRPr="00A81423">
        <w:rPr>
          <w:rFonts w:ascii="Times New Roman" w:hAnsi="Times New Roman" w:cs="Times New Roman"/>
          <w:bCs/>
        </w:rPr>
        <w:t xml:space="preserve">two </w:t>
      </w:r>
      <w:r w:rsidRPr="00A81423">
        <w:rPr>
          <w:rFonts w:ascii="Times New Roman" w:hAnsi="Times New Roman" w:cs="Times New Roman"/>
          <w:bCs/>
        </w:rPr>
        <w:t xml:space="preserve">points </w:t>
      </w:r>
      <w:r w:rsidRPr="00A81423">
        <w:rPr>
          <w:rFonts w:ascii="Times New Roman" w:hAnsi="Times New Roman" w:cs="Times New Roman"/>
          <w:bCs/>
          <w:i/>
          <w:iCs/>
        </w:rPr>
        <w:t>in limine</w:t>
      </w:r>
      <w:r w:rsidRPr="00A81423">
        <w:rPr>
          <w:rFonts w:ascii="Times New Roman" w:hAnsi="Times New Roman" w:cs="Times New Roman"/>
          <w:bCs/>
        </w:rPr>
        <w:t xml:space="preserve"> raised by the </w:t>
      </w:r>
      <w:r w:rsidR="00E73291">
        <w:rPr>
          <w:rFonts w:ascii="Times New Roman" w:hAnsi="Times New Roman" w:cs="Times New Roman"/>
          <w:bCs/>
        </w:rPr>
        <w:t>first</w:t>
      </w:r>
      <w:r w:rsidRPr="00A81423">
        <w:rPr>
          <w:rFonts w:ascii="Times New Roman" w:hAnsi="Times New Roman" w:cs="Times New Roman"/>
          <w:bCs/>
        </w:rPr>
        <w:t xml:space="preserve"> Respondent to the effect that:</w:t>
      </w:r>
    </w:p>
    <w:p w14:paraId="1C477258" w14:textId="77777777" w:rsidR="005F1937" w:rsidRPr="00A81423" w:rsidRDefault="005F1937" w:rsidP="00A81423">
      <w:pPr>
        <w:pStyle w:val="ListParagraph"/>
        <w:numPr>
          <w:ilvl w:val="0"/>
          <w:numId w:val="9"/>
        </w:numPr>
        <w:spacing w:line="360" w:lineRule="auto"/>
        <w:jc w:val="both"/>
        <w:rPr>
          <w:rFonts w:ascii="Times New Roman" w:hAnsi="Times New Roman" w:cs="Times New Roman"/>
          <w:bCs/>
        </w:rPr>
      </w:pPr>
      <w:r w:rsidRPr="00A81423">
        <w:rPr>
          <w:rFonts w:ascii="Times New Roman" w:hAnsi="Times New Roman" w:cs="Times New Roman"/>
          <w:bCs/>
        </w:rPr>
        <w:t>This court does not have jurisdiction to hear this matter; and</w:t>
      </w:r>
    </w:p>
    <w:p w14:paraId="0E106ABE" w14:textId="3C108A7D" w:rsidR="00FF3388" w:rsidRPr="00A81423" w:rsidRDefault="00FF3388" w:rsidP="00A81423">
      <w:pPr>
        <w:pStyle w:val="ListParagraph"/>
        <w:numPr>
          <w:ilvl w:val="0"/>
          <w:numId w:val="9"/>
        </w:numPr>
        <w:spacing w:line="360" w:lineRule="auto"/>
        <w:jc w:val="both"/>
        <w:rPr>
          <w:rFonts w:ascii="Times New Roman" w:hAnsi="Times New Roman" w:cs="Times New Roman"/>
          <w:bCs/>
        </w:rPr>
      </w:pPr>
      <w:r w:rsidRPr="00A81423">
        <w:rPr>
          <w:rFonts w:ascii="Times New Roman" w:hAnsi="Times New Roman" w:cs="Times New Roman"/>
          <w:bCs/>
        </w:rPr>
        <w:t xml:space="preserve">The matter has prescribed; </w:t>
      </w:r>
    </w:p>
    <w:p w14:paraId="04738F7B" w14:textId="77777777" w:rsidR="004844AC" w:rsidRPr="00A81423" w:rsidRDefault="00BE437D" w:rsidP="00A81423">
      <w:pPr>
        <w:pStyle w:val="ListParagraph"/>
        <w:spacing w:line="360" w:lineRule="auto"/>
        <w:ind w:left="1080"/>
        <w:jc w:val="both"/>
        <w:rPr>
          <w:rFonts w:ascii="Times New Roman" w:hAnsi="Times New Roman" w:cs="Times New Roman"/>
          <w:bCs/>
        </w:rPr>
      </w:pPr>
      <w:r w:rsidRPr="00A81423">
        <w:rPr>
          <w:rFonts w:ascii="Times New Roman" w:hAnsi="Times New Roman" w:cs="Times New Roman"/>
          <w:bCs/>
        </w:rPr>
        <w:t xml:space="preserve">be and are </w:t>
      </w:r>
      <w:r w:rsidR="004844AC" w:rsidRPr="00A81423">
        <w:rPr>
          <w:rFonts w:ascii="Times New Roman" w:hAnsi="Times New Roman" w:cs="Times New Roman"/>
          <w:bCs/>
        </w:rPr>
        <w:t xml:space="preserve">hereby </w:t>
      </w:r>
      <w:r w:rsidRPr="00A81423">
        <w:rPr>
          <w:rFonts w:ascii="Times New Roman" w:hAnsi="Times New Roman" w:cs="Times New Roman"/>
          <w:bCs/>
        </w:rPr>
        <w:t>dismissed for want of merit.</w:t>
      </w:r>
    </w:p>
    <w:p w14:paraId="5E660062" w14:textId="05AA5287" w:rsidR="00206469" w:rsidRPr="00A81423" w:rsidRDefault="00206469" w:rsidP="00A81423">
      <w:pPr>
        <w:pStyle w:val="ListParagraph"/>
        <w:numPr>
          <w:ilvl w:val="0"/>
          <w:numId w:val="8"/>
        </w:numPr>
        <w:spacing w:line="360" w:lineRule="auto"/>
        <w:jc w:val="both"/>
        <w:rPr>
          <w:rFonts w:ascii="Times New Roman" w:hAnsi="Times New Roman" w:cs="Times New Roman"/>
          <w:bCs/>
        </w:rPr>
      </w:pPr>
      <w:r w:rsidRPr="00A81423">
        <w:rPr>
          <w:rFonts w:ascii="Times New Roman" w:hAnsi="Times New Roman" w:cs="Times New Roman"/>
          <w:bCs/>
        </w:rPr>
        <w:t xml:space="preserve">The </w:t>
      </w:r>
      <w:r w:rsidR="003D02C2" w:rsidRPr="00A81423">
        <w:rPr>
          <w:rFonts w:ascii="Times New Roman" w:hAnsi="Times New Roman" w:cs="Times New Roman"/>
          <w:bCs/>
        </w:rPr>
        <w:t>point in</w:t>
      </w:r>
      <w:r w:rsidRPr="00A81423">
        <w:rPr>
          <w:rFonts w:ascii="Times New Roman" w:hAnsi="Times New Roman" w:cs="Times New Roman"/>
          <w:bCs/>
          <w:i/>
          <w:iCs/>
        </w:rPr>
        <w:t xml:space="preserve"> limine</w:t>
      </w:r>
      <w:r w:rsidRPr="00A81423">
        <w:rPr>
          <w:rFonts w:ascii="Times New Roman" w:hAnsi="Times New Roman" w:cs="Times New Roman"/>
          <w:bCs/>
        </w:rPr>
        <w:t xml:space="preserve"> to the effect that the Applicant has failed to plead a </w:t>
      </w:r>
      <w:r w:rsidR="00E5232E" w:rsidRPr="00A81423">
        <w:rPr>
          <w:rFonts w:ascii="Times New Roman" w:hAnsi="Times New Roman" w:cs="Times New Roman"/>
          <w:bCs/>
        </w:rPr>
        <w:t xml:space="preserve">correct </w:t>
      </w:r>
      <w:r w:rsidRPr="00A81423">
        <w:rPr>
          <w:rFonts w:ascii="Times New Roman" w:hAnsi="Times New Roman" w:cs="Times New Roman"/>
          <w:bCs/>
        </w:rPr>
        <w:t>cause of action is hereby upheld.</w:t>
      </w:r>
    </w:p>
    <w:p w14:paraId="67473DFC" w14:textId="72099748" w:rsidR="00693FB8" w:rsidRPr="00A81423" w:rsidRDefault="00206469" w:rsidP="00A81423">
      <w:pPr>
        <w:pStyle w:val="ListParagraph"/>
        <w:numPr>
          <w:ilvl w:val="0"/>
          <w:numId w:val="8"/>
        </w:numPr>
        <w:spacing w:line="360" w:lineRule="auto"/>
        <w:jc w:val="both"/>
        <w:rPr>
          <w:rFonts w:ascii="Times New Roman" w:hAnsi="Times New Roman" w:cs="Times New Roman"/>
          <w:bCs/>
        </w:rPr>
      </w:pPr>
      <w:r w:rsidRPr="00A81423">
        <w:rPr>
          <w:rFonts w:ascii="Times New Roman" w:hAnsi="Times New Roman" w:cs="Times New Roman"/>
          <w:bCs/>
        </w:rPr>
        <w:t xml:space="preserve">The application be and is </w:t>
      </w:r>
      <w:r w:rsidR="00FE162B" w:rsidRPr="00A81423">
        <w:rPr>
          <w:rFonts w:ascii="Times New Roman" w:hAnsi="Times New Roman" w:cs="Times New Roman"/>
          <w:bCs/>
        </w:rPr>
        <w:t xml:space="preserve">hereby </w:t>
      </w:r>
      <w:r w:rsidRPr="00A81423">
        <w:rPr>
          <w:rFonts w:ascii="Times New Roman" w:hAnsi="Times New Roman" w:cs="Times New Roman"/>
          <w:bCs/>
        </w:rPr>
        <w:t xml:space="preserve">struck from the roll with </w:t>
      </w:r>
      <w:r w:rsidR="004844AC" w:rsidRPr="00A81423">
        <w:rPr>
          <w:rFonts w:ascii="Times New Roman" w:hAnsi="Times New Roman" w:cs="Times New Roman"/>
          <w:bCs/>
        </w:rPr>
        <w:t>Costs.</w:t>
      </w:r>
      <w:r w:rsidR="003F1945" w:rsidRPr="00A81423">
        <w:rPr>
          <w:rFonts w:ascii="Times New Roman" w:hAnsi="Times New Roman" w:cs="Times New Roman"/>
          <w:bCs/>
        </w:rPr>
        <w:t xml:space="preserve"> </w:t>
      </w:r>
      <w:r w:rsidR="00552211" w:rsidRPr="00A81423">
        <w:rPr>
          <w:rFonts w:ascii="Times New Roman" w:hAnsi="Times New Roman" w:cs="Times New Roman"/>
          <w:bCs/>
        </w:rPr>
        <w:t xml:space="preserve"> </w:t>
      </w:r>
    </w:p>
    <w:p w14:paraId="3D0E3F00" w14:textId="77777777" w:rsidR="00DB05AA" w:rsidRDefault="00DB05AA" w:rsidP="00A81423">
      <w:pPr>
        <w:spacing w:line="360" w:lineRule="auto"/>
        <w:jc w:val="both"/>
        <w:rPr>
          <w:rFonts w:ascii="Times New Roman" w:hAnsi="Times New Roman" w:cs="Times New Roman"/>
          <w:bCs/>
        </w:rPr>
      </w:pPr>
    </w:p>
    <w:p w14:paraId="2EF53F75" w14:textId="77777777" w:rsidR="006F330F" w:rsidRDefault="006F330F" w:rsidP="00A81423">
      <w:pPr>
        <w:spacing w:line="360" w:lineRule="auto"/>
        <w:jc w:val="both"/>
        <w:rPr>
          <w:rFonts w:ascii="Times New Roman" w:hAnsi="Times New Roman" w:cs="Times New Roman"/>
          <w:bCs/>
        </w:rPr>
      </w:pPr>
    </w:p>
    <w:p w14:paraId="655F828C" w14:textId="77777777" w:rsidR="006F330F" w:rsidRPr="00A81423" w:rsidRDefault="006F330F" w:rsidP="00A81423">
      <w:pPr>
        <w:spacing w:line="360" w:lineRule="auto"/>
        <w:jc w:val="both"/>
        <w:rPr>
          <w:rFonts w:ascii="Times New Roman" w:hAnsi="Times New Roman" w:cs="Times New Roman"/>
          <w:bCs/>
        </w:rPr>
      </w:pPr>
    </w:p>
    <w:p w14:paraId="22DB7D15" w14:textId="47A97334" w:rsidR="005B5753" w:rsidRPr="006F330F" w:rsidRDefault="005021C3" w:rsidP="00A81423">
      <w:pPr>
        <w:spacing w:line="360" w:lineRule="auto"/>
        <w:jc w:val="both"/>
        <w:rPr>
          <w:rFonts w:ascii="Times New Roman" w:hAnsi="Times New Roman" w:cs="Times New Roman"/>
          <w:b/>
          <w:smallCaps/>
        </w:rPr>
      </w:pPr>
      <w:r w:rsidRPr="00A81423">
        <w:rPr>
          <w:rFonts w:ascii="Times New Roman" w:hAnsi="Times New Roman" w:cs="Times New Roman"/>
          <w:bCs/>
        </w:rPr>
        <w:t xml:space="preserve"> </w:t>
      </w:r>
      <w:r w:rsidR="006F330F" w:rsidRPr="006F330F">
        <w:rPr>
          <w:rFonts w:ascii="Times New Roman" w:hAnsi="Times New Roman" w:cs="Times New Roman"/>
          <w:b/>
          <w:smallCaps/>
        </w:rPr>
        <w:t>Deme J</w:t>
      </w:r>
      <w:proofErr w:type="gramStart"/>
      <w:r w:rsidR="006F330F" w:rsidRPr="006F330F">
        <w:rPr>
          <w:rFonts w:ascii="Times New Roman" w:hAnsi="Times New Roman" w:cs="Times New Roman"/>
          <w:b/>
          <w:smallCaps/>
        </w:rPr>
        <w:t>:………………………………………………………</w:t>
      </w:r>
      <w:proofErr w:type="gramEnd"/>
      <w:r w:rsidR="0014628C" w:rsidRPr="006F330F">
        <w:rPr>
          <w:rFonts w:ascii="Times New Roman" w:hAnsi="Times New Roman" w:cs="Times New Roman"/>
          <w:b/>
          <w:smallCaps/>
        </w:rPr>
        <w:t xml:space="preserve"> </w:t>
      </w:r>
      <w:r w:rsidR="00D62C6E" w:rsidRPr="006F330F">
        <w:rPr>
          <w:rFonts w:ascii="Times New Roman" w:hAnsi="Times New Roman" w:cs="Times New Roman"/>
          <w:b/>
          <w:smallCaps/>
        </w:rPr>
        <w:t xml:space="preserve"> </w:t>
      </w:r>
      <w:r w:rsidR="0061718D" w:rsidRPr="006F330F">
        <w:rPr>
          <w:rFonts w:ascii="Times New Roman" w:hAnsi="Times New Roman" w:cs="Times New Roman"/>
          <w:b/>
          <w:smallCaps/>
        </w:rPr>
        <w:t xml:space="preserve"> </w:t>
      </w:r>
      <w:r w:rsidR="0078755B" w:rsidRPr="006F330F">
        <w:rPr>
          <w:rFonts w:ascii="Times New Roman" w:hAnsi="Times New Roman" w:cs="Times New Roman"/>
          <w:b/>
          <w:smallCaps/>
        </w:rPr>
        <w:t xml:space="preserve">    </w:t>
      </w:r>
    </w:p>
    <w:p w14:paraId="0644ED79" w14:textId="232F7DDF" w:rsidR="0094565E" w:rsidRPr="00A81423" w:rsidRDefault="0094565E" w:rsidP="006F330F">
      <w:pPr>
        <w:pStyle w:val="NoSpacing"/>
        <w:jc w:val="both"/>
        <w:rPr>
          <w:rFonts w:ascii="Times New Roman" w:hAnsi="Times New Roman" w:cs="Times New Roman"/>
        </w:rPr>
      </w:pPr>
      <w:r w:rsidRPr="00A81423">
        <w:rPr>
          <w:rFonts w:ascii="Times New Roman" w:hAnsi="Times New Roman" w:cs="Times New Roman"/>
          <w:i/>
        </w:rPr>
        <w:t>Masiya-Sheshe &amp; Associates</w:t>
      </w:r>
      <w:r w:rsidRPr="00A81423">
        <w:rPr>
          <w:rFonts w:ascii="Times New Roman" w:hAnsi="Times New Roman" w:cs="Times New Roman"/>
        </w:rPr>
        <w:t xml:space="preserve">, </w:t>
      </w:r>
      <w:r w:rsidR="003D02C2" w:rsidRPr="00A81423">
        <w:rPr>
          <w:rFonts w:ascii="Times New Roman" w:hAnsi="Times New Roman" w:cs="Times New Roman"/>
        </w:rPr>
        <w:t>Applicant’s Legal</w:t>
      </w:r>
      <w:r w:rsidRPr="00A81423">
        <w:rPr>
          <w:rFonts w:ascii="Times New Roman" w:hAnsi="Times New Roman" w:cs="Times New Roman"/>
        </w:rPr>
        <w:t xml:space="preserve"> </w:t>
      </w:r>
      <w:r w:rsidR="00250FA8" w:rsidRPr="00A81423">
        <w:rPr>
          <w:rFonts w:ascii="Times New Roman" w:hAnsi="Times New Roman" w:cs="Times New Roman"/>
        </w:rPr>
        <w:t>P</w:t>
      </w:r>
      <w:r w:rsidRPr="00A81423">
        <w:rPr>
          <w:rFonts w:ascii="Times New Roman" w:hAnsi="Times New Roman" w:cs="Times New Roman"/>
        </w:rPr>
        <w:t>ractitioners.</w:t>
      </w:r>
    </w:p>
    <w:p w14:paraId="1D56FC86" w14:textId="0EDFCC0E" w:rsidR="0094565E" w:rsidRPr="00A81423" w:rsidRDefault="0094565E" w:rsidP="006F330F">
      <w:pPr>
        <w:pStyle w:val="NoSpacing"/>
        <w:jc w:val="both"/>
        <w:rPr>
          <w:rFonts w:ascii="Times New Roman" w:hAnsi="Times New Roman" w:cs="Times New Roman"/>
        </w:rPr>
      </w:pPr>
      <w:r w:rsidRPr="00A81423">
        <w:rPr>
          <w:rFonts w:ascii="Times New Roman" w:hAnsi="Times New Roman" w:cs="Times New Roman"/>
          <w:i/>
        </w:rPr>
        <w:t>Mawere Sibanda Commercial Lawyers</w:t>
      </w:r>
      <w:r w:rsidRPr="00A81423">
        <w:rPr>
          <w:rFonts w:ascii="Times New Roman" w:hAnsi="Times New Roman" w:cs="Times New Roman"/>
        </w:rPr>
        <w:t xml:space="preserve">, </w:t>
      </w:r>
      <w:proofErr w:type="gramStart"/>
      <w:r w:rsidR="006F330F">
        <w:rPr>
          <w:rFonts w:ascii="Times New Roman" w:hAnsi="Times New Roman" w:cs="Times New Roman"/>
        </w:rPr>
        <w:t>1</w:t>
      </w:r>
      <w:r w:rsidR="006F330F" w:rsidRPr="006F330F">
        <w:rPr>
          <w:rFonts w:ascii="Times New Roman" w:hAnsi="Times New Roman" w:cs="Times New Roman"/>
          <w:vertAlign w:val="superscript"/>
        </w:rPr>
        <w:t>st</w:t>
      </w:r>
      <w:r w:rsidR="006F330F">
        <w:rPr>
          <w:rFonts w:ascii="Times New Roman" w:hAnsi="Times New Roman" w:cs="Times New Roman"/>
        </w:rPr>
        <w:t xml:space="preserve"> </w:t>
      </w:r>
      <w:r w:rsidR="00250FA8" w:rsidRPr="00A81423">
        <w:rPr>
          <w:rFonts w:ascii="Times New Roman" w:hAnsi="Times New Roman" w:cs="Times New Roman"/>
        </w:rPr>
        <w:t xml:space="preserve"> Respondent’s</w:t>
      </w:r>
      <w:proofErr w:type="gramEnd"/>
      <w:r w:rsidR="00250FA8" w:rsidRPr="00A81423">
        <w:rPr>
          <w:rFonts w:ascii="Times New Roman" w:hAnsi="Times New Roman" w:cs="Times New Roman"/>
        </w:rPr>
        <w:t xml:space="preserve"> L</w:t>
      </w:r>
      <w:r w:rsidRPr="00A81423">
        <w:rPr>
          <w:rFonts w:ascii="Times New Roman" w:hAnsi="Times New Roman" w:cs="Times New Roman"/>
        </w:rPr>
        <w:t xml:space="preserve">egal </w:t>
      </w:r>
      <w:r w:rsidR="00250FA8" w:rsidRPr="00A81423">
        <w:rPr>
          <w:rFonts w:ascii="Times New Roman" w:hAnsi="Times New Roman" w:cs="Times New Roman"/>
        </w:rPr>
        <w:t>P</w:t>
      </w:r>
      <w:r w:rsidRPr="00A81423">
        <w:rPr>
          <w:rFonts w:ascii="Times New Roman" w:hAnsi="Times New Roman" w:cs="Times New Roman"/>
        </w:rPr>
        <w:t>ractitioners.</w:t>
      </w:r>
    </w:p>
    <w:p w14:paraId="62530F95" w14:textId="6DD69DD6" w:rsidR="00B454F7" w:rsidRPr="00250FA8" w:rsidRDefault="00BE2081" w:rsidP="006F330F">
      <w:pPr>
        <w:pStyle w:val="NoSpacing"/>
        <w:jc w:val="both"/>
        <w:rPr>
          <w:rFonts w:ascii="Times New Roman" w:hAnsi="Times New Roman" w:cs="Times New Roman"/>
        </w:rPr>
      </w:pPr>
      <w:r w:rsidRPr="00A81423">
        <w:rPr>
          <w:rFonts w:ascii="Times New Roman" w:hAnsi="Times New Roman" w:cs="Times New Roman"/>
          <w:i/>
        </w:rPr>
        <w:t>Civil Division of The Attorney General</w:t>
      </w:r>
      <w:r w:rsidRPr="00A81423">
        <w:rPr>
          <w:rFonts w:ascii="Times New Roman" w:hAnsi="Times New Roman" w:cs="Times New Roman"/>
        </w:rPr>
        <w:t xml:space="preserve">, </w:t>
      </w:r>
      <w:r w:rsidR="00250FA8" w:rsidRPr="00A81423">
        <w:rPr>
          <w:rFonts w:ascii="Times New Roman" w:hAnsi="Times New Roman" w:cs="Times New Roman"/>
        </w:rPr>
        <w:t>2</w:t>
      </w:r>
      <w:r w:rsidR="00250FA8" w:rsidRPr="00A81423">
        <w:rPr>
          <w:rFonts w:ascii="Times New Roman" w:hAnsi="Times New Roman" w:cs="Times New Roman"/>
          <w:vertAlign w:val="superscript"/>
        </w:rPr>
        <w:t>nd</w:t>
      </w:r>
      <w:r w:rsidR="00250FA8" w:rsidRPr="00A81423">
        <w:rPr>
          <w:rFonts w:ascii="Times New Roman" w:hAnsi="Times New Roman" w:cs="Times New Roman"/>
        </w:rPr>
        <w:t>- 4</w:t>
      </w:r>
      <w:r w:rsidR="00250FA8" w:rsidRPr="00A81423">
        <w:rPr>
          <w:rFonts w:ascii="Times New Roman" w:hAnsi="Times New Roman" w:cs="Times New Roman"/>
          <w:vertAlign w:val="superscript"/>
        </w:rPr>
        <w:t>th</w:t>
      </w:r>
      <w:r w:rsidR="00250FA8" w:rsidRPr="00A81423">
        <w:rPr>
          <w:rFonts w:ascii="Times New Roman" w:hAnsi="Times New Roman" w:cs="Times New Roman"/>
        </w:rPr>
        <w:t xml:space="preserve"> resp</w:t>
      </w:r>
      <w:r w:rsidR="00250FA8">
        <w:rPr>
          <w:rFonts w:ascii="Times New Roman" w:hAnsi="Times New Roman" w:cs="Times New Roman"/>
        </w:rPr>
        <w:t>ondents’ L</w:t>
      </w:r>
      <w:r>
        <w:rPr>
          <w:rFonts w:ascii="Times New Roman" w:hAnsi="Times New Roman" w:cs="Times New Roman"/>
        </w:rPr>
        <w:t xml:space="preserve">egal </w:t>
      </w:r>
      <w:r w:rsidR="00250FA8">
        <w:rPr>
          <w:rFonts w:ascii="Times New Roman" w:hAnsi="Times New Roman" w:cs="Times New Roman"/>
        </w:rPr>
        <w:t>P</w:t>
      </w:r>
      <w:r w:rsidR="005E4B7D">
        <w:rPr>
          <w:rFonts w:ascii="Times New Roman" w:hAnsi="Times New Roman" w:cs="Times New Roman"/>
        </w:rPr>
        <w:t>ractitioners.</w:t>
      </w:r>
    </w:p>
    <w:sectPr w:rsidR="00B454F7" w:rsidRPr="00250FA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448B7" w14:textId="77777777" w:rsidR="006705A7" w:rsidRDefault="006705A7" w:rsidP="00876769">
      <w:pPr>
        <w:spacing w:after="0" w:line="240" w:lineRule="auto"/>
      </w:pPr>
      <w:r>
        <w:separator/>
      </w:r>
    </w:p>
  </w:endnote>
  <w:endnote w:type="continuationSeparator" w:id="0">
    <w:p w14:paraId="2D8D1BCF" w14:textId="77777777" w:rsidR="006705A7" w:rsidRDefault="006705A7" w:rsidP="0087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B4CEB" w14:textId="77777777" w:rsidR="006705A7" w:rsidRDefault="006705A7" w:rsidP="00876769">
      <w:pPr>
        <w:spacing w:after="0" w:line="240" w:lineRule="auto"/>
      </w:pPr>
      <w:r>
        <w:separator/>
      </w:r>
    </w:p>
  </w:footnote>
  <w:footnote w:type="continuationSeparator" w:id="0">
    <w:p w14:paraId="398A6E43" w14:textId="77777777" w:rsidR="006705A7" w:rsidRDefault="006705A7" w:rsidP="00876769">
      <w:pPr>
        <w:spacing w:after="0" w:line="240" w:lineRule="auto"/>
      </w:pPr>
      <w:r>
        <w:continuationSeparator/>
      </w:r>
    </w:p>
  </w:footnote>
  <w:footnote w:id="1">
    <w:p w14:paraId="1776607E" w14:textId="67FF55EB" w:rsidR="00EE27BF" w:rsidRPr="00EE27BF" w:rsidRDefault="00EE27BF">
      <w:pPr>
        <w:pStyle w:val="FootnoteText"/>
        <w:rPr>
          <w:lang w:val="en-US"/>
        </w:rPr>
      </w:pPr>
      <w:r>
        <w:rPr>
          <w:rStyle w:val="FootnoteReference"/>
        </w:rPr>
        <w:footnoteRef/>
      </w:r>
      <w:r>
        <w:t xml:space="preserve"> </w:t>
      </w:r>
      <w:r>
        <w:rPr>
          <w:lang w:val="en-US"/>
        </w:rPr>
        <w:t>SC27/24.</w:t>
      </w:r>
    </w:p>
  </w:footnote>
  <w:footnote w:id="2">
    <w:p w14:paraId="74C07F8E" w14:textId="00C6A109" w:rsidR="000D4C29" w:rsidRPr="000D4C29" w:rsidRDefault="000D4C29">
      <w:pPr>
        <w:pStyle w:val="FootnoteText"/>
        <w:rPr>
          <w:lang w:val="en-US"/>
        </w:rPr>
      </w:pPr>
      <w:r>
        <w:rPr>
          <w:rStyle w:val="FootnoteReference"/>
        </w:rPr>
        <w:footnoteRef/>
      </w:r>
      <w:r>
        <w:t xml:space="preserve"> </w:t>
      </w:r>
      <w:r>
        <w:rPr>
          <w:lang w:val="en-US"/>
        </w:rPr>
        <w:t>HB18/22.</w:t>
      </w:r>
    </w:p>
  </w:footnote>
  <w:footnote w:id="3">
    <w:p w14:paraId="77137409" w14:textId="77777777" w:rsidR="00BA73DF" w:rsidRPr="00F072B8" w:rsidRDefault="00BA73DF" w:rsidP="00BA73DF">
      <w:pPr>
        <w:pStyle w:val="FootnoteText"/>
        <w:rPr>
          <w:lang w:val="en-GB"/>
        </w:rPr>
      </w:pPr>
      <w:r>
        <w:rPr>
          <w:rStyle w:val="FootnoteReference"/>
        </w:rPr>
        <w:footnoteRef/>
      </w:r>
      <w:r>
        <w:t xml:space="preserve"> SC79/21.</w:t>
      </w:r>
    </w:p>
  </w:footnote>
  <w:footnote w:id="4">
    <w:p w14:paraId="03F154EA" w14:textId="7AE310C4" w:rsidR="00BB6AA1" w:rsidRPr="00BB6AA1" w:rsidRDefault="00BB6AA1">
      <w:pPr>
        <w:pStyle w:val="FootnoteText"/>
        <w:rPr>
          <w:lang w:val="en-US"/>
        </w:rPr>
      </w:pPr>
      <w:r>
        <w:rPr>
          <w:rStyle w:val="FootnoteReference"/>
        </w:rPr>
        <w:footnoteRef/>
      </w:r>
      <w:r>
        <w:t xml:space="preserve"> </w:t>
      </w:r>
      <w:r w:rsidRPr="00BB6AA1">
        <w:t>HH 326</w:t>
      </w:r>
      <w:r>
        <w:t>/</w:t>
      </w:r>
      <w:r w:rsidRPr="00BB6AA1">
        <w:t>17</w:t>
      </w:r>
    </w:p>
  </w:footnote>
  <w:footnote w:id="5">
    <w:p w14:paraId="3CB8C4D0" w14:textId="638C86C3" w:rsidR="00DF0160" w:rsidRPr="00DF0160" w:rsidRDefault="00DF0160">
      <w:pPr>
        <w:pStyle w:val="FootnoteText"/>
        <w:rPr>
          <w:lang w:val="en-US"/>
        </w:rPr>
      </w:pPr>
      <w:r>
        <w:rPr>
          <w:rStyle w:val="FootnoteReference"/>
        </w:rPr>
        <w:footnoteRef/>
      </w:r>
      <w:r>
        <w:t xml:space="preserve"> </w:t>
      </w:r>
      <w:r>
        <w:rPr>
          <w:lang w:val="en-US"/>
        </w:rPr>
        <w:t>CCZ14/20.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778224"/>
      <w:docPartObj>
        <w:docPartGallery w:val="Page Numbers (Top of Page)"/>
        <w:docPartUnique/>
      </w:docPartObj>
    </w:sdtPr>
    <w:sdtEndPr>
      <w:rPr>
        <w:rFonts w:ascii="Times New Roman" w:hAnsi="Times New Roman" w:cs="Times New Roman"/>
        <w:noProof/>
        <w:sz w:val="22"/>
        <w:szCs w:val="22"/>
      </w:rPr>
    </w:sdtEndPr>
    <w:sdtContent>
      <w:p w14:paraId="784F6201" w14:textId="77777777" w:rsidR="00E73291" w:rsidRPr="00243288" w:rsidRDefault="00876769">
        <w:pPr>
          <w:pStyle w:val="Header"/>
          <w:jc w:val="right"/>
          <w:rPr>
            <w:rFonts w:ascii="Times New Roman" w:hAnsi="Times New Roman" w:cs="Times New Roman"/>
            <w:noProof/>
            <w:sz w:val="22"/>
            <w:szCs w:val="22"/>
          </w:rPr>
        </w:pPr>
        <w:r w:rsidRPr="00243288">
          <w:rPr>
            <w:rFonts w:ascii="Times New Roman" w:hAnsi="Times New Roman" w:cs="Times New Roman"/>
            <w:sz w:val="22"/>
            <w:szCs w:val="22"/>
          </w:rPr>
          <w:fldChar w:fldCharType="begin"/>
        </w:r>
        <w:r w:rsidRPr="00243288">
          <w:rPr>
            <w:rFonts w:ascii="Times New Roman" w:hAnsi="Times New Roman" w:cs="Times New Roman"/>
            <w:sz w:val="22"/>
            <w:szCs w:val="22"/>
          </w:rPr>
          <w:instrText xml:space="preserve"> PAGE   \* MERGEFORMAT </w:instrText>
        </w:r>
        <w:r w:rsidRPr="00243288">
          <w:rPr>
            <w:rFonts w:ascii="Times New Roman" w:hAnsi="Times New Roman" w:cs="Times New Roman"/>
            <w:sz w:val="22"/>
            <w:szCs w:val="22"/>
          </w:rPr>
          <w:fldChar w:fldCharType="separate"/>
        </w:r>
        <w:r w:rsidR="00DC3085">
          <w:rPr>
            <w:rFonts w:ascii="Times New Roman" w:hAnsi="Times New Roman" w:cs="Times New Roman"/>
            <w:noProof/>
            <w:sz w:val="22"/>
            <w:szCs w:val="22"/>
          </w:rPr>
          <w:t>1</w:t>
        </w:r>
        <w:r w:rsidRPr="00243288">
          <w:rPr>
            <w:rFonts w:ascii="Times New Roman" w:hAnsi="Times New Roman" w:cs="Times New Roman"/>
            <w:noProof/>
            <w:sz w:val="22"/>
            <w:szCs w:val="22"/>
          </w:rPr>
          <w:fldChar w:fldCharType="end"/>
        </w:r>
      </w:p>
      <w:p w14:paraId="789D9B7D" w14:textId="075A57A1" w:rsidR="00876769" w:rsidRPr="00243288" w:rsidRDefault="00E73291">
        <w:pPr>
          <w:pStyle w:val="Header"/>
          <w:jc w:val="right"/>
          <w:rPr>
            <w:rFonts w:ascii="Times New Roman" w:hAnsi="Times New Roman" w:cs="Times New Roman"/>
            <w:noProof/>
            <w:sz w:val="22"/>
            <w:szCs w:val="22"/>
          </w:rPr>
        </w:pPr>
        <w:r w:rsidRPr="00243288">
          <w:rPr>
            <w:rFonts w:ascii="Times New Roman" w:hAnsi="Times New Roman" w:cs="Times New Roman"/>
            <w:noProof/>
            <w:sz w:val="22"/>
            <w:szCs w:val="22"/>
          </w:rPr>
          <w:t>H</w:t>
        </w:r>
        <w:r w:rsidR="00243288" w:rsidRPr="00243288">
          <w:rPr>
            <w:rFonts w:ascii="Times New Roman" w:hAnsi="Times New Roman" w:cs="Times New Roman"/>
            <w:noProof/>
            <w:sz w:val="22"/>
            <w:szCs w:val="22"/>
          </w:rPr>
          <w:t>H 466-25</w:t>
        </w:r>
      </w:p>
    </w:sdtContent>
  </w:sdt>
  <w:p w14:paraId="5162F302" w14:textId="77777777" w:rsidR="00876769" w:rsidRPr="00243288" w:rsidRDefault="00876769">
    <w:pPr>
      <w:pStyle w:val="Header"/>
      <w:jc w:val="right"/>
      <w:rPr>
        <w:rFonts w:ascii="Times New Roman" w:hAnsi="Times New Roman" w:cs="Times New Roman"/>
        <w:sz w:val="22"/>
        <w:szCs w:val="22"/>
      </w:rPr>
    </w:pPr>
    <w:r w:rsidRPr="00243288">
      <w:rPr>
        <w:rFonts w:ascii="Times New Roman" w:hAnsi="Times New Roman" w:cs="Times New Roman"/>
        <w:sz w:val="22"/>
        <w:szCs w:val="22"/>
      </w:rPr>
      <w:t>HCH2740/23</w:t>
    </w:r>
  </w:p>
  <w:p w14:paraId="5C118371" w14:textId="77777777" w:rsidR="00876769" w:rsidRDefault="008767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1B3D"/>
    <w:multiLevelType w:val="hybridMultilevel"/>
    <w:tmpl w:val="365A8AFA"/>
    <w:lvl w:ilvl="0" w:tplc="5936C140">
      <w:start w:val="1"/>
      <w:numFmt w:val="lowerRoman"/>
      <w:lvlText w:val="%1)"/>
      <w:lvlJc w:val="left"/>
      <w:pPr>
        <w:ind w:left="1710" w:hanging="72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nsid w:val="1B50019F"/>
    <w:multiLevelType w:val="hybridMultilevel"/>
    <w:tmpl w:val="94F298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521C0"/>
    <w:multiLevelType w:val="hybridMultilevel"/>
    <w:tmpl w:val="A2D2BA62"/>
    <w:lvl w:ilvl="0" w:tplc="C4F8D88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42D472D6"/>
    <w:multiLevelType w:val="hybridMultilevel"/>
    <w:tmpl w:val="AB823446"/>
    <w:lvl w:ilvl="0" w:tplc="60C26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1F0C96"/>
    <w:multiLevelType w:val="hybridMultilevel"/>
    <w:tmpl w:val="D19E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6F1CF7"/>
    <w:multiLevelType w:val="hybridMultilevel"/>
    <w:tmpl w:val="88CEBFC0"/>
    <w:lvl w:ilvl="0" w:tplc="74682E9C">
      <w:start w:val="1"/>
      <w:numFmt w:val="lowerLetter"/>
      <w:lvlText w:val="(%1)"/>
      <w:lvlJc w:val="left"/>
      <w:pPr>
        <w:ind w:left="16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813F39"/>
    <w:multiLevelType w:val="hybridMultilevel"/>
    <w:tmpl w:val="167C1BF4"/>
    <w:lvl w:ilvl="0" w:tplc="42369AB8">
      <w:start w:val="1"/>
      <w:numFmt w:val="lowerRoman"/>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B31379"/>
    <w:multiLevelType w:val="hybridMultilevel"/>
    <w:tmpl w:val="DB2CE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C745E0"/>
    <w:multiLevelType w:val="hybridMultilevel"/>
    <w:tmpl w:val="92E4B33A"/>
    <w:lvl w:ilvl="0" w:tplc="9FB8E47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5"/>
  </w:num>
  <w:num w:numId="4">
    <w:abstractNumId w:val="6"/>
  </w:num>
  <w:num w:numId="5">
    <w:abstractNumId w:val="8"/>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F7"/>
    <w:rsid w:val="0000442A"/>
    <w:rsid w:val="00004683"/>
    <w:rsid w:val="000072F6"/>
    <w:rsid w:val="00014BB2"/>
    <w:rsid w:val="0002556E"/>
    <w:rsid w:val="00031BE3"/>
    <w:rsid w:val="00046327"/>
    <w:rsid w:val="00050F59"/>
    <w:rsid w:val="00055360"/>
    <w:rsid w:val="00071D91"/>
    <w:rsid w:val="00073D53"/>
    <w:rsid w:val="00097297"/>
    <w:rsid w:val="000A02DA"/>
    <w:rsid w:val="000A176E"/>
    <w:rsid w:val="000A7E4B"/>
    <w:rsid w:val="000B113D"/>
    <w:rsid w:val="000B1D76"/>
    <w:rsid w:val="000D4C29"/>
    <w:rsid w:val="000E5589"/>
    <w:rsid w:val="000F3F93"/>
    <w:rsid w:val="001034FF"/>
    <w:rsid w:val="00105549"/>
    <w:rsid w:val="00112CA1"/>
    <w:rsid w:val="00114BA5"/>
    <w:rsid w:val="00116593"/>
    <w:rsid w:val="00124849"/>
    <w:rsid w:val="0014628C"/>
    <w:rsid w:val="00146997"/>
    <w:rsid w:val="00162277"/>
    <w:rsid w:val="00162C34"/>
    <w:rsid w:val="00163CB0"/>
    <w:rsid w:val="00164968"/>
    <w:rsid w:val="00167496"/>
    <w:rsid w:val="001711FB"/>
    <w:rsid w:val="001722DB"/>
    <w:rsid w:val="001767BB"/>
    <w:rsid w:val="001949BE"/>
    <w:rsid w:val="00197C92"/>
    <w:rsid w:val="001A7E0B"/>
    <w:rsid w:val="001B185F"/>
    <w:rsid w:val="001B49B1"/>
    <w:rsid w:val="001C2C27"/>
    <w:rsid w:val="001C63D5"/>
    <w:rsid w:val="001F02CD"/>
    <w:rsid w:val="00206469"/>
    <w:rsid w:val="0021180F"/>
    <w:rsid w:val="00230A20"/>
    <w:rsid w:val="00230B25"/>
    <w:rsid w:val="0024148C"/>
    <w:rsid w:val="00243288"/>
    <w:rsid w:val="00247593"/>
    <w:rsid w:val="00247AC9"/>
    <w:rsid w:val="00250FA8"/>
    <w:rsid w:val="002530AD"/>
    <w:rsid w:val="002737F9"/>
    <w:rsid w:val="0027641E"/>
    <w:rsid w:val="00286C8F"/>
    <w:rsid w:val="002E17E6"/>
    <w:rsid w:val="002E3163"/>
    <w:rsid w:val="00304EA8"/>
    <w:rsid w:val="00311BAC"/>
    <w:rsid w:val="003224EE"/>
    <w:rsid w:val="003249CE"/>
    <w:rsid w:val="003339C2"/>
    <w:rsid w:val="003543D4"/>
    <w:rsid w:val="003560D8"/>
    <w:rsid w:val="0035735A"/>
    <w:rsid w:val="003957E3"/>
    <w:rsid w:val="003B3A52"/>
    <w:rsid w:val="003B4096"/>
    <w:rsid w:val="003B4A10"/>
    <w:rsid w:val="003B52ED"/>
    <w:rsid w:val="003B5F84"/>
    <w:rsid w:val="003C0CC7"/>
    <w:rsid w:val="003D0236"/>
    <w:rsid w:val="003D02C2"/>
    <w:rsid w:val="003D43C7"/>
    <w:rsid w:val="003F18C0"/>
    <w:rsid w:val="003F1945"/>
    <w:rsid w:val="003F51B1"/>
    <w:rsid w:val="00411B9A"/>
    <w:rsid w:val="00425A4E"/>
    <w:rsid w:val="00432BB4"/>
    <w:rsid w:val="004336AA"/>
    <w:rsid w:val="0044358F"/>
    <w:rsid w:val="004555F6"/>
    <w:rsid w:val="0047490A"/>
    <w:rsid w:val="004760E0"/>
    <w:rsid w:val="00476599"/>
    <w:rsid w:val="004844AC"/>
    <w:rsid w:val="0048755E"/>
    <w:rsid w:val="00491A97"/>
    <w:rsid w:val="00492797"/>
    <w:rsid w:val="004A1669"/>
    <w:rsid w:val="004B2E83"/>
    <w:rsid w:val="004B7A1E"/>
    <w:rsid w:val="004C028C"/>
    <w:rsid w:val="004E213E"/>
    <w:rsid w:val="004E525F"/>
    <w:rsid w:val="004F7A54"/>
    <w:rsid w:val="005021C3"/>
    <w:rsid w:val="005122AF"/>
    <w:rsid w:val="005127C1"/>
    <w:rsid w:val="005144B0"/>
    <w:rsid w:val="00516133"/>
    <w:rsid w:val="0052016F"/>
    <w:rsid w:val="00525765"/>
    <w:rsid w:val="00533B6C"/>
    <w:rsid w:val="005375E5"/>
    <w:rsid w:val="00544D30"/>
    <w:rsid w:val="00546923"/>
    <w:rsid w:val="00552211"/>
    <w:rsid w:val="005577F7"/>
    <w:rsid w:val="005670D6"/>
    <w:rsid w:val="00577639"/>
    <w:rsid w:val="00582C23"/>
    <w:rsid w:val="00595746"/>
    <w:rsid w:val="005B0F19"/>
    <w:rsid w:val="005B5753"/>
    <w:rsid w:val="005C3FF0"/>
    <w:rsid w:val="005C78CB"/>
    <w:rsid w:val="005E4B7D"/>
    <w:rsid w:val="005F1937"/>
    <w:rsid w:val="0060286E"/>
    <w:rsid w:val="006037E4"/>
    <w:rsid w:val="00614B38"/>
    <w:rsid w:val="0061718D"/>
    <w:rsid w:val="00622BD0"/>
    <w:rsid w:val="00622D36"/>
    <w:rsid w:val="00627BD9"/>
    <w:rsid w:val="006324AD"/>
    <w:rsid w:val="0063527A"/>
    <w:rsid w:val="006413B7"/>
    <w:rsid w:val="00646F7E"/>
    <w:rsid w:val="006502F4"/>
    <w:rsid w:val="00660054"/>
    <w:rsid w:val="00663EE1"/>
    <w:rsid w:val="006705A7"/>
    <w:rsid w:val="006776D7"/>
    <w:rsid w:val="00682BF2"/>
    <w:rsid w:val="00690470"/>
    <w:rsid w:val="00693FB8"/>
    <w:rsid w:val="006A18BE"/>
    <w:rsid w:val="006A43F9"/>
    <w:rsid w:val="006B335D"/>
    <w:rsid w:val="006B34D1"/>
    <w:rsid w:val="006B5166"/>
    <w:rsid w:val="006C190A"/>
    <w:rsid w:val="006C3B9B"/>
    <w:rsid w:val="006C57B1"/>
    <w:rsid w:val="006E06EC"/>
    <w:rsid w:val="006F330F"/>
    <w:rsid w:val="00701E72"/>
    <w:rsid w:val="00705E6F"/>
    <w:rsid w:val="00707269"/>
    <w:rsid w:val="00710381"/>
    <w:rsid w:val="007109AF"/>
    <w:rsid w:val="00713956"/>
    <w:rsid w:val="00720A61"/>
    <w:rsid w:val="00727ABC"/>
    <w:rsid w:val="00731CD8"/>
    <w:rsid w:val="0076133F"/>
    <w:rsid w:val="00771FDF"/>
    <w:rsid w:val="00773805"/>
    <w:rsid w:val="0078755B"/>
    <w:rsid w:val="007952D3"/>
    <w:rsid w:val="007B4DC9"/>
    <w:rsid w:val="007C29E6"/>
    <w:rsid w:val="007D3248"/>
    <w:rsid w:val="007E434D"/>
    <w:rsid w:val="007E79C2"/>
    <w:rsid w:val="007F0D30"/>
    <w:rsid w:val="00805848"/>
    <w:rsid w:val="008109C1"/>
    <w:rsid w:val="00812771"/>
    <w:rsid w:val="00812C4A"/>
    <w:rsid w:val="008161F9"/>
    <w:rsid w:val="008311CB"/>
    <w:rsid w:val="008324A2"/>
    <w:rsid w:val="00834986"/>
    <w:rsid w:val="008427AC"/>
    <w:rsid w:val="0085339D"/>
    <w:rsid w:val="00855560"/>
    <w:rsid w:val="00871C74"/>
    <w:rsid w:val="00876769"/>
    <w:rsid w:val="008844BC"/>
    <w:rsid w:val="00891F1C"/>
    <w:rsid w:val="008C7329"/>
    <w:rsid w:val="008D0B19"/>
    <w:rsid w:val="008D5DEB"/>
    <w:rsid w:val="008D649A"/>
    <w:rsid w:val="008E3020"/>
    <w:rsid w:val="008F2B62"/>
    <w:rsid w:val="008F3231"/>
    <w:rsid w:val="00905A1B"/>
    <w:rsid w:val="00932B4C"/>
    <w:rsid w:val="0094565E"/>
    <w:rsid w:val="009473D8"/>
    <w:rsid w:val="00963B8A"/>
    <w:rsid w:val="00964377"/>
    <w:rsid w:val="009722B4"/>
    <w:rsid w:val="00982272"/>
    <w:rsid w:val="009962B4"/>
    <w:rsid w:val="009A24B2"/>
    <w:rsid w:val="009A61D3"/>
    <w:rsid w:val="009A6797"/>
    <w:rsid w:val="009B0459"/>
    <w:rsid w:val="009B1454"/>
    <w:rsid w:val="009C2BF4"/>
    <w:rsid w:val="009D0863"/>
    <w:rsid w:val="009E31AE"/>
    <w:rsid w:val="009E780A"/>
    <w:rsid w:val="009F0E19"/>
    <w:rsid w:val="00A079EB"/>
    <w:rsid w:val="00A12A0F"/>
    <w:rsid w:val="00A30730"/>
    <w:rsid w:val="00A43378"/>
    <w:rsid w:val="00A73445"/>
    <w:rsid w:val="00A81423"/>
    <w:rsid w:val="00A81428"/>
    <w:rsid w:val="00A8277C"/>
    <w:rsid w:val="00A9397D"/>
    <w:rsid w:val="00AA17AC"/>
    <w:rsid w:val="00AB5081"/>
    <w:rsid w:val="00AD519D"/>
    <w:rsid w:val="00AE5D67"/>
    <w:rsid w:val="00AF0C25"/>
    <w:rsid w:val="00AF1C92"/>
    <w:rsid w:val="00B26EDE"/>
    <w:rsid w:val="00B32613"/>
    <w:rsid w:val="00B36D34"/>
    <w:rsid w:val="00B37169"/>
    <w:rsid w:val="00B419F9"/>
    <w:rsid w:val="00B42DC2"/>
    <w:rsid w:val="00B454F7"/>
    <w:rsid w:val="00B544DE"/>
    <w:rsid w:val="00B56681"/>
    <w:rsid w:val="00B56EF1"/>
    <w:rsid w:val="00B72A44"/>
    <w:rsid w:val="00B745B5"/>
    <w:rsid w:val="00B817F1"/>
    <w:rsid w:val="00B81927"/>
    <w:rsid w:val="00B8390B"/>
    <w:rsid w:val="00B86B2A"/>
    <w:rsid w:val="00B90765"/>
    <w:rsid w:val="00B9122D"/>
    <w:rsid w:val="00B91B20"/>
    <w:rsid w:val="00BA73DF"/>
    <w:rsid w:val="00BB6AA1"/>
    <w:rsid w:val="00BC1194"/>
    <w:rsid w:val="00BE186E"/>
    <w:rsid w:val="00BE2081"/>
    <w:rsid w:val="00BE3940"/>
    <w:rsid w:val="00BE437D"/>
    <w:rsid w:val="00C11D6E"/>
    <w:rsid w:val="00C20896"/>
    <w:rsid w:val="00C2609E"/>
    <w:rsid w:val="00C31AEE"/>
    <w:rsid w:val="00C366C1"/>
    <w:rsid w:val="00C5313C"/>
    <w:rsid w:val="00C64A1F"/>
    <w:rsid w:val="00C77822"/>
    <w:rsid w:val="00C843B1"/>
    <w:rsid w:val="00C95CA7"/>
    <w:rsid w:val="00CA54A5"/>
    <w:rsid w:val="00CA5563"/>
    <w:rsid w:val="00CA638F"/>
    <w:rsid w:val="00CC5625"/>
    <w:rsid w:val="00CD2586"/>
    <w:rsid w:val="00CD5018"/>
    <w:rsid w:val="00CE0A68"/>
    <w:rsid w:val="00D00549"/>
    <w:rsid w:val="00D15F3A"/>
    <w:rsid w:val="00D3791C"/>
    <w:rsid w:val="00D37A9B"/>
    <w:rsid w:val="00D4304B"/>
    <w:rsid w:val="00D437D9"/>
    <w:rsid w:val="00D62C6E"/>
    <w:rsid w:val="00D6370F"/>
    <w:rsid w:val="00D7409F"/>
    <w:rsid w:val="00D7719C"/>
    <w:rsid w:val="00D90BD1"/>
    <w:rsid w:val="00DA50CE"/>
    <w:rsid w:val="00DA6D04"/>
    <w:rsid w:val="00DB017D"/>
    <w:rsid w:val="00DB05AA"/>
    <w:rsid w:val="00DB2DE3"/>
    <w:rsid w:val="00DB7352"/>
    <w:rsid w:val="00DB7F5C"/>
    <w:rsid w:val="00DC061F"/>
    <w:rsid w:val="00DC3085"/>
    <w:rsid w:val="00DC7BA3"/>
    <w:rsid w:val="00DD634D"/>
    <w:rsid w:val="00DF0160"/>
    <w:rsid w:val="00DF0A6F"/>
    <w:rsid w:val="00E06AB8"/>
    <w:rsid w:val="00E0760B"/>
    <w:rsid w:val="00E22E02"/>
    <w:rsid w:val="00E254ED"/>
    <w:rsid w:val="00E322BB"/>
    <w:rsid w:val="00E4248C"/>
    <w:rsid w:val="00E5232E"/>
    <w:rsid w:val="00E5611F"/>
    <w:rsid w:val="00E73291"/>
    <w:rsid w:val="00E8301E"/>
    <w:rsid w:val="00E85C2F"/>
    <w:rsid w:val="00EA47D8"/>
    <w:rsid w:val="00EB012A"/>
    <w:rsid w:val="00EB2EDE"/>
    <w:rsid w:val="00EC7018"/>
    <w:rsid w:val="00EC7C8C"/>
    <w:rsid w:val="00ED11FE"/>
    <w:rsid w:val="00ED6D69"/>
    <w:rsid w:val="00EE1EDF"/>
    <w:rsid w:val="00EE21CC"/>
    <w:rsid w:val="00EE27BF"/>
    <w:rsid w:val="00EF26D6"/>
    <w:rsid w:val="00EF3B98"/>
    <w:rsid w:val="00EF3F1A"/>
    <w:rsid w:val="00F10481"/>
    <w:rsid w:val="00F223DC"/>
    <w:rsid w:val="00F22D9E"/>
    <w:rsid w:val="00F26BBB"/>
    <w:rsid w:val="00F272C8"/>
    <w:rsid w:val="00F33229"/>
    <w:rsid w:val="00F40289"/>
    <w:rsid w:val="00F542B7"/>
    <w:rsid w:val="00F56B17"/>
    <w:rsid w:val="00F634FA"/>
    <w:rsid w:val="00F901C4"/>
    <w:rsid w:val="00F92211"/>
    <w:rsid w:val="00F96898"/>
    <w:rsid w:val="00FA5056"/>
    <w:rsid w:val="00FA61B8"/>
    <w:rsid w:val="00FA61CB"/>
    <w:rsid w:val="00FC7B14"/>
    <w:rsid w:val="00FC7F5E"/>
    <w:rsid w:val="00FE0192"/>
    <w:rsid w:val="00FE162B"/>
    <w:rsid w:val="00FE21E4"/>
    <w:rsid w:val="00FE3409"/>
    <w:rsid w:val="00FE428C"/>
    <w:rsid w:val="00FE6956"/>
    <w:rsid w:val="00FF3388"/>
    <w:rsid w:val="00FF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9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F7"/>
    <w:pPr>
      <w:spacing w:line="278" w:lineRule="auto"/>
    </w:pPr>
    <w:rPr>
      <w:kern w:val="2"/>
      <w:sz w:val="24"/>
      <w:szCs w:val="24"/>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4F7"/>
    <w:pPr>
      <w:spacing w:after="0" w:line="240" w:lineRule="auto"/>
    </w:pPr>
    <w:rPr>
      <w:kern w:val="2"/>
      <w:sz w:val="24"/>
      <w:szCs w:val="24"/>
      <w:lang w:val="en-ZW"/>
      <w14:ligatures w14:val="standardContextual"/>
    </w:rPr>
  </w:style>
  <w:style w:type="paragraph" w:styleId="Header">
    <w:name w:val="header"/>
    <w:basedOn w:val="Normal"/>
    <w:link w:val="HeaderChar"/>
    <w:uiPriority w:val="99"/>
    <w:unhideWhenUsed/>
    <w:rsid w:val="00876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769"/>
    <w:rPr>
      <w:kern w:val="2"/>
      <w:sz w:val="24"/>
      <w:szCs w:val="24"/>
      <w:lang w:val="en-ZW"/>
      <w14:ligatures w14:val="standardContextual"/>
    </w:rPr>
  </w:style>
  <w:style w:type="paragraph" w:styleId="Footer">
    <w:name w:val="footer"/>
    <w:basedOn w:val="Normal"/>
    <w:link w:val="FooterChar"/>
    <w:uiPriority w:val="99"/>
    <w:unhideWhenUsed/>
    <w:rsid w:val="00876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769"/>
    <w:rPr>
      <w:kern w:val="2"/>
      <w:sz w:val="24"/>
      <w:szCs w:val="24"/>
      <w:lang w:val="en-ZW"/>
      <w14:ligatures w14:val="standardContextual"/>
    </w:rPr>
  </w:style>
  <w:style w:type="paragraph" w:styleId="ListParagraph">
    <w:name w:val="List Paragraph"/>
    <w:basedOn w:val="Normal"/>
    <w:uiPriority w:val="34"/>
    <w:qFormat/>
    <w:rsid w:val="005E4B7D"/>
    <w:pPr>
      <w:ind w:left="720"/>
      <w:contextualSpacing/>
    </w:pPr>
  </w:style>
  <w:style w:type="paragraph" w:styleId="FootnoteText">
    <w:name w:val="footnote text"/>
    <w:basedOn w:val="Normal"/>
    <w:link w:val="FootnoteTextChar"/>
    <w:uiPriority w:val="99"/>
    <w:semiHidden/>
    <w:unhideWhenUsed/>
    <w:rsid w:val="00EE27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7BF"/>
    <w:rPr>
      <w:kern w:val="2"/>
      <w:sz w:val="20"/>
      <w:szCs w:val="20"/>
      <w:lang w:val="en-ZW"/>
      <w14:ligatures w14:val="standardContextual"/>
    </w:rPr>
  </w:style>
  <w:style w:type="character" w:styleId="FootnoteReference">
    <w:name w:val="footnote reference"/>
    <w:basedOn w:val="DefaultParagraphFont"/>
    <w:uiPriority w:val="99"/>
    <w:semiHidden/>
    <w:unhideWhenUsed/>
    <w:rsid w:val="00EE27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F7"/>
    <w:pPr>
      <w:spacing w:line="278" w:lineRule="auto"/>
    </w:pPr>
    <w:rPr>
      <w:kern w:val="2"/>
      <w:sz w:val="24"/>
      <w:szCs w:val="24"/>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4F7"/>
    <w:pPr>
      <w:spacing w:after="0" w:line="240" w:lineRule="auto"/>
    </w:pPr>
    <w:rPr>
      <w:kern w:val="2"/>
      <w:sz w:val="24"/>
      <w:szCs w:val="24"/>
      <w:lang w:val="en-ZW"/>
      <w14:ligatures w14:val="standardContextual"/>
    </w:rPr>
  </w:style>
  <w:style w:type="paragraph" w:styleId="Header">
    <w:name w:val="header"/>
    <w:basedOn w:val="Normal"/>
    <w:link w:val="HeaderChar"/>
    <w:uiPriority w:val="99"/>
    <w:unhideWhenUsed/>
    <w:rsid w:val="00876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769"/>
    <w:rPr>
      <w:kern w:val="2"/>
      <w:sz w:val="24"/>
      <w:szCs w:val="24"/>
      <w:lang w:val="en-ZW"/>
      <w14:ligatures w14:val="standardContextual"/>
    </w:rPr>
  </w:style>
  <w:style w:type="paragraph" w:styleId="Footer">
    <w:name w:val="footer"/>
    <w:basedOn w:val="Normal"/>
    <w:link w:val="FooterChar"/>
    <w:uiPriority w:val="99"/>
    <w:unhideWhenUsed/>
    <w:rsid w:val="00876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769"/>
    <w:rPr>
      <w:kern w:val="2"/>
      <w:sz w:val="24"/>
      <w:szCs w:val="24"/>
      <w:lang w:val="en-ZW"/>
      <w14:ligatures w14:val="standardContextual"/>
    </w:rPr>
  </w:style>
  <w:style w:type="paragraph" w:styleId="ListParagraph">
    <w:name w:val="List Paragraph"/>
    <w:basedOn w:val="Normal"/>
    <w:uiPriority w:val="34"/>
    <w:qFormat/>
    <w:rsid w:val="005E4B7D"/>
    <w:pPr>
      <w:ind w:left="720"/>
      <w:contextualSpacing/>
    </w:pPr>
  </w:style>
  <w:style w:type="paragraph" w:styleId="FootnoteText">
    <w:name w:val="footnote text"/>
    <w:basedOn w:val="Normal"/>
    <w:link w:val="FootnoteTextChar"/>
    <w:uiPriority w:val="99"/>
    <w:semiHidden/>
    <w:unhideWhenUsed/>
    <w:rsid w:val="00EE27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7BF"/>
    <w:rPr>
      <w:kern w:val="2"/>
      <w:sz w:val="20"/>
      <w:szCs w:val="20"/>
      <w:lang w:val="en-ZW"/>
      <w14:ligatures w14:val="standardContextual"/>
    </w:rPr>
  </w:style>
  <w:style w:type="character" w:styleId="FootnoteReference">
    <w:name w:val="footnote reference"/>
    <w:basedOn w:val="DefaultParagraphFont"/>
    <w:uiPriority w:val="99"/>
    <w:semiHidden/>
    <w:unhideWhenUsed/>
    <w:rsid w:val="00EE2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44562">
      <w:bodyDiv w:val="1"/>
      <w:marLeft w:val="0"/>
      <w:marRight w:val="0"/>
      <w:marTop w:val="0"/>
      <w:marBottom w:val="0"/>
      <w:divBdr>
        <w:top w:val="none" w:sz="0" w:space="0" w:color="auto"/>
        <w:left w:val="none" w:sz="0" w:space="0" w:color="auto"/>
        <w:bottom w:val="none" w:sz="0" w:space="0" w:color="auto"/>
        <w:right w:val="none" w:sz="0" w:space="0" w:color="auto"/>
      </w:divBdr>
    </w:div>
    <w:div w:id="4890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4E3D-C1F6-4442-9F34-C5046E0B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4224</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2025-09-12T11:01:00Z</dcterms:created>
  <dcterms:modified xsi:type="dcterms:W3CDTF">2025-09-12T11:01:00Z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bd9a37a7-1800-43fb-99e4-ed19cb690f41</vt:lpwstr>
  </property>
</Properties>
</file>