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3B" w:rsidRDefault="00E11922" w:rsidP="00C905B4">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24618">
        <w:rPr>
          <w:b/>
          <w:sz w:val="24"/>
          <w:szCs w:val="24"/>
        </w:rPr>
        <w:t>31</w:t>
      </w:r>
      <w:r>
        <w:rPr>
          <w:b/>
          <w:sz w:val="24"/>
          <w:szCs w:val="24"/>
        </w:rPr>
        <w:t>/16</w:t>
      </w:r>
    </w:p>
    <w:p w:rsidR="00E11922" w:rsidRDefault="00E11922" w:rsidP="00C905B4">
      <w:pPr>
        <w:spacing w:line="360" w:lineRule="auto"/>
        <w:jc w:val="both"/>
        <w:rPr>
          <w:b/>
          <w:sz w:val="24"/>
          <w:szCs w:val="24"/>
        </w:rPr>
      </w:pPr>
      <w:r>
        <w:rPr>
          <w:b/>
          <w:sz w:val="24"/>
          <w:szCs w:val="24"/>
        </w:rPr>
        <w:t>HELD AT HARARE 22</w:t>
      </w:r>
      <w:r w:rsidRPr="00E11922">
        <w:rPr>
          <w:b/>
          <w:sz w:val="24"/>
          <w:szCs w:val="24"/>
          <w:vertAlign w:val="superscript"/>
        </w:rPr>
        <w:t>ND</w:t>
      </w:r>
      <w:r>
        <w:rPr>
          <w:b/>
          <w:sz w:val="24"/>
          <w:szCs w:val="24"/>
        </w:rPr>
        <w:t xml:space="preserve"> OCTOBER 2015</w:t>
      </w:r>
      <w:r>
        <w:rPr>
          <w:b/>
          <w:sz w:val="24"/>
          <w:szCs w:val="24"/>
        </w:rPr>
        <w:tab/>
      </w:r>
      <w:r>
        <w:rPr>
          <w:b/>
          <w:sz w:val="24"/>
          <w:szCs w:val="24"/>
        </w:rPr>
        <w:tab/>
      </w:r>
      <w:r>
        <w:rPr>
          <w:b/>
          <w:sz w:val="24"/>
          <w:szCs w:val="24"/>
        </w:rPr>
        <w:tab/>
        <w:t>CASE NO LC/H/433/14 (REV)</w:t>
      </w:r>
    </w:p>
    <w:p w:rsidR="00E11922" w:rsidRDefault="00E11922" w:rsidP="00C905B4">
      <w:pPr>
        <w:spacing w:line="360" w:lineRule="auto"/>
        <w:jc w:val="both"/>
        <w:rPr>
          <w:b/>
          <w:sz w:val="24"/>
          <w:szCs w:val="24"/>
        </w:rPr>
      </w:pPr>
      <w:r>
        <w:rPr>
          <w:b/>
          <w:sz w:val="24"/>
          <w:szCs w:val="24"/>
        </w:rPr>
        <w:t xml:space="preserve">&amp; </w:t>
      </w:r>
      <w:r w:rsidR="00824618">
        <w:rPr>
          <w:b/>
          <w:sz w:val="24"/>
          <w:szCs w:val="24"/>
        </w:rPr>
        <w:t>22</w:t>
      </w:r>
      <w:r w:rsidR="00824618" w:rsidRPr="00824618">
        <w:rPr>
          <w:b/>
          <w:sz w:val="24"/>
          <w:szCs w:val="24"/>
          <w:vertAlign w:val="superscript"/>
        </w:rPr>
        <w:t>nd</w:t>
      </w:r>
      <w:r w:rsidR="00824618">
        <w:rPr>
          <w:b/>
          <w:sz w:val="24"/>
          <w:szCs w:val="24"/>
        </w:rPr>
        <w:t xml:space="preserve"> JANUARY 2016</w:t>
      </w:r>
      <w:bookmarkStart w:id="0" w:name="_GoBack"/>
      <w:bookmarkEnd w:id="0"/>
    </w:p>
    <w:p w:rsidR="00E11922" w:rsidRDefault="00E11922" w:rsidP="00C905B4">
      <w:pPr>
        <w:spacing w:line="360" w:lineRule="auto"/>
        <w:jc w:val="both"/>
        <w:rPr>
          <w:sz w:val="24"/>
          <w:szCs w:val="24"/>
        </w:rPr>
      </w:pPr>
      <w:r>
        <w:rPr>
          <w:sz w:val="24"/>
          <w:szCs w:val="24"/>
        </w:rPr>
        <w:t>In the matter between:</w:t>
      </w:r>
    </w:p>
    <w:p w:rsidR="00E11922" w:rsidRDefault="00E11922" w:rsidP="00C905B4">
      <w:pPr>
        <w:spacing w:line="360" w:lineRule="auto"/>
        <w:jc w:val="both"/>
        <w:rPr>
          <w:b/>
          <w:sz w:val="24"/>
          <w:szCs w:val="24"/>
        </w:rPr>
      </w:pPr>
      <w:r>
        <w:rPr>
          <w:b/>
          <w:sz w:val="24"/>
          <w:szCs w:val="24"/>
        </w:rPr>
        <w:t>GANIZANI BASWELL</w:t>
      </w:r>
      <w:r>
        <w:rPr>
          <w:b/>
          <w:sz w:val="24"/>
          <w:szCs w:val="24"/>
        </w:rPr>
        <w:tab/>
      </w:r>
      <w:r>
        <w:rPr>
          <w:b/>
          <w:sz w:val="24"/>
          <w:szCs w:val="24"/>
        </w:rPr>
        <w:tab/>
      </w:r>
      <w:r>
        <w:rPr>
          <w:b/>
          <w:sz w:val="24"/>
          <w:szCs w:val="24"/>
        </w:rPr>
        <w:tab/>
      </w:r>
      <w:r>
        <w:rPr>
          <w:b/>
          <w:sz w:val="24"/>
          <w:szCs w:val="24"/>
        </w:rPr>
        <w:tab/>
        <w:t>Applicant</w:t>
      </w:r>
      <w:r w:rsidR="00B0155B">
        <w:rPr>
          <w:b/>
          <w:sz w:val="24"/>
          <w:szCs w:val="24"/>
        </w:rPr>
        <w:t xml:space="preserve">/Appellant </w:t>
      </w:r>
    </w:p>
    <w:p w:rsidR="00E11922" w:rsidRDefault="00E11922" w:rsidP="00C905B4">
      <w:pPr>
        <w:spacing w:line="360" w:lineRule="auto"/>
        <w:jc w:val="both"/>
        <w:rPr>
          <w:b/>
          <w:sz w:val="24"/>
          <w:szCs w:val="24"/>
        </w:rPr>
      </w:pPr>
      <w:r>
        <w:rPr>
          <w:b/>
          <w:sz w:val="24"/>
          <w:szCs w:val="24"/>
        </w:rPr>
        <w:t>And</w:t>
      </w:r>
    </w:p>
    <w:p w:rsidR="00E11922" w:rsidRDefault="00E11922" w:rsidP="00C905B4">
      <w:pPr>
        <w:spacing w:line="360" w:lineRule="auto"/>
        <w:jc w:val="both"/>
        <w:rPr>
          <w:b/>
          <w:sz w:val="24"/>
          <w:szCs w:val="24"/>
        </w:rPr>
      </w:pPr>
      <w:r>
        <w:rPr>
          <w:b/>
          <w:sz w:val="24"/>
          <w:szCs w:val="24"/>
        </w:rPr>
        <w:t>ARCTURUS MINE</w:t>
      </w:r>
      <w:r>
        <w:rPr>
          <w:b/>
          <w:sz w:val="24"/>
          <w:szCs w:val="24"/>
        </w:rPr>
        <w:tab/>
      </w:r>
      <w:r>
        <w:rPr>
          <w:b/>
          <w:sz w:val="24"/>
          <w:szCs w:val="24"/>
        </w:rPr>
        <w:tab/>
      </w:r>
      <w:r>
        <w:rPr>
          <w:b/>
          <w:sz w:val="24"/>
          <w:szCs w:val="24"/>
        </w:rPr>
        <w:tab/>
      </w:r>
      <w:r>
        <w:rPr>
          <w:b/>
          <w:sz w:val="24"/>
          <w:szCs w:val="24"/>
        </w:rPr>
        <w:tab/>
        <w:t>Respondent</w:t>
      </w:r>
    </w:p>
    <w:p w:rsidR="00E11922" w:rsidRDefault="00E11922" w:rsidP="00C905B4">
      <w:pPr>
        <w:spacing w:line="360" w:lineRule="auto"/>
        <w:jc w:val="both"/>
        <w:rPr>
          <w:sz w:val="24"/>
          <w:szCs w:val="24"/>
        </w:rPr>
      </w:pPr>
      <w:r>
        <w:rPr>
          <w:sz w:val="24"/>
          <w:szCs w:val="24"/>
        </w:rPr>
        <w:t>Before The Honourable R F Manyangadze, Judge</w:t>
      </w:r>
    </w:p>
    <w:p w:rsidR="00E11922" w:rsidRDefault="00E11922" w:rsidP="00C905B4">
      <w:pPr>
        <w:spacing w:line="360" w:lineRule="auto"/>
        <w:jc w:val="both"/>
        <w:rPr>
          <w:b/>
          <w:sz w:val="24"/>
          <w:szCs w:val="24"/>
        </w:rPr>
      </w:pPr>
      <w:r>
        <w:rPr>
          <w:b/>
          <w:sz w:val="24"/>
          <w:szCs w:val="24"/>
        </w:rPr>
        <w:t>Applicant</w:t>
      </w:r>
      <w:r w:rsidR="00B0155B">
        <w:rPr>
          <w:b/>
          <w:sz w:val="24"/>
          <w:szCs w:val="24"/>
        </w:rPr>
        <w:t>/Appellant</w:t>
      </w:r>
      <w:r>
        <w:rPr>
          <w:b/>
          <w:sz w:val="24"/>
          <w:szCs w:val="24"/>
        </w:rPr>
        <w:tab/>
      </w:r>
      <w:r>
        <w:rPr>
          <w:b/>
          <w:sz w:val="24"/>
          <w:szCs w:val="24"/>
        </w:rPr>
        <w:tab/>
      </w:r>
      <w:r>
        <w:rPr>
          <w:b/>
          <w:sz w:val="24"/>
          <w:szCs w:val="24"/>
        </w:rPr>
        <w:tab/>
        <w:t>In person</w:t>
      </w:r>
    </w:p>
    <w:p w:rsidR="00E11922" w:rsidRDefault="00E11922" w:rsidP="00C905B4">
      <w:pPr>
        <w:spacing w:line="360" w:lineRule="auto"/>
        <w:jc w:val="both"/>
        <w:rPr>
          <w:b/>
          <w:sz w:val="24"/>
          <w:szCs w:val="24"/>
        </w:rPr>
      </w:pPr>
      <w:r>
        <w:rPr>
          <w:b/>
          <w:sz w:val="24"/>
          <w:szCs w:val="24"/>
        </w:rPr>
        <w:t>For Respondent</w:t>
      </w:r>
      <w:r>
        <w:rPr>
          <w:b/>
          <w:sz w:val="24"/>
          <w:szCs w:val="24"/>
        </w:rPr>
        <w:tab/>
      </w:r>
      <w:r>
        <w:rPr>
          <w:b/>
          <w:sz w:val="24"/>
          <w:szCs w:val="24"/>
        </w:rPr>
        <w:tab/>
      </w:r>
      <w:r w:rsidR="00B0155B">
        <w:rPr>
          <w:b/>
          <w:sz w:val="24"/>
          <w:szCs w:val="24"/>
        </w:rPr>
        <w:tab/>
      </w:r>
      <w:r>
        <w:rPr>
          <w:b/>
          <w:sz w:val="24"/>
          <w:szCs w:val="24"/>
        </w:rPr>
        <w:t>Mr T Tandi (Legal Practitioner)</w:t>
      </w:r>
    </w:p>
    <w:p w:rsidR="000471C9" w:rsidRDefault="000471C9" w:rsidP="00C905B4">
      <w:pPr>
        <w:spacing w:line="360" w:lineRule="auto"/>
        <w:jc w:val="both"/>
        <w:rPr>
          <w:b/>
          <w:sz w:val="24"/>
          <w:szCs w:val="24"/>
        </w:rPr>
      </w:pPr>
    </w:p>
    <w:p w:rsidR="00E11922" w:rsidRDefault="00E11922" w:rsidP="00C905B4">
      <w:pPr>
        <w:spacing w:line="360" w:lineRule="auto"/>
        <w:jc w:val="both"/>
        <w:rPr>
          <w:b/>
          <w:sz w:val="24"/>
          <w:szCs w:val="24"/>
        </w:rPr>
      </w:pPr>
      <w:r>
        <w:rPr>
          <w:b/>
          <w:sz w:val="24"/>
          <w:szCs w:val="24"/>
        </w:rPr>
        <w:t>MANYANGADZE, J:</w:t>
      </w:r>
    </w:p>
    <w:p w:rsidR="000471C9" w:rsidRDefault="00E11922" w:rsidP="00C905B4">
      <w:pPr>
        <w:spacing w:line="360" w:lineRule="auto"/>
        <w:jc w:val="both"/>
        <w:rPr>
          <w:sz w:val="24"/>
          <w:szCs w:val="24"/>
        </w:rPr>
      </w:pPr>
      <w:r>
        <w:rPr>
          <w:sz w:val="24"/>
          <w:szCs w:val="24"/>
        </w:rPr>
        <w:tab/>
        <w:t>This is an appeal against the decision of the respondent’s Appeals Committee, which upheld the dismissal of the appellant from employment.  The appellant was dismissed from employment following his conviction on misconduct allegation</w:t>
      </w:r>
      <w:r w:rsidR="00B0155B">
        <w:rPr>
          <w:sz w:val="24"/>
          <w:szCs w:val="24"/>
        </w:rPr>
        <w:t>s</w:t>
      </w:r>
      <w:r>
        <w:rPr>
          <w:sz w:val="24"/>
          <w:szCs w:val="24"/>
        </w:rPr>
        <w:t xml:space="preserve"> by the respo</w:t>
      </w:r>
      <w:r w:rsidR="000471C9">
        <w:rPr>
          <w:sz w:val="24"/>
          <w:szCs w:val="24"/>
        </w:rPr>
        <w:t>ndent’s Disciplinary Committee.</w:t>
      </w:r>
    </w:p>
    <w:p w:rsidR="00E11922" w:rsidRDefault="00E11922" w:rsidP="000471C9">
      <w:pPr>
        <w:spacing w:line="360" w:lineRule="auto"/>
        <w:ind w:firstLine="720"/>
        <w:jc w:val="both"/>
        <w:rPr>
          <w:sz w:val="24"/>
          <w:szCs w:val="24"/>
        </w:rPr>
      </w:pPr>
      <w:r>
        <w:rPr>
          <w:sz w:val="24"/>
          <w:szCs w:val="24"/>
        </w:rPr>
        <w:t>The appellant was employed by the respondent as a Stores Issuer.  In March 2014, he was charg</w:t>
      </w:r>
      <w:r w:rsidR="00C905B4">
        <w:rPr>
          <w:sz w:val="24"/>
          <w:szCs w:val="24"/>
        </w:rPr>
        <w:t xml:space="preserve">ed with </w:t>
      </w:r>
      <w:r>
        <w:rPr>
          <w:sz w:val="24"/>
          <w:szCs w:val="24"/>
        </w:rPr>
        <w:t>misconduct, the charge being theft, in terms</w:t>
      </w:r>
      <w:r w:rsidR="00B0155B">
        <w:rPr>
          <w:sz w:val="24"/>
          <w:szCs w:val="24"/>
        </w:rPr>
        <w:t xml:space="preserve"> PART B (4) (d)</w:t>
      </w:r>
      <w:r>
        <w:rPr>
          <w:sz w:val="24"/>
          <w:szCs w:val="24"/>
        </w:rPr>
        <w:t xml:space="preserve"> of the Collective Bargaining Agreement:  Mining Industry (Code of Conduct) Statutory Instrument 165 of 1992.  It was alleged that he stole 15 litres of petrol by making a </w:t>
      </w:r>
      <w:r w:rsidR="00B0155B">
        <w:rPr>
          <w:sz w:val="24"/>
          <w:szCs w:val="24"/>
        </w:rPr>
        <w:t>deliberate</w:t>
      </w:r>
      <w:r>
        <w:rPr>
          <w:sz w:val="24"/>
          <w:szCs w:val="24"/>
        </w:rPr>
        <w:t xml:space="preserve"> </w:t>
      </w:r>
      <w:r w:rsidR="00B0155B">
        <w:rPr>
          <w:sz w:val="24"/>
          <w:szCs w:val="24"/>
        </w:rPr>
        <w:t>over allocation</w:t>
      </w:r>
      <w:r>
        <w:rPr>
          <w:sz w:val="24"/>
          <w:szCs w:val="24"/>
        </w:rPr>
        <w:t xml:space="preserve"> to the Mine</w:t>
      </w:r>
      <w:r w:rsidR="00B0155B">
        <w:rPr>
          <w:sz w:val="24"/>
          <w:szCs w:val="24"/>
        </w:rPr>
        <w:t>’</w:t>
      </w:r>
      <w:r>
        <w:rPr>
          <w:sz w:val="24"/>
          <w:szCs w:val="24"/>
        </w:rPr>
        <w:t xml:space="preserve">s omnibus.  He was supposed to issue 30 litres of petrol.  He </w:t>
      </w:r>
      <w:r w:rsidR="00B0155B">
        <w:rPr>
          <w:sz w:val="24"/>
          <w:szCs w:val="24"/>
        </w:rPr>
        <w:t xml:space="preserve">instead </w:t>
      </w:r>
      <w:r>
        <w:rPr>
          <w:sz w:val="24"/>
          <w:szCs w:val="24"/>
        </w:rPr>
        <w:t>issued an extra 15 litres</w:t>
      </w:r>
      <w:r w:rsidR="00B0155B">
        <w:rPr>
          <w:sz w:val="24"/>
          <w:szCs w:val="24"/>
        </w:rPr>
        <w:t>,</w:t>
      </w:r>
      <w:r>
        <w:rPr>
          <w:sz w:val="24"/>
          <w:szCs w:val="24"/>
        </w:rPr>
        <w:t xml:space="preserve"> which was the subject of the theft allegation.</w:t>
      </w:r>
    </w:p>
    <w:p w:rsidR="00E11922" w:rsidRDefault="00E11922" w:rsidP="00C905B4">
      <w:pPr>
        <w:spacing w:line="360" w:lineRule="auto"/>
        <w:jc w:val="both"/>
        <w:rPr>
          <w:sz w:val="24"/>
          <w:szCs w:val="24"/>
        </w:rPr>
      </w:pPr>
      <w:r>
        <w:rPr>
          <w:sz w:val="24"/>
          <w:szCs w:val="24"/>
        </w:rPr>
        <w:tab/>
        <w:t>On 3 April 2014, the Disciplinary Committee found him guilty as charged, and imposed a penalty of dismissal.</w:t>
      </w:r>
    </w:p>
    <w:p w:rsidR="00EC5396" w:rsidRDefault="00EC5396" w:rsidP="00C905B4">
      <w:pPr>
        <w:spacing w:line="360" w:lineRule="auto"/>
        <w:jc w:val="both"/>
        <w:rPr>
          <w:sz w:val="24"/>
          <w:szCs w:val="24"/>
        </w:rPr>
      </w:pPr>
      <w:r>
        <w:rPr>
          <w:sz w:val="24"/>
          <w:szCs w:val="24"/>
        </w:rPr>
        <w:lastRenderedPageBreak/>
        <w:tab/>
        <w:t>On 25 April 2014, the Appeals Committee upheld the appellant’s conviction and penalty.  This then led to the appeal to this Court.</w:t>
      </w:r>
    </w:p>
    <w:p w:rsidR="00EC5396" w:rsidRDefault="00EC5396" w:rsidP="00C905B4">
      <w:pPr>
        <w:spacing w:line="360" w:lineRule="auto"/>
        <w:jc w:val="both"/>
        <w:rPr>
          <w:sz w:val="24"/>
          <w:szCs w:val="24"/>
        </w:rPr>
      </w:pPr>
      <w:r>
        <w:rPr>
          <w:sz w:val="24"/>
          <w:szCs w:val="24"/>
        </w:rPr>
        <w:tab/>
        <w:t>The papers on record show that the appellant filed both an application for review and an appeal</w:t>
      </w:r>
      <w:r w:rsidR="00B0155B">
        <w:rPr>
          <w:sz w:val="24"/>
          <w:szCs w:val="24"/>
        </w:rPr>
        <w:t>.</w:t>
      </w:r>
      <w:r>
        <w:rPr>
          <w:sz w:val="24"/>
          <w:szCs w:val="24"/>
        </w:rPr>
        <w:t xml:space="preserve"> </w:t>
      </w:r>
      <w:r w:rsidR="00B0155B">
        <w:rPr>
          <w:sz w:val="24"/>
          <w:szCs w:val="24"/>
        </w:rPr>
        <w:t xml:space="preserve">  A </w:t>
      </w:r>
      <w:r>
        <w:rPr>
          <w:sz w:val="24"/>
          <w:szCs w:val="24"/>
        </w:rPr>
        <w:t xml:space="preserve">perusal of his papers reveals a mix up in the issues relating to the review and the appeal.  Some review issues are in the grounds of appeal, and some appeal issues appear in the grounds for review.  One </w:t>
      </w:r>
      <w:r w:rsidR="00B0155B">
        <w:rPr>
          <w:sz w:val="24"/>
          <w:szCs w:val="24"/>
        </w:rPr>
        <w:t>h</w:t>
      </w:r>
      <w:r>
        <w:rPr>
          <w:sz w:val="24"/>
          <w:szCs w:val="24"/>
        </w:rPr>
        <w:t>as to glean from the papers to understand what issue one is dealing with.  This mix up, it seems to me, can be largely attribute</w:t>
      </w:r>
      <w:r w:rsidR="00B0155B">
        <w:rPr>
          <w:sz w:val="24"/>
          <w:szCs w:val="24"/>
        </w:rPr>
        <w:t>d</w:t>
      </w:r>
      <w:r>
        <w:rPr>
          <w:sz w:val="24"/>
          <w:szCs w:val="24"/>
        </w:rPr>
        <w:t xml:space="preserve"> to the fact that the appellant/applicant filed his papers as a self-actor.  At the hearing of the matter, the applicant/appellant simply adhered to his papers, without further argument.</w:t>
      </w:r>
    </w:p>
    <w:p w:rsidR="00EC5396" w:rsidRDefault="00EC5396" w:rsidP="00C905B4">
      <w:pPr>
        <w:spacing w:line="360" w:lineRule="auto"/>
        <w:jc w:val="both"/>
        <w:rPr>
          <w:sz w:val="24"/>
          <w:szCs w:val="24"/>
        </w:rPr>
      </w:pPr>
      <w:r>
        <w:rPr>
          <w:sz w:val="24"/>
          <w:szCs w:val="24"/>
        </w:rPr>
        <w:tab/>
        <w:t>On procedural issues, which constitute the review application, the issues that arise can be summarised as follows:</w:t>
      </w:r>
    </w:p>
    <w:p w:rsidR="00EC5396" w:rsidRDefault="00EC5396" w:rsidP="00EC5396">
      <w:pPr>
        <w:pStyle w:val="ListParagraph"/>
        <w:numPr>
          <w:ilvl w:val="0"/>
          <w:numId w:val="1"/>
        </w:numPr>
        <w:spacing w:line="240" w:lineRule="auto"/>
        <w:jc w:val="both"/>
      </w:pPr>
      <w:r>
        <w:t>That the applicant was wrongly charged with theft.  He should have been charged with non-compliance with set procedures, in terms of PART B (3) of the Code of Conduct.</w:t>
      </w:r>
    </w:p>
    <w:p w:rsidR="00EC5396" w:rsidRDefault="00EC5396" w:rsidP="00EC5396">
      <w:pPr>
        <w:pStyle w:val="ListParagraph"/>
        <w:spacing w:line="240" w:lineRule="auto"/>
        <w:jc w:val="both"/>
      </w:pPr>
    </w:p>
    <w:p w:rsidR="00EC5396" w:rsidRDefault="00EC5396" w:rsidP="00EC5396">
      <w:pPr>
        <w:pStyle w:val="ListParagraph"/>
        <w:numPr>
          <w:ilvl w:val="0"/>
          <w:numId w:val="1"/>
        </w:numPr>
        <w:spacing w:line="240" w:lineRule="auto"/>
        <w:jc w:val="both"/>
      </w:pPr>
      <w:r>
        <w:t xml:space="preserve">That the Appeals Committee chairperson tampered with the minutes of the appeal hearing, </w:t>
      </w:r>
      <w:r w:rsidR="00B0155B">
        <w:t>making them suit</w:t>
      </w:r>
      <w:r>
        <w:t xml:space="preserve"> his decision.  In other words, the appeal record was fabricated.</w:t>
      </w:r>
    </w:p>
    <w:p w:rsidR="00EC5396" w:rsidRDefault="00EC5396" w:rsidP="00EC5396">
      <w:pPr>
        <w:pStyle w:val="ListParagraph"/>
      </w:pPr>
    </w:p>
    <w:p w:rsidR="00EC5396" w:rsidRDefault="00EC5396" w:rsidP="00EC5396">
      <w:pPr>
        <w:pStyle w:val="ListParagraph"/>
        <w:numPr>
          <w:ilvl w:val="0"/>
          <w:numId w:val="1"/>
        </w:numPr>
        <w:spacing w:line="240" w:lineRule="auto"/>
        <w:jc w:val="both"/>
      </w:pPr>
      <w:r>
        <w:t xml:space="preserve">The Appeals Committee </w:t>
      </w:r>
      <w:r w:rsidR="00B0155B">
        <w:t>ac</w:t>
      </w:r>
      <w:r>
        <w:t>ted unprocedurally by accepting new evidence.</w:t>
      </w:r>
    </w:p>
    <w:p w:rsidR="00EC5396" w:rsidRDefault="00EC5396" w:rsidP="00EC5396">
      <w:pPr>
        <w:pStyle w:val="ListParagraph"/>
      </w:pPr>
    </w:p>
    <w:p w:rsidR="00EC5396" w:rsidRDefault="00EC5396" w:rsidP="00EC5396">
      <w:pPr>
        <w:pStyle w:val="ListParagraph"/>
        <w:numPr>
          <w:ilvl w:val="0"/>
          <w:numId w:val="1"/>
        </w:numPr>
        <w:spacing w:line="240" w:lineRule="auto"/>
        <w:jc w:val="both"/>
      </w:pPr>
      <w:r>
        <w:t xml:space="preserve">That the applicant should have </w:t>
      </w:r>
      <w:r w:rsidR="002828D4">
        <w:t>been tried</w:t>
      </w:r>
      <w:r w:rsidR="00B0155B">
        <w:t xml:space="preserve"> by a c</w:t>
      </w:r>
      <w:r>
        <w:t xml:space="preserve">riminal court first </w:t>
      </w:r>
      <w:r w:rsidR="00B0155B">
        <w:t xml:space="preserve">before being subjected </w:t>
      </w:r>
      <w:r w:rsidR="000017A7">
        <w:t>to disciplinary proceed</w:t>
      </w:r>
      <w:r>
        <w:t>ings.</w:t>
      </w:r>
    </w:p>
    <w:p w:rsidR="00EC5396" w:rsidRDefault="00EC5396" w:rsidP="00EC5396">
      <w:pPr>
        <w:pStyle w:val="ListParagraph"/>
      </w:pPr>
    </w:p>
    <w:p w:rsidR="000017A7" w:rsidRDefault="000017A7" w:rsidP="00D17F01">
      <w:pPr>
        <w:pStyle w:val="ListParagraph"/>
        <w:spacing w:after="0" w:line="360" w:lineRule="auto"/>
        <w:jc w:val="both"/>
        <w:rPr>
          <w:sz w:val="24"/>
          <w:szCs w:val="24"/>
        </w:rPr>
      </w:pPr>
      <w:r w:rsidRPr="00DF0D76">
        <w:rPr>
          <w:sz w:val="24"/>
          <w:szCs w:val="24"/>
        </w:rPr>
        <w:t>On the issue of the appropriate charge, the applica</w:t>
      </w:r>
      <w:r w:rsidR="00D17F01">
        <w:rPr>
          <w:sz w:val="24"/>
          <w:szCs w:val="24"/>
        </w:rPr>
        <w:t xml:space="preserve">nt contends that his misconduct </w:t>
      </w:r>
    </w:p>
    <w:p w:rsidR="00D17F01" w:rsidRPr="00D17F01" w:rsidRDefault="00D17F01" w:rsidP="00D17F01">
      <w:pPr>
        <w:spacing w:after="0" w:line="360" w:lineRule="auto"/>
        <w:jc w:val="both"/>
        <w:rPr>
          <w:sz w:val="24"/>
          <w:szCs w:val="24"/>
        </w:rPr>
      </w:pPr>
      <w:r w:rsidRPr="00D17F01">
        <w:rPr>
          <w:sz w:val="24"/>
          <w:szCs w:val="24"/>
        </w:rPr>
        <w:t xml:space="preserve">consisted in the use of </w:t>
      </w:r>
      <w:r w:rsidR="00B0155B">
        <w:rPr>
          <w:sz w:val="24"/>
          <w:szCs w:val="24"/>
        </w:rPr>
        <w:t>two 30 litre</w:t>
      </w:r>
      <w:r w:rsidRPr="00D17F01">
        <w:rPr>
          <w:sz w:val="24"/>
          <w:szCs w:val="24"/>
        </w:rPr>
        <w:t xml:space="preserve"> containers, instead of one, to issue fuel.  If the procedure required him to use one container, then all he did was to violate that procedure and such violation should have been his misconduct.  Th</w:t>
      </w:r>
      <w:r w:rsidR="00B0155B">
        <w:rPr>
          <w:sz w:val="24"/>
          <w:szCs w:val="24"/>
        </w:rPr>
        <w:t>e employer improperly preferred</w:t>
      </w:r>
      <w:r w:rsidRPr="00D17F01">
        <w:rPr>
          <w:sz w:val="24"/>
          <w:szCs w:val="24"/>
        </w:rPr>
        <w:t xml:space="preserve"> theft charges.</w:t>
      </w:r>
    </w:p>
    <w:p w:rsidR="00DF0D76" w:rsidRPr="00DF0D76" w:rsidRDefault="00DF0D76" w:rsidP="000017A7">
      <w:pPr>
        <w:spacing w:after="0" w:line="360" w:lineRule="auto"/>
        <w:jc w:val="both"/>
        <w:rPr>
          <w:sz w:val="24"/>
          <w:szCs w:val="24"/>
        </w:rPr>
      </w:pPr>
      <w:r w:rsidRPr="00DF0D76">
        <w:rPr>
          <w:sz w:val="24"/>
          <w:szCs w:val="24"/>
        </w:rPr>
        <w:tab/>
        <w:t xml:space="preserve">The </w:t>
      </w:r>
      <w:r w:rsidR="00B0155B">
        <w:rPr>
          <w:sz w:val="24"/>
          <w:szCs w:val="24"/>
        </w:rPr>
        <w:t>respondent</w:t>
      </w:r>
      <w:r w:rsidRPr="00DF0D76">
        <w:rPr>
          <w:sz w:val="24"/>
          <w:szCs w:val="24"/>
        </w:rPr>
        <w:t>, on the other hand, con</w:t>
      </w:r>
      <w:r w:rsidR="00B0155B">
        <w:rPr>
          <w:sz w:val="24"/>
          <w:szCs w:val="24"/>
        </w:rPr>
        <w:t>tended</w:t>
      </w:r>
      <w:r w:rsidRPr="00DF0D76">
        <w:rPr>
          <w:sz w:val="24"/>
          <w:szCs w:val="24"/>
        </w:rPr>
        <w:t xml:space="preserve"> that the facts are very clear that the applicant stole fuel by a de</w:t>
      </w:r>
      <w:r w:rsidR="00B0155B">
        <w:rPr>
          <w:sz w:val="24"/>
          <w:szCs w:val="24"/>
        </w:rPr>
        <w:t>liberate over allocation.  On the facts</w:t>
      </w:r>
      <w:r w:rsidRPr="00DF0D76">
        <w:rPr>
          <w:sz w:val="24"/>
          <w:szCs w:val="24"/>
        </w:rPr>
        <w:t xml:space="preserve"> presented, the respondent was entitled to prefer a charge of theft.</w:t>
      </w:r>
    </w:p>
    <w:p w:rsidR="00DF0D76" w:rsidRDefault="00DF0D76" w:rsidP="000017A7">
      <w:pPr>
        <w:spacing w:after="0" w:line="360" w:lineRule="auto"/>
        <w:jc w:val="both"/>
        <w:rPr>
          <w:sz w:val="24"/>
          <w:szCs w:val="24"/>
        </w:rPr>
      </w:pPr>
      <w:r w:rsidRPr="00DF0D76">
        <w:rPr>
          <w:sz w:val="24"/>
          <w:szCs w:val="24"/>
        </w:rPr>
        <w:tab/>
        <w:t>In my view</w:t>
      </w:r>
      <w:r>
        <w:rPr>
          <w:sz w:val="24"/>
          <w:szCs w:val="24"/>
        </w:rPr>
        <w:t xml:space="preserve">, if the respondent viewed the facts as disclosing an offence of theft, nothing prevented it from </w:t>
      </w:r>
      <w:r w:rsidR="00B0155B">
        <w:rPr>
          <w:sz w:val="24"/>
          <w:szCs w:val="24"/>
        </w:rPr>
        <w:t xml:space="preserve">alleging </w:t>
      </w:r>
      <w:r w:rsidR="00D17F01">
        <w:rPr>
          <w:sz w:val="24"/>
          <w:szCs w:val="24"/>
        </w:rPr>
        <w:t xml:space="preserve">commission of that offence.  It is the employer </w:t>
      </w:r>
      <w:r w:rsidR="00B0155B">
        <w:rPr>
          <w:sz w:val="24"/>
          <w:szCs w:val="24"/>
        </w:rPr>
        <w:t xml:space="preserve">who sets the </w:t>
      </w:r>
      <w:r w:rsidR="00D17F01">
        <w:rPr>
          <w:sz w:val="24"/>
          <w:szCs w:val="24"/>
        </w:rPr>
        <w:t xml:space="preserve">standards by which its employees’ performance/behaviour </w:t>
      </w:r>
      <w:r w:rsidR="00B0155B">
        <w:rPr>
          <w:sz w:val="24"/>
          <w:szCs w:val="24"/>
        </w:rPr>
        <w:t>at work</w:t>
      </w:r>
      <w:r w:rsidR="00D17F01">
        <w:rPr>
          <w:sz w:val="24"/>
          <w:szCs w:val="24"/>
        </w:rPr>
        <w:t xml:space="preserve"> is to be judged, and </w:t>
      </w:r>
      <w:r w:rsidR="00D17F01">
        <w:rPr>
          <w:sz w:val="24"/>
          <w:szCs w:val="24"/>
        </w:rPr>
        <w:lastRenderedPageBreak/>
        <w:t xml:space="preserve">how infringement of such standards should be penalised.  In </w:t>
      </w:r>
      <w:r w:rsidR="00D17F01">
        <w:rPr>
          <w:i/>
          <w:sz w:val="24"/>
          <w:szCs w:val="24"/>
        </w:rPr>
        <w:t xml:space="preserve">County Fair Foods (Pvt) Ltd CCMA &amp; Others </w:t>
      </w:r>
      <w:r w:rsidR="00D17F01">
        <w:rPr>
          <w:sz w:val="24"/>
          <w:szCs w:val="24"/>
        </w:rPr>
        <w:t>(1999) 20 ILT 1701 LAC, the court stated:</w:t>
      </w:r>
    </w:p>
    <w:p w:rsidR="00D17F01" w:rsidRDefault="00B0155B" w:rsidP="00D17F01">
      <w:pPr>
        <w:spacing w:after="0" w:line="240" w:lineRule="auto"/>
        <w:ind w:left="1440"/>
        <w:jc w:val="both"/>
      </w:pPr>
      <w:r>
        <w:t>“It li</w:t>
      </w:r>
      <w:r w:rsidR="00D17F01">
        <w:t>es in the first place within the province of the employer to set the standard of conduct to be observed by its  employees and to determine the situation with which non-compliance will be visited, interference wherewith is only… in the case of unreasonableness and unfairness.”</w:t>
      </w:r>
    </w:p>
    <w:p w:rsidR="00D17F01" w:rsidRDefault="00D17F01" w:rsidP="00D17F01">
      <w:pPr>
        <w:spacing w:after="0" w:line="240" w:lineRule="auto"/>
        <w:ind w:left="1440"/>
        <w:jc w:val="both"/>
      </w:pPr>
    </w:p>
    <w:p w:rsidR="00D17F01" w:rsidRDefault="00D17F01" w:rsidP="00D17F01">
      <w:pPr>
        <w:spacing w:after="0" w:line="360" w:lineRule="auto"/>
        <w:jc w:val="both"/>
        <w:rPr>
          <w:sz w:val="24"/>
          <w:szCs w:val="24"/>
        </w:rPr>
      </w:pPr>
      <w:r>
        <w:tab/>
      </w:r>
      <w:r>
        <w:rPr>
          <w:sz w:val="24"/>
          <w:szCs w:val="24"/>
        </w:rPr>
        <w:t xml:space="preserve">In my view, where there is </w:t>
      </w:r>
      <w:r>
        <w:rPr>
          <w:i/>
          <w:sz w:val="24"/>
          <w:szCs w:val="24"/>
        </w:rPr>
        <w:t xml:space="preserve">prima facie </w:t>
      </w:r>
      <w:r>
        <w:rPr>
          <w:sz w:val="24"/>
          <w:szCs w:val="24"/>
        </w:rPr>
        <w:t>evidence of the commission of a particular offence or offences, on the facts given, it is the employer’s  prerogative as to what charge to prefer.</w:t>
      </w:r>
      <w:r w:rsidR="005E0FF3">
        <w:rPr>
          <w:sz w:val="24"/>
          <w:szCs w:val="24"/>
        </w:rPr>
        <w:t xml:space="preserve">  </w:t>
      </w:r>
    </w:p>
    <w:p w:rsidR="005E0FF3" w:rsidRDefault="005E0FF3" w:rsidP="00D17F01">
      <w:pPr>
        <w:spacing w:after="0" w:line="360" w:lineRule="auto"/>
        <w:jc w:val="both"/>
        <w:rPr>
          <w:sz w:val="24"/>
          <w:szCs w:val="24"/>
        </w:rPr>
      </w:pPr>
      <w:r>
        <w:rPr>
          <w:sz w:val="24"/>
          <w:szCs w:val="24"/>
        </w:rPr>
        <w:tab/>
        <w:t>The applicant averr</w:t>
      </w:r>
      <w:r w:rsidR="00B0155B">
        <w:rPr>
          <w:sz w:val="24"/>
          <w:szCs w:val="24"/>
        </w:rPr>
        <w:t>ed that the appeal record was ta</w:t>
      </w:r>
      <w:r>
        <w:rPr>
          <w:sz w:val="24"/>
          <w:szCs w:val="24"/>
        </w:rPr>
        <w:t>mpered with.  It was not a correct reflection of what transpired.</w:t>
      </w:r>
    </w:p>
    <w:p w:rsidR="005E0FF3" w:rsidRDefault="005E0FF3" w:rsidP="00D17F01">
      <w:pPr>
        <w:spacing w:after="0" w:line="360" w:lineRule="auto"/>
        <w:jc w:val="both"/>
        <w:rPr>
          <w:sz w:val="24"/>
          <w:szCs w:val="24"/>
        </w:rPr>
      </w:pPr>
      <w:r>
        <w:rPr>
          <w:sz w:val="24"/>
          <w:szCs w:val="24"/>
        </w:rPr>
        <w:tab/>
        <w:t xml:space="preserve">As pointed out by the respondent, this averment </w:t>
      </w:r>
      <w:r w:rsidR="00B0155B">
        <w:rPr>
          <w:sz w:val="24"/>
          <w:szCs w:val="24"/>
        </w:rPr>
        <w:t>lacks specificity.</w:t>
      </w:r>
      <w:r>
        <w:rPr>
          <w:sz w:val="24"/>
          <w:szCs w:val="24"/>
        </w:rPr>
        <w:t xml:space="preserve">  The applicant does not show</w:t>
      </w:r>
      <w:r w:rsidR="00287F02">
        <w:rPr>
          <w:sz w:val="24"/>
          <w:szCs w:val="24"/>
        </w:rPr>
        <w:t xml:space="preserve"> in what respects the appeal record was falsified to secure his conviction.  It is a </w:t>
      </w:r>
      <w:r w:rsidR="00B0155B">
        <w:rPr>
          <w:sz w:val="24"/>
          <w:szCs w:val="24"/>
        </w:rPr>
        <w:t xml:space="preserve">broad </w:t>
      </w:r>
      <w:r w:rsidR="00287F02">
        <w:rPr>
          <w:sz w:val="24"/>
          <w:szCs w:val="24"/>
        </w:rPr>
        <w:t>and general averment.  The respondent also pointed o</w:t>
      </w:r>
      <w:r w:rsidR="001827DF">
        <w:rPr>
          <w:sz w:val="24"/>
          <w:szCs w:val="24"/>
        </w:rPr>
        <w:t xml:space="preserve">ut that the allegations of </w:t>
      </w:r>
      <w:r w:rsidR="00E62D41">
        <w:rPr>
          <w:sz w:val="24"/>
          <w:szCs w:val="24"/>
        </w:rPr>
        <w:t>concoction</w:t>
      </w:r>
      <w:r w:rsidR="00287F02">
        <w:rPr>
          <w:sz w:val="24"/>
          <w:szCs w:val="24"/>
        </w:rPr>
        <w:t xml:space="preserve"> or falsification of the </w:t>
      </w:r>
      <w:r w:rsidR="00B0155B">
        <w:rPr>
          <w:sz w:val="24"/>
          <w:szCs w:val="24"/>
        </w:rPr>
        <w:t xml:space="preserve">record </w:t>
      </w:r>
      <w:r w:rsidR="00287F02">
        <w:rPr>
          <w:sz w:val="24"/>
          <w:szCs w:val="24"/>
        </w:rPr>
        <w:t xml:space="preserve">relate to the appeal record.  </w:t>
      </w:r>
      <w:r w:rsidR="001827DF">
        <w:rPr>
          <w:sz w:val="24"/>
          <w:szCs w:val="24"/>
        </w:rPr>
        <w:t>There is no</w:t>
      </w:r>
      <w:r w:rsidR="00287F02">
        <w:rPr>
          <w:sz w:val="24"/>
          <w:szCs w:val="24"/>
        </w:rPr>
        <w:t xml:space="preserve"> allegation </w:t>
      </w:r>
      <w:r w:rsidR="001827DF">
        <w:rPr>
          <w:sz w:val="24"/>
          <w:szCs w:val="24"/>
        </w:rPr>
        <w:t>that the initial record was also ta</w:t>
      </w:r>
      <w:r w:rsidR="00287F02">
        <w:rPr>
          <w:sz w:val="24"/>
          <w:szCs w:val="24"/>
        </w:rPr>
        <w:t>mpered with.</w:t>
      </w:r>
    </w:p>
    <w:p w:rsidR="00287F02" w:rsidRDefault="00287F02" w:rsidP="00D17F01">
      <w:pPr>
        <w:spacing w:after="0" w:line="360" w:lineRule="auto"/>
        <w:jc w:val="both"/>
        <w:rPr>
          <w:sz w:val="24"/>
          <w:szCs w:val="24"/>
        </w:rPr>
      </w:pPr>
      <w:r>
        <w:rPr>
          <w:sz w:val="24"/>
          <w:szCs w:val="24"/>
        </w:rPr>
        <w:tab/>
        <w:t>This is significant in that the applicant’s conviction</w:t>
      </w:r>
      <w:r w:rsidR="00EA6E61">
        <w:rPr>
          <w:sz w:val="24"/>
          <w:szCs w:val="24"/>
        </w:rPr>
        <w:t xml:space="preserve"> and penalty </w:t>
      </w:r>
      <w:r w:rsidR="001827DF">
        <w:rPr>
          <w:sz w:val="24"/>
          <w:szCs w:val="24"/>
        </w:rPr>
        <w:t>are based on the initial record</w:t>
      </w:r>
      <w:r w:rsidR="00EA6E61">
        <w:rPr>
          <w:sz w:val="24"/>
          <w:szCs w:val="24"/>
        </w:rPr>
        <w:t xml:space="preserve">.  </w:t>
      </w:r>
      <w:r w:rsidR="00BC7BC2">
        <w:rPr>
          <w:sz w:val="24"/>
          <w:szCs w:val="24"/>
        </w:rPr>
        <w:t>T</w:t>
      </w:r>
      <w:r w:rsidR="00EA6E61">
        <w:rPr>
          <w:sz w:val="24"/>
          <w:szCs w:val="24"/>
        </w:rPr>
        <w:t>he</w:t>
      </w:r>
      <w:r w:rsidR="001827DF">
        <w:rPr>
          <w:sz w:val="24"/>
          <w:szCs w:val="24"/>
        </w:rPr>
        <w:t xml:space="preserve"> A</w:t>
      </w:r>
      <w:r w:rsidR="00BC7BC2">
        <w:rPr>
          <w:sz w:val="24"/>
          <w:szCs w:val="24"/>
        </w:rPr>
        <w:t>ppeal</w:t>
      </w:r>
      <w:r w:rsidR="00E62D41">
        <w:rPr>
          <w:sz w:val="24"/>
          <w:szCs w:val="24"/>
        </w:rPr>
        <w:t>s</w:t>
      </w:r>
      <w:r w:rsidR="001827DF">
        <w:rPr>
          <w:sz w:val="24"/>
          <w:szCs w:val="24"/>
        </w:rPr>
        <w:t xml:space="preserve"> Committee </w:t>
      </w:r>
      <w:r w:rsidR="00BC7BC2">
        <w:rPr>
          <w:sz w:val="24"/>
          <w:szCs w:val="24"/>
        </w:rPr>
        <w:t xml:space="preserve">upheld the findings of the </w:t>
      </w:r>
      <w:r w:rsidR="001827DF">
        <w:rPr>
          <w:sz w:val="24"/>
          <w:szCs w:val="24"/>
        </w:rPr>
        <w:t>tribunal</w:t>
      </w:r>
      <w:r w:rsidR="00BC7BC2">
        <w:rPr>
          <w:sz w:val="24"/>
          <w:szCs w:val="24"/>
        </w:rPr>
        <w:t xml:space="preserve"> </w:t>
      </w:r>
      <w:r w:rsidR="00BC7BC2">
        <w:rPr>
          <w:i/>
          <w:sz w:val="24"/>
          <w:szCs w:val="24"/>
        </w:rPr>
        <w:t>a quo</w:t>
      </w:r>
      <w:r w:rsidR="00BC7BC2">
        <w:rPr>
          <w:sz w:val="24"/>
          <w:szCs w:val="24"/>
        </w:rPr>
        <w:t xml:space="preserve">.  The only difference that emerged was on the </w:t>
      </w:r>
      <w:r w:rsidR="001827DF">
        <w:rPr>
          <w:sz w:val="24"/>
          <w:szCs w:val="24"/>
        </w:rPr>
        <w:t>quantity</w:t>
      </w:r>
      <w:r w:rsidR="00BC7BC2">
        <w:rPr>
          <w:sz w:val="24"/>
          <w:szCs w:val="24"/>
        </w:rPr>
        <w:t xml:space="preserve"> of </w:t>
      </w:r>
      <w:r w:rsidR="001827DF">
        <w:rPr>
          <w:sz w:val="24"/>
          <w:szCs w:val="24"/>
        </w:rPr>
        <w:t xml:space="preserve">fuel, </w:t>
      </w:r>
      <w:r w:rsidR="00BC7BC2">
        <w:rPr>
          <w:sz w:val="24"/>
          <w:szCs w:val="24"/>
        </w:rPr>
        <w:t>10 litres instead of 15 litres.  The respondent expla</w:t>
      </w:r>
      <w:r w:rsidR="0026239C">
        <w:rPr>
          <w:sz w:val="24"/>
          <w:szCs w:val="24"/>
        </w:rPr>
        <w:t xml:space="preserve">ined that the </w:t>
      </w:r>
      <w:r w:rsidR="001827DF">
        <w:rPr>
          <w:sz w:val="24"/>
          <w:szCs w:val="24"/>
        </w:rPr>
        <w:t>discrepancy</w:t>
      </w:r>
      <w:r w:rsidR="0026239C">
        <w:rPr>
          <w:sz w:val="24"/>
          <w:szCs w:val="24"/>
        </w:rPr>
        <w:t xml:space="preserve"> was </w:t>
      </w:r>
      <w:r w:rsidR="001827DF">
        <w:rPr>
          <w:sz w:val="24"/>
          <w:szCs w:val="24"/>
        </w:rPr>
        <w:t>initially put at 15 litres</w:t>
      </w:r>
      <w:r w:rsidR="00E62D41">
        <w:rPr>
          <w:sz w:val="24"/>
          <w:szCs w:val="24"/>
        </w:rPr>
        <w:t>,</w:t>
      </w:r>
      <w:r w:rsidR="001827DF">
        <w:rPr>
          <w:sz w:val="24"/>
          <w:szCs w:val="24"/>
        </w:rPr>
        <w:t xml:space="preserve"> b</w:t>
      </w:r>
      <w:r w:rsidR="00BC7BC2">
        <w:rPr>
          <w:sz w:val="24"/>
          <w:szCs w:val="24"/>
        </w:rPr>
        <w:t xml:space="preserve">ut it later </w:t>
      </w:r>
      <w:r w:rsidR="001827DF">
        <w:rPr>
          <w:sz w:val="24"/>
          <w:szCs w:val="24"/>
        </w:rPr>
        <w:t>turned</w:t>
      </w:r>
      <w:r w:rsidR="00BC7BC2">
        <w:rPr>
          <w:sz w:val="24"/>
          <w:szCs w:val="24"/>
        </w:rPr>
        <w:t xml:space="preserve"> out to be 10 litres.  That is inconsequential, as far as </w:t>
      </w:r>
      <w:r w:rsidR="001827DF">
        <w:rPr>
          <w:sz w:val="24"/>
          <w:szCs w:val="24"/>
        </w:rPr>
        <w:t xml:space="preserve">liability </w:t>
      </w:r>
      <w:r w:rsidR="00BC7BC2">
        <w:rPr>
          <w:sz w:val="24"/>
          <w:szCs w:val="24"/>
        </w:rPr>
        <w:t xml:space="preserve">for the alleged theft is  </w:t>
      </w:r>
      <w:r w:rsidR="001827DF">
        <w:rPr>
          <w:sz w:val="24"/>
          <w:szCs w:val="24"/>
        </w:rPr>
        <w:t>concerned.</w:t>
      </w:r>
    </w:p>
    <w:p w:rsidR="00BC7BC2" w:rsidRDefault="00BC7BC2" w:rsidP="00D17F01">
      <w:pPr>
        <w:spacing w:after="0" w:line="360" w:lineRule="auto"/>
        <w:jc w:val="both"/>
        <w:rPr>
          <w:sz w:val="24"/>
          <w:szCs w:val="24"/>
        </w:rPr>
      </w:pPr>
      <w:r>
        <w:rPr>
          <w:sz w:val="24"/>
          <w:szCs w:val="24"/>
        </w:rPr>
        <w:tab/>
        <w:t xml:space="preserve">Thus, the allegations of </w:t>
      </w:r>
      <w:r w:rsidR="001827DF">
        <w:rPr>
          <w:sz w:val="24"/>
          <w:szCs w:val="24"/>
        </w:rPr>
        <w:t xml:space="preserve">doctoring </w:t>
      </w:r>
      <w:r>
        <w:rPr>
          <w:sz w:val="24"/>
          <w:szCs w:val="24"/>
        </w:rPr>
        <w:t>or falsification of the record of disciplinary procedures were unsubstantiated, and cannot be upheld as a ground for review.</w:t>
      </w:r>
    </w:p>
    <w:p w:rsidR="00BC7BC2" w:rsidRDefault="00BC7BC2" w:rsidP="00D17F01">
      <w:pPr>
        <w:spacing w:after="0" w:line="360" w:lineRule="auto"/>
        <w:jc w:val="both"/>
        <w:rPr>
          <w:sz w:val="24"/>
          <w:szCs w:val="24"/>
        </w:rPr>
      </w:pPr>
      <w:r>
        <w:rPr>
          <w:sz w:val="24"/>
          <w:szCs w:val="24"/>
        </w:rPr>
        <w:tab/>
        <w:t>Applicant averred that the Appeals Committee unprocedurally accepted new evidence</w:t>
      </w:r>
      <w:r w:rsidR="001827DF">
        <w:rPr>
          <w:sz w:val="24"/>
          <w:szCs w:val="24"/>
        </w:rPr>
        <w:t>.   F</w:t>
      </w:r>
      <w:r>
        <w:rPr>
          <w:sz w:val="24"/>
          <w:szCs w:val="24"/>
        </w:rPr>
        <w:t>rom the applicant’s papers</w:t>
      </w:r>
      <w:r w:rsidR="001827DF">
        <w:rPr>
          <w:sz w:val="24"/>
          <w:szCs w:val="24"/>
        </w:rPr>
        <w:t>,</w:t>
      </w:r>
      <w:r>
        <w:rPr>
          <w:sz w:val="24"/>
          <w:szCs w:val="24"/>
        </w:rPr>
        <w:t xml:space="preserve"> the new evidence was</w:t>
      </w:r>
      <w:r w:rsidR="001827DF">
        <w:rPr>
          <w:sz w:val="24"/>
          <w:szCs w:val="24"/>
        </w:rPr>
        <w:t>;</w:t>
      </w:r>
      <w:r>
        <w:rPr>
          <w:sz w:val="24"/>
          <w:szCs w:val="24"/>
        </w:rPr>
        <w:t xml:space="preserve"> </w:t>
      </w:r>
    </w:p>
    <w:p w:rsidR="00BC7BC2" w:rsidRDefault="00BC7BC2" w:rsidP="00BC7BC2">
      <w:pPr>
        <w:spacing w:after="0" w:line="240" w:lineRule="auto"/>
        <w:ind w:left="1440"/>
        <w:jc w:val="both"/>
        <w:rPr>
          <w:sz w:val="24"/>
          <w:szCs w:val="24"/>
        </w:rPr>
      </w:pPr>
      <w:r>
        <w:rPr>
          <w:sz w:val="24"/>
          <w:szCs w:val="24"/>
        </w:rPr>
        <w:t xml:space="preserve">“from Kundishona and Fete </w:t>
      </w:r>
      <w:r w:rsidR="001827DF">
        <w:rPr>
          <w:sz w:val="24"/>
          <w:szCs w:val="24"/>
        </w:rPr>
        <w:t>who</w:t>
      </w:r>
      <w:r>
        <w:rPr>
          <w:sz w:val="24"/>
          <w:szCs w:val="24"/>
        </w:rPr>
        <w:t xml:space="preserve"> alleged that applicant’s parents and one Abudu asked them not to provide adverse statements.”</w:t>
      </w:r>
    </w:p>
    <w:p w:rsidR="00BC7BC2" w:rsidRDefault="00BC7BC2" w:rsidP="00BC7BC2">
      <w:pPr>
        <w:spacing w:after="0" w:line="240" w:lineRule="auto"/>
        <w:jc w:val="both"/>
        <w:rPr>
          <w:sz w:val="24"/>
          <w:szCs w:val="24"/>
        </w:rPr>
      </w:pPr>
      <w:r>
        <w:rPr>
          <w:sz w:val="24"/>
          <w:szCs w:val="24"/>
        </w:rPr>
        <w:tab/>
      </w:r>
    </w:p>
    <w:p w:rsidR="00BC7BC2" w:rsidRDefault="00BC7BC2" w:rsidP="001810D4">
      <w:pPr>
        <w:spacing w:after="0" w:line="360" w:lineRule="auto"/>
        <w:jc w:val="both"/>
        <w:rPr>
          <w:sz w:val="24"/>
          <w:szCs w:val="24"/>
        </w:rPr>
      </w:pPr>
      <w:r>
        <w:rPr>
          <w:sz w:val="24"/>
          <w:szCs w:val="24"/>
        </w:rPr>
        <w:tab/>
        <w:t>The applicant does not demonstrate how this “new evidence” prejudiced him.  It was simply to the effect that subsequent to the initial</w:t>
      </w:r>
      <w:r w:rsidR="001810D4">
        <w:rPr>
          <w:sz w:val="24"/>
          <w:szCs w:val="24"/>
        </w:rPr>
        <w:t xml:space="preserve"> hearing, his </w:t>
      </w:r>
      <w:r w:rsidR="001827DF">
        <w:rPr>
          <w:sz w:val="24"/>
          <w:szCs w:val="24"/>
        </w:rPr>
        <w:t xml:space="preserve">parents </w:t>
      </w:r>
      <w:r w:rsidR="001810D4">
        <w:rPr>
          <w:sz w:val="24"/>
          <w:szCs w:val="24"/>
        </w:rPr>
        <w:t xml:space="preserve">allegedly tried to prevail upon the respondent’s key witness not to give evidence </w:t>
      </w:r>
      <w:r w:rsidR="001827DF">
        <w:rPr>
          <w:sz w:val="24"/>
          <w:szCs w:val="24"/>
        </w:rPr>
        <w:t>adverse</w:t>
      </w:r>
      <w:r w:rsidR="001810D4">
        <w:rPr>
          <w:sz w:val="24"/>
          <w:szCs w:val="24"/>
        </w:rPr>
        <w:t xml:space="preserve"> to him.  They tried to persuade them to retract from their </w:t>
      </w:r>
      <w:r w:rsidR="001827DF">
        <w:rPr>
          <w:sz w:val="24"/>
          <w:szCs w:val="24"/>
        </w:rPr>
        <w:t>incriminating</w:t>
      </w:r>
      <w:r w:rsidR="001810D4">
        <w:rPr>
          <w:sz w:val="24"/>
          <w:szCs w:val="24"/>
        </w:rPr>
        <w:t xml:space="preserve"> evidence, which was already on record.  </w:t>
      </w:r>
      <w:r w:rsidR="001810D4">
        <w:rPr>
          <w:sz w:val="24"/>
          <w:szCs w:val="24"/>
        </w:rPr>
        <w:lastRenderedPageBreak/>
        <w:t>There is nothing to show that the Appeal</w:t>
      </w:r>
      <w:r w:rsidR="00E62D41">
        <w:rPr>
          <w:sz w:val="24"/>
          <w:szCs w:val="24"/>
        </w:rPr>
        <w:t>s</w:t>
      </w:r>
      <w:r w:rsidR="001810D4">
        <w:rPr>
          <w:sz w:val="24"/>
          <w:szCs w:val="24"/>
        </w:rPr>
        <w:t xml:space="preserve"> Committee </w:t>
      </w:r>
      <w:r w:rsidR="001827DF">
        <w:rPr>
          <w:sz w:val="24"/>
          <w:szCs w:val="24"/>
        </w:rPr>
        <w:t xml:space="preserve">considered </w:t>
      </w:r>
      <w:r w:rsidR="001810D4">
        <w:rPr>
          <w:sz w:val="24"/>
          <w:szCs w:val="24"/>
        </w:rPr>
        <w:t>this “new evidence”, or was in any way influenced by it.</w:t>
      </w:r>
    </w:p>
    <w:p w:rsidR="0026239C" w:rsidRDefault="0026239C" w:rsidP="001810D4">
      <w:pPr>
        <w:spacing w:after="0" w:line="360" w:lineRule="auto"/>
        <w:jc w:val="both"/>
        <w:rPr>
          <w:sz w:val="24"/>
          <w:szCs w:val="24"/>
        </w:rPr>
      </w:pPr>
      <w:r>
        <w:rPr>
          <w:sz w:val="24"/>
          <w:szCs w:val="24"/>
        </w:rPr>
        <w:tab/>
        <w:t>The respondent submitted, correctly in my view, that the alleged procedural irregularities did not prejudice t</w:t>
      </w:r>
      <w:r w:rsidR="001827DF">
        <w:rPr>
          <w:sz w:val="24"/>
          <w:szCs w:val="24"/>
        </w:rPr>
        <w:t>he</w:t>
      </w:r>
      <w:r>
        <w:rPr>
          <w:sz w:val="24"/>
          <w:szCs w:val="24"/>
        </w:rPr>
        <w:t xml:space="preserve"> appellant/applicant.  In this regard, reference was made to the cases of </w:t>
      </w:r>
      <w:r>
        <w:rPr>
          <w:i/>
          <w:sz w:val="24"/>
          <w:szCs w:val="24"/>
        </w:rPr>
        <w:t xml:space="preserve">Air Zimbabwe (Pvt) Ltd </w:t>
      </w:r>
      <w:r>
        <w:rPr>
          <w:sz w:val="24"/>
          <w:szCs w:val="24"/>
        </w:rPr>
        <w:t xml:space="preserve">v </w:t>
      </w:r>
      <w:r>
        <w:rPr>
          <w:i/>
          <w:sz w:val="24"/>
          <w:szCs w:val="24"/>
        </w:rPr>
        <w:t xml:space="preserve">Chiku Mensa </w:t>
      </w:r>
      <w:r w:rsidR="001827DF">
        <w:rPr>
          <w:sz w:val="24"/>
          <w:szCs w:val="24"/>
        </w:rPr>
        <w:t>SC 89/04 &amp;</w:t>
      </w:r>
      <w:r>
        <w:rPr>
          <w:i/>
          <w:sz w:val="24"/>
          <w:szCs w:val="24"/>
        </w:rPr>
        <w:t xml:space="preserve"> Tendayi Mwenya </w:t>
      </w:r>
      <w:r>
        <w:rPr>
          <w:sz w:val="24"/>
          <w:szCs w:val="24"/>
        </w:rPr>
        <w:t xml:space="preserve">v </w:t>
      </w:r>
      <w:r>
        <w:rPr>
          <w:i/>
          <w:sz w:val="24"/>
          <w:szCs w:val="24"/>
        </w:rPr>
        <w:t xml:space="preserve">Standard Chartered Bank </w:t>
      </w:r>
      <w:r>
        <w:rPr>
          <w:sz w:val="24"/>
          <w:szCs w:val="24"/>
        </w:rPr>
        <w:t>SC 80/04.  In these cases it was pointed out that procedural issues should not necessar</w:t>
      </w:r>
      <w:r w:rsidR="001827DF">
        <w:rPr>
          <w:sz w:val="24"/>
          <w:szCs w:val="24"/>
        </w:rPr>
        <w:t>ily override or over</w:t>
      </w:r>
      <w:r>
        <w:rPr>
          <w:sz w:val="24"/>
          <w:szCs w:val="24"/>
        </w:rPr>
        <w:t>shadow substantive findings on the guilt of the employee concerned.</w:t>
      </w:r>
    </w:p>
    <w:p w:rsidR="0026239C" w:rsidRDefault="0026239C" w:rsidP="001810D4">
      <w:pPr>
        <w:spacing w:after="0" w:line="360" w:lineRule="auto"/>
        <w:jc w:val="both"/>
        <w:rPr>
          <w:sz w:val="24"/>
          <w:szCs w:val="24"/>
        </w:rPr>
      </w:pPr>
      <w:r>
        <w:rPr>
          <w:sz w:val="24"/>
          <w:szCs w:val="24"/>
        </w:rPr>
        <w:tab/>
        <w:t>Another issue that emerged from the applicant’s submissions was that the disciplinary hearing should have been preceded by criminal proceedings.  In response to this, the respondent averred, in paragraph 11 of its heads of argument;</w:t>
      </w:r>
    </w:p>
    <w:p w:rsidR="001810D4" w:rsidRDefault="0097676D" w:rsidP="0097676D">
      <w:pPr>
        <w:spacing w:after="0" w:line="240" w:lineRule="auto"/>
        <w:ind w:left="2160" w:hanging="720"/>
        <w:jc w:val="both"/>
      </w:pPr>
      <w:r>
        <w:t>“1.1</w:t>
      </w:r>
      <w:r>
        <w:tab/>
        <w:t xml:space="preserve">Another issue warranting comment is that though an employee’s misconduct is also potentially subject to criminal proceedings, the general rule is that disciplinary proceedings are distinct from criminal proceedings.  The fact that an act of misconduct is also </w:t>
      </w:r>
      <w:r w:rsidR="001827DF">
        <w:t>a criminal offence</w:t>
      </w:r>
      <w:r>
        <w:t xml:space="preserve"> does not preclude the employer from instituting a hearing.  See </w:t>
      </w:r>
      <w:r>
        <w:rPr>
          <w:i/>
        </w:rPr>
        <w:t xml:space="preserve">Zesa </w:t>
      </w:r>
      <w:r>
        <w:t xml:space="preserve">v </w:t>
      </w:r>
      <w:r>
        <w:rPr>
          <w:i/>
        </w:rPr>
        <w:t xml:space="preserve">Dera </w:t>
      </w:r>
      <w:r>
        <w:t xml:space="preserve">1998 (1) ZLR (S), </w:t>
      </w:r>
      <w:r>
        <w:rPr>
          <w:i/>
        </w:rPr>
        <w:t xml:space="preserve">Marine Centre (Pvt) Ltd </w:t>
      </w:r>
      <w:r>
        <w:t xml:space="preserve">v </w:t>
      </w:r>
      <w:r>
        <w:rPr>
          <w:i/>
        </w:rPr>
        <w:t xml:space="preserve">O’brian Chakwizira </w:t>
      </w:r>
      <w:r>
        <w:t xml:space="preserve">SC 27/05 &amp;  </w:t>
      </w:r>
      <w:r>
        <w:rPr>
          <w:i/>
        </w:rPr>
        <w:t xml:space="preserve">Financial Holdings </w:t>
      </w:r>
      <w:r>
        <w:t xml:space="preserve">v </w:t>
      </w:r>
      <w:r>
        <w:rPr>
          <w:i/>
        </w:rPr>
        <w:t xml:space="preserve">Mafunga </w:t>
      </w:r>
      <w:r w:rsidRPr="0097676D">
        <w:t>SC 45/05.</w:t>
      </w:r>
      <w:r w:rsidR="001827DF">
        <w:t>”</w:t>
      </w:r>
    </w:p>
    <w:p w:rsidR="00785632" w:rsidRDefault="00785632" w:rsidP="0097676D">
      <w:pPr>
        <w:spacing w:after="0" w:line="240" w:lineRule="auto"/>
        <w:ind w:left="2160" w:hanging="720"/>
        <w:jc w:val="both"/>
      </w:pPr>
    </w:p>
    <w:p w:rsidR="00785632" w:rsidRDefault="0097676D" w:rsidP="00785632">
      <w:pPr>
        <w:spacing w:after="0" w:line="360" w:lineRule="auto"/>
        <w:jc w:val="both"/>
        <w:rPr>
          <w:sz w:val="24"/>
          <w:szCs w:val="24"/>
        </w:rPr>
      </w:pPr>
      <w:r>
        <w:tab/>
      </w:r>
      <w:r>
        <w:rPr>
          <w:sz w:val="24"/>
          <w:szCs w:val="24"/>
        </w:rPr>
        <w:t>In the circumstances, the applicant</w:t>
      </w:r>
      <w:r w:rsidR="00785632">
        <w:rPr>
          <w:sz w:val="24"/>
          <w:szCs w:val="24"/>
        </w:rPr>
        <w:t xml:space="preserve">’s grounds for review are without merit and </w:t>
      </w:r>
      <w:r w:rsidR="001827DF">
        <w:rPr>
          <w:sz w:val="24"/>
          <w:szCs w:val="24"/>
        </w:rPr>
        <w:t>cannot</w:t>
      </w:r>
      <w:r w:rsidR="00785632">
        <w:rPr>
          <w:sz w:val="24"/>
          <w:szCs w:val="24"/>
        </w:rPr>
        <w:t xml:space="preserve"> be upheld.</w:t>
      </w:r>
    </w:p>
    <w:p w:rsidR="00785632" w:rsidRDefault="00785632" w:rsidP="00785632">
      <w:pPr>
        <w:spacing w:after="0" w:line="360" w:lineRule="auto"/>
        <w:jc w:val="both"/>
        <w:rPr>
          <w:sz w:val="24"/>
          <w:szCs w:val="24"/>
        </w:rPr>
      </w:pPr>
      <w:r>
        <w:rPr>
          <w:sz w:val="24"/>
          <w:szCs w:val="24"/>
        </w:rPr>
        <w:tab/>
        <w:t>Turning to the appeal</w:t>
      </w:r>
      <w:r w:rsidR="001827DF">
        <w:rPr>
          <w:sz w:val="24"/>
          <w:szCs w:val="24"/>
        </w:rPr>
        <w:t xml:space="preserve">, </w:t>
      </w:r>
      <w:r>
        <w:rPr>
          <w:sz w:val="24"/>
          <w:szCs w:val="24"/>
        </w:rPr>
        <w:t xml:space="preserve"> what basically comes out of the appellant’s submissions is an attack on the factual findings of the Disciplinary Committee</w:t>
      </w:r>
      <w:r w:rsidR="001827DF">
        <w:rPr>
          <w:sz w:val="24"/>
          <w:szCs w:val="24"/>
        </w:rPr>
        <w:t xml:space="preserve"> and the Appeal</w:t>
      </w:r>
      <w:r w:rsidR="00E62D41">
        <w:rPr>
          <w:sz w:val="24"/>
          <w:szCs w:val="24"/>
        </w:rPr>
        <w:t>s</w:t>
      </w:r>
      <w:r>
        <w:rPr>
          <w:sz w:val="24"/>
          <w:szCs w:val="24"/>
        </w:rPr>
        <w:t xml:space="preserve"> Committee which upheld such findings.  It is an attack on the credibility of the witnesses relied upon to convict the appellant.</w:t>
      </w:r>
    </w:p>
    <w:p w:rsidR="0097676D" w:rsidRDefault="00785632" w:rsidP="00785632">
      <w:pPr>
        <w:spacing w:after="0" w:line="360" w:lineRule="auto"/>
        <w:jc w:val="both"/>
        <w:rPr>
          <w:sz w:val="24"/>
          <w:szCs w:val="24"/>
        </w:rPr>
      </w:pPr>
      <w:r>
        <w:rPr>
          <w:sz w:val="24"/>
          <w:szCs w:val="24"/>
        </w:rPr>
        <w:tab/>
        <w:t xml:space="preserve">The gist or </w:t>
      </w:r>
      <w:r w:rsidR="001827DF">
        <w:rPr>
          <w:sz w:val="24"/>
          <w:szCs w:val="24"/>
        </w:rPr>
        <w:t>pith</w:t>
      </w:r>
      <w:r w:rsidR="000775C9">
        <w:rPr>
          <w:sz w:val="24"/>
          <w:szCs w:val="24"/>
        </w:rPr>
        <w:t xml:space="preserve"> </w:t>
      </w:r>
      <w:r>
        <w:rPr>
          <w:sz w:val="24"/>
          <w:szCs w:val="24"/>
        </w:rPr>
        <w:t xml:space="preserve">of the appellant’s  </w:t>
      </w:r>
      <w:r w:rsidR="001827DF">
        <w:rPr>
          <w:sz w:val="24"/>
          <w:szCs w:val="24"/>
        </w:rPr>
        <w:t>defence</w:t>
      </w:r>
      <w:r>
        <w:rPr>
          <w:sz w:val="24"/>
          <w:szCs w:val="24"/>
        </w:rPr>
        <w:t xml:space="preserve"> is that the theft allegation is a</w:t>
      </w:r>
      <w:r w:rsidR="00933C79">
        <w:rPr>
          <w:sz w:val="24"/>
          <w:szCs w:val="24"/>
        </w:rPr>
        <w:t xml:space="preserve"> complete fabrication.  It was actuated </w:t>
      </w:r>
      <w:r>
        <w:rPr>
          <w:sz w:val="24"/>
          <w:szCs w:val="24"/>
        </w:rPr>
        <w:t xml:space="preserve">by </w:t>
      </w:r>
      <w:r w:rsidR="00933C79">
        <w:rPr>
          <w:sz w:val="24"/>
          <w:szCs w:val="24"/>
        </w:rPr>
        <w:t>malice</w:t>
      </w:r>
      <w:r>
        <w:rPr>
          <w:sz w:val="24"/>
          <w:szCs w:val="24"/>
        </w:rPr>
        <w:t xml:space="preserve"> and </w:t>
      </w:r>
      <w:r w:rsidR="00933C79">
        <w:rPr>
          <w:sz w:val="24"/>
          <w:szCs w:val="24"/>
        </w:rPr>
        <w:t>vindictiveness</w:t>
      </w:r>
      <w:r>
        <w:rPr>
          <w:sz w:val="24"/>
          <w:szCs w:val="24"/>
        </w:rPr>
        <w:t xml:space="preserve"> on th</w:t>
      </w:r>
      <w:r w:rsidR="00227DE8">
        <w:rPr>
          <w:sz w:val="24"/>
          <w:szCs w:val="24"/>
        </w:rPr>
        <w:t>e</w:t>
      </w:r>
      <w:r w:rsidR="00933C79">
        <w:rPr>
          <w:sz w:val="24"/>
          <w:szCs w:val="24"/>
        </w:rPr>
        <w:t xml:space="preserve"> part of the</w:t>
      </w:r>
      <w:r w:rsidR="00227DE8">
        <w:rPr>
          <w:sz w:val="24"/>
          <w:szCs w:val="24"/>
        </w:rPr>
        <w:t xml:space="preserve"> respondent, </w:t>
      </w:r>
      <w:r w:rsidR="00933C79">
        <w:rPr>
          <w:sz w:val="24"/>
          <w:szCs w:val="24"/>
        </w:rPr>
        <w:t xml:space="preserve">who wanted </w:t>
      </w:r>
      <w:r>
        <w:rPr>
          <w:sz w:val="24"/>
          <w:szCs w:val="24"/>
        </w:rPr>
        <w:t xml:space="preserve">him out of his </w:t>
      </w:r>
      <w:r w:rsidR="002828D4">
        <w:rPr>
          <w:sz w:val="24"/>
          <w:szCs w:val="24"/>
        </w:rPr>
        <w:t>organisation</w:t>
      </w:r>
      <w:r w:rsidR="00933C79">
        <w:rPr>
          <w:sz w:val="24"/>
          <w:szCs w:val="24"/>
        </w:rPr>
        <w:t>.</w:t>
      </w:r>
      <w:r>
        <w:rPr>
          <w:sz w:val="24"/>
          <w:szCs w:val="24"/>
        </w:rPr>
        <w:t xml:space="preserve">  In this regard, appellant submitted, in paragraph 2.0 of his heads of argument;</w:t>
      </w:r>
    </w:p>
    <w:p w:rsidR="00785632" w:rsidRDefault="00785632" w:rsidP="00785632">
      <w:pPr>
        <w:spacing w:after="0" w:line="240" w:lineRule="auto"/>
        <w:ind w:left="1440"/>
        <w:jc w:val="both"/>
      </w:pPr>
      <w:r>
        <w:t>“It is the appellant’s submission that the alleged theft is a fabrication by management as they have always been hunting him in a bid to get rid of him…”</w:t>
      </w:r>
    </w:p>
    <w:p w:rsidR="00785632" w:rsidRPr="00785632" w:rsidRDefault="00785632" w:rsidP="00785632">
      <w:pPr>
        <w:spacing w:after="0" w:line="240" w:lineRule="auto"/>
        <w:jc w:val="both"/>
      </w:pPr>
      <w:r>
        <w:tab/>
      </w:r>
      <w:r>
        <w:tab/>
      </w:r>
    </w:p>
    <w:p w:rsidR="00785632" w:rsidRDefault="00785632" w:rsidP="00785632">
      <w:pPr>
        <w:spacing w:after="0" w:line="360" w:lineRule="auto"/>
        <w:jc w:val="both"/>
        <w:rPr>
          <w:sz w:val="24"/>
          <w:szCs w:val="24"/>
        </w:rPr>
      </w:pPr>
      <w:r>
        <w:rPr>
          <w:sz w:val="24"/>
          <w:szCs w:val="24"/>
        </w:rPr>
        <w:tab/>
        <w:t>The law is very clear on the approach to be adopted, when dealing with the factual findings of a lower tribunal.</w:t>
      </w:r>
    </w:p>
    <w:p w:rsidR="001D5251" w:rsidRDefault="00785632" w:rsidP="00785632">
      <w:pPr>
        <w:spacing w:after="0" w:line="360" w:lineRule="auto"/>
        <w:jc w:val="both"/>
        <w:rPr>
          <w:sz w:val="24"/>
          <w:szCs w:val="24"/>
        </w:rPr>
      </w:pPr>
      <w:r>
        <w:rPr>
          <w:sz w:val="24"/>
          <w:szCs w:val="24"/>
        </w:rPr>
        <w:lastRenderedPageBreak/>
        <w:tab/>
        <w:t xml:space="preserve">There must be gross or manifest misdirection or irregularity to warrant interference with the factual findings.  This has been emphasised in numerous cases, which include </w:t>
      </w:r>
      <w:r>
        <w:rPr>
          <w:i/>
          <w:sz w:val="24"/>
          <w:szCs w:val="24"/>
        </w:rPr>
        <w:t xml:space="preserve">Nyahondo </w:t>
      </w:r>
      <w:r>
        <w:rPr>
          <w:sz w:val="24"/>
          <w:szCs w:val="24"/>
        </w:rPr>
        <w:t xml:space="preserve">v </w:t>
      </w:r>
      <w:r>
        <w:rPr>
          <w:i/>
          <w:sz w:val="24"/>
          <w:szCs w:val="24"/>
        </w:rPr>
        <w:t xml:space="preserve">Hokonya &amp; Others </w:t>
      </w:r>
      <w:r>
        <w:rPr>
          <w:sz w:val="24"/>
          <w:szCs w:val="24"/>
        </w:rPr>
        <w:t>1997 (2) ZLR</w:t>
      </w:r>
      <w:r w:rsidR="00933C79">
        <w:rPr>
          <w:sz w:val="24"/>
          <w:szCs w:val="24"/>
        </w:rPr>
        <w:t xml:space="preserve"> 475, </w:t>
      </w:r>
      <w:r w:rsidR="00933C79">
        <w:rPr>
          <w:i/>
          <w:sz w:val="24"/>
          <w:szCs w:val="24"/>
        </w:rPr>
        <w:t>Borros</w:t>
      </w:r>
      <w:r>
        <w:rPr>
          <w:sz w:val="24"/>
          <w:szCs w:val="24"/>
        </w:rPr>
        <w:t xml:space="preserve"> &amp; </w:t>
      </w:r>
      <w:r w:rsidRPr="00785632">
        <w:rPr>
          <w:i/>
          <w:sz w:val="24"/>
          <w:szCs w:val="24"/>
        </w:rPr>
        <w:t>Ano</w:t>
      </w:r>
      <w:r w:rsidR="00112C9A">
        <w:rPr>
          <w:i/>
          <w:sz w:val="24"/>
          <w:szCs w:val="24"/>
        </w:rPr>
        <w:t>r</w:t>
      </w:r>
      <w:r>
        <w:rPr>
          <w:i/>
          <w:sz w:val="24"/>
          <w:szCs w:val="24"/>
        </w:rPr>
        <w:t xml:space="preserve"> </w:t>
      </w:r>
      <w:r>
        <w:rPr>
          <w:sz w:val="24"/>
          <w:szCs w:val="24"/>
        </w:rPr>
        <w:t xml:space="preserve">v </w:t>
      </w:r>
      <w:r w:rsidR="001D5251">
        <w:rPr>
          <w:i/>
          <w:sz w:val="24"/>
          <w:szCs w:val="24"/>
        </w:rPr>
        <w:t xml:space="preserve">Chimponda </w:t>
      </w:r>
      <w:r w:rsidR="001D5251">
        <w:rPr>
          <w:sz w:val="24"/>
          <w:szCs w:val="24"/>
        </w:rPr>
        <w:t xml:space="preserve">1999 (1) ZLR 58 (S), &amp; </w:t>
      </w:r>
      <w:r w:rsidR="001D5251">
        <w:rPr>
          <w:i/>
          <w:sz w:val="24"/>
          <w:szCs w:val="24"/>
        </w:rPr>
        <w:t xml:space="preserve">Christopher Samson </w:t>
      </w:r>
      <w:r w:rsidR="001D5251">
        <w:rPr>
          <w:sz w:val="24"/>
          <w:szCs w:val="24"/>
        </w:rPr>
        <w:t xml:space="preserve">v </w:t>
      </w:r>
      <w:r w:rsidR="001D5251">
        <w:rPr>
          <w:i/>
          <w:sz w:val="24"/>
          <w:szCs w:val="24"/>
        </w:rPr>
        <w:t xml:space="preserve">Windmill (Pvt) Ltd </w:t>
      </w:r>
      <w:r w:rsidR="001D5251">
        <w:rPr>
          <w:sz w:val="24"/>
          <w:szCs w:val="24"/>
        </w:rPr>
        <w:t>SC 7/15.</w:t>
      </w:r>
    </w:p>
    <w:p w:rsidR="001D5251" w:rsidRDefault="001D5251" w:rsidP="00785632">
      <w:pPr>
        <w:spacing w:after="0" w:line="360" w:lineRule="auto"/>
        <w:jc w:val="both"/>
        <w:rPr>
          <w:sz w:val="24"/>
          <w:szCs w:val="24"/>
        </w:rPr>
      </w:pPr>
      <w:r>
        <w:rPr>
          <w:sz w:val="24"/>
          <w:szCs w:val="24"/>
        </w:rPr>
        <w:tab/>
        <w:t xml:space="preserve">This approach was particularly emphasised in </w:t>
      </w:r>
      <w:r w:rsidRPr="001D5251">
        <w:rPr>
          <w:i/>
          <w:sz w:val="24"/>
          <w:szCs w:val="24"/>
        </w:rPr>
        <w:t>Christopher Samson</w:t>
      </w:r>
      <w:r>
        <w:rPr>
          <w:sz w:val="24"/>
          <w:szCs w:val="24"/>
        </w:rPr>
        <w:t xml:space="preserve"> </w:t>
      </w:r>
      <w:r>
        <w:rPr>
          <w:i/>
          <w:sz w:val="24"/>
          <w:szCs w:val="24"/>
        </w:rPr>
        <w:t xml:space="preserve">v </w:t>
      </w:r>
      <w:r w:rsidRPr="001D5251">
        <w:rPr>
          <w:i/>
          <w:sz w:val="24"/>
          <w:szCs w:val="24"/>
        </w:rPr>
        <w:t>Windmill,</w:t>
      </w:r>
      <w:r>
        <w:rPr>
          <w:sz w:val="24"/>
          <w:szCs w:val="24"/>
        </w:rPr>
        <w:t xml:space="preserve"> </w:t>
      </w:r>
      <w:r>
        <w:rPr>
          <w:i/>
          <w:sz w:val="24"/>
          <w:szCs w:val="24"/>
        </w:rPr>
        <w:t xml:space="preserve">supra </w:t>
      </w:r>
      <w:r>
        <w:rPr>
          <w:sz w:val="24"/>
          <w:szCs w:val="24"/>
        </w:rPr>
        <w:t xml:space="preserve">were </w:t>
      </w:r>
      <w:r>
        <w:t xml:space="preserve">GARWE </w:t>
      </w:r>
      <w:r>
        <w:rPr>
          <w:sz w:val="24"/>
          <w:szCs w:val="24"/>
        </w:rPr>
        <w:t>JA, at p 2 – 3 of the cyclostyled judgment, stated;</w:t>
      </w:r>
    </w:p>
    <w:p w:rsidR="00227DE8" w:rsidRDefault="00227DE8" w:rsidP="00227DE8">
      <w:pPr>
        <w:spacing w:after="0" w:line="240" w:lineRule="auto"/>
        <w:ind w:left="1440"/>
        <w:jc w:val="both"/>
      </w:pPr>
      <w:r>
        <w:t xml:space="preserve">“Before this court, the appellant attacks the finding of the court </w:t>
      </w:r>
      <w:r>
        <w:rPr>
          <w:i/>
        </w:rPr>
        <w:t>a quo</w:t>
      </w:r>
      <w:r>
        <w:t xml:space="preserve"> on the basis that the court grossly misdirected itself on the facts and consequently came to the wrong conclusion.  It is clear from the appellants’ grounds of appeal that, essentially, he is attacking the findings of fact made by the court </w:t>
      </w:r>
      <w:r>
        <w:rPr>
          <w:i/>
        </w:rPr>
        <w:t xml:space="preserve">a quo </w:t>
      </w:r>
      <w:r w:rsidRPr="00227DE8">
        <w:t>and, prior to that, by the disciplinary committee</w:t>
      </w:r>
      <w:r>
        <w:t>.</w:t>
      </w:r>
    </w:p>
    <w:p w:rsidR="00227DE8" w:rsidRDefault="00227DE8" w:rsidP="00227DE8">
      <w:pPr>
        <w:spacing w:after="0" w:line="240" w:lineRule="auto"/>
        <w:ind w:left="1440"/>
        <w:jc w:val="both"/>
      </w:pPr>
    </w:p>
    <w:p w:rsidR="00112C9A" w:rsidRDefault="00227DE8" w:rsidP="00227DE8">
      <w:pPr>
        <w:spacing w:after="0" w:line="240" w:lineRule="auto"/>
        <w:ind w:left="1440"/>
        <w:jc w:val="both"/>
      </w:pPr>
      <w:r>
        <w:t xml:space="preserve">The position is now 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  </w:t>
      </w:r>
      <w:r>
        <w:rPr>
          <w:i/>
        </w:rPr>
        <w:t>Barros</w:t>
      </w:r>
      <w:r w:rsidR="00112C9A">
        <w:rPr>
          <w:i/>
        </w:rPr>
        <w:t xml:space="preserve"> &amp; Anor </w:t>
      </w:r>
      <w:r w:rsidR="00112C9A">
        <w:t xml:space="preserve">v </w:t>
      </w:r>
      <w:r w:rsidR="00112C9A">
        <w:rPr>
          <w:i/>
        </w:rPr>
        <w:t xml:space="preserve">Chimponda </w:t>
      </w:r>
      <w:r w:rsidR="007A1B1C">
        <w:t>1999 (1)</w:t>
      </w:r>
      <w:r w:rsidR="00112C9A">
        <w:t xml:space="preserve"> ZLR 58 SC, </w:t>
      </w:r>
      <w:r w:rsidR="00112C9A">
        <w:rPr>
          <w:i/>
        </w:rPr>
        <w:t xml:space="preserve">Hama </w:t>
      </w:r>
      <w:r w:rsidR="00112C9A">
        <w:t xml:space="preserve">v </w:t>
      </w:r>
      <w:r w:rsidR="007A1B1C">
        <w:rPr>
          <w:i/>
        </w:rPr>
        <w:t>Nationa</w:t>
      </w:r>
      <w:r w:rsidR="00112C9A">
        <w:rPr>
          <w:i/>
        </w:rPr>
        <w:t xml:space="preserve">l Railways of Zimbabwe </w:t>
      </w:r>
      <w:r w:rsidR="00112C9A">
        <w:t>1996 (1) ZLR 664, 670D.</w:t>
      </w:r>
    </w:p>
    <w:p w:rsidR="00112C9A" w:rsidRDefault="00112C9A" w:rsidP="00227DE8">
      <w:pPr>
        <w:spacing w:after="0" w:line="240" w:lineRule="auto"/>
        <w:ind w:left="1440"/>
        <w:jc w:val="both"/>
      </w:pPr>
    </w:p>
    <w:p w:rsidR="00112C9A" w:rsidRDefault="00112C9A" w:rsidP="00112C9A">
      <w:pPr>
        <w:spacing w:after="0" w:line="240" w:lineRule="auto"/>
        <w:ind w:left="1440"/>
        <w:jc w:val="both"/>
      </w:pPr>
      <w:r w:rsidRPr="00112C9A">
        <w:t>The reason</w:t>
      </w:r>
      <w:r>
        <w:t xml:space="preserve"> for this approach is obvious. Faced with the same facts, reasonable people might reach different conclusions without any of them properly being labelled as unreasonable.  </w:t>
      </w:r>
      <w:r>
        <w:rPr>
          <w:i/>
        </w:rPr>
        <w:t xml:space="preserve">Computicket </w:t>
      </w:r>
      <w:r>
        <w:t xml:space="preserve">v </w:t>
      </w:r>
      <w:r>
        <w:rPr>
          <w:i/>
        </w:rPr>
        <w:t xml:space="preserve">Marcus N O &amp; Others </w:t>
      </w:r>
      <w:r>
        <w:t>(1999) 20 ILJ 342 LC, 346.”</w:t>
      </w:r>
      <w:r w:rsidR="001D5251" w:rsidRPr="00112C9A">
        <w:tab/>
      </w:r>
    </w:p>
    <w:p w:rsidR="00112C9A" w:rsidRDefault="00112C9A" w:rsidP="00112C9A">
      <w:pPr>
        <w:spacing w:after="0" w:line="240" w:lineRule="auto"/>
        <w:jc w:val="both"/>
      </w:pPr>
      <w:r>
        <w:tab/>
      </w:r>
    </w:p>
    <w:p w:rsidR="00112C9A" w:rsidRDefault="00112C9A" w:rsidP="00933C79">
      <w:pPr>
        <w:spacing w:after="0" w:line="360" w:lineRule="auto"/>
        <w:jc w:val="both"/>
        <w:rPr>
          <w:sz w:val="24"/>
          <w:szCs w:val="24"/>
        </w:rPr>
      </w:pPr>
      <w:r>
        <w:tab/>
      </w:r>
      <w:r>
        <w:rPr>
          <w:sz w:val="24"/>
          <w:szCs w:val="24"/>
        </w:rPr>
        <w:t xml:space="preserve">In the instant case, the Appeals Committee was clear in its findings </w:t>
      </w:r>
      <w:r w:rsidR="002828D4">
        <w:rPr>
          <w:sz w:val="24"/>
          <w:szCs w:val="24"/>
        </w:rPr>
        <w:t xml:space="preserve">when it </w:t>
      </w:r>
      <w:r>
        <w:rPr>
          <w:sz w:val="24"/>
          <w:szCs w:val="24"/>
        </w:rPr>
        <w:t>upheld the Disciplinary Committee’s decision.  The</w:t>
      </w:r>
      <w:r w:rsidR="008D31BE">
        <w:rPr>
          <w:sz w:val="24"/>
          <w:szCs w:val="24"/>
        </w:rPr>
        <w:t>s</w:t>
      </w:r>
      <w:r>
        <w:rPr>
          <w:sz w:val="24"/>
          <w:szCs w:val="24"/>
        </w:rPr>
        <w:t>e were summarised as:</w:t>
      </w:r>
    </w:p>
    <w:p w:rsidR="00D17F01" w:rsidRPr="00112C9A" w:rsidRDefault="001D5251" w:rsidP="00112C9A">
      <w:pPr>
        <w:spacing w:after="0" w:line="240" w:lineRule="auto"/>
        <w:jc w:val="both"/>
      </w:pPr>
      <w:r w:rsidRPr="00112C9A">
        <w:t xml:space="preserve">  </w:t>
      </w:r>
      <w:r w:rsidR="00785632" w:rsidRPr="00112C9A">
        <w:tab/>
      </w:r>
    </w:p>
    <w:p w:rsidR="007A1B1C" w:rsidRDefault="00112C9A" w:rsidP="007A1B1C">
      <w:pPr>
        <w:spacing w:line="240" w:lineRule="auto"/>
        <w:ind w:left="1440"/>
        <w:jc w:val="both"/>
      </w:pPr>
      <w:r>
        <w:t>“It was established that more than 30 litres of petrol w</w:t>
      </w:r>
      <w:r w:rsidR="00933C79">
        <w:t>as</w:t>
      </w:r>
      <w:r>
        <w:t xml:space="preserve"> issued to the school minib</w:t>
      </w:r>
      <w:r w:rsidR="007A1B1C">
        <w:t>us.  T</w:t>
      </w:r>
      <w:r>
        <w:t>he</w:t>
      </w:r>
      <w:r w:rsidR="007A1B1C">
        <w:t xml:space="preserve">re was no reason for Ganizani to use two 30 litres poly-cans to issue 30 litres of petrol.  Evidence indicated that he issued 40 litres but booked 30 litres.  Ganizani’s allegations that the security </w:t>
      </w:r>
      <w:r w:rsidR="002828D4">
        <w:t>guard on</w:t>
      </w:r>
      <w:r w:rsidR="007A1B1C">
        <w:t xml:space="preserve"> duty fabricated a case against him were immaterial because of the evidence against him by the leading witnesses.  The witness and the mini-bus fuel gauge reading were overwhelming evidence to convict him and the bribe issued by the mini-bus driver.”</w:t>
      </w:r>
    </w:p>
    <w:p w:rsidR="000471C9" w:rsidRDefault="007A1B1C" w:rsidP="000471C9">
      <w:pPr>
        <w:spacing w:line="360" w:lineRule="auto"/>
        <w:jc w:val="both"/>
        <w:rPr>
          <w:sz w:val="24"/>
          <w:szCs w:val="24"/>
        </w:rPr>
      </w:pPr>
      <w:r>
        <w:tab/>
      </w:r>
      <w:r>
        <w:rPr>
          <w:sz w:val="24"/>
          <w:szCs w:val="24"/>
        </w:rPr>
        <w:t>The conclusion reached by the Appeals Committee was,</w:t>
      </w:r>
      <w:r w:rsidR="000471C9">
        <w:rPr>
          <w:sz w:val="24"/>
          <w:szCs w:val="24"/>
        </w:rPr>
        <w:t xml:space="preserve"> in my view, well founded and consistent with the evidence on record.  It cannot be said to be a gross misdirection.  This court finds no basis on which to interfere with it.</w:t>
      </w:r>
    </w:p>
    <w:p w:rsidR="00933C79" w:rsidRDefault="00933C79" w:rsidP="000471C9">
      <w:pPr>
        <w:spacing w:line="360" w:lineRule="auto"/>
        <w:jc w:val="both"/>
        <w:rPr>
          <w:sz w:val="24"/>
          <w:szCs w:val="24"/>
        </w:rPr>
      </w:pPr>
    </w:p>
    <w:p w:rsidR="00933C79" w:rsidRDefault="000471C9" w:rsidP="000471C9">
      <w:pPr>
        <w:spacing w:line="360" w:lineRule="auto"/>
        <w:jc w:val="both"/>
        <w:rPr>
          <w:sz w:val="24"/>
          <w:szCs w:val="24"/>
        </w:rPr>
      </w:pPr>
      <w:r>
        <w:rPr>
          <w:sz w:val="24"/>
          <w:szCs w:val="24"/>
        </w:rPr>
        <w:tab/>
      </w:r>
    </w:p>
    <w:p w:rsidR="000471C9" w:rsidRPr="000471C9" w:rsidRDefault="000471C9" w:rsidP="00933C79">
      <w:pPr>
        <w:spacing w:line="360" w:lineRule="auto"/>
        <w:ind w:firstLine="720"/>
        <w:jc w:val="both"/>
        <w:rPr>
          <w:sz w:val="24"/>
          <w:szCs w:val="24"/>
        </w:rPr>
      </w:pPr>
      <w:r w:rsidRPr="000471C9">
        <w:rPr>
          <w:sz w:val="24"/>
          <w:szCs w:val="24"/>
        </w:rPr>
        <w:lastRenderedPageBreak/>
        <w:t>Having regard to the foregoing, it is ordered that;</w:t>
      </w:r>
    </w:p>
    <w:p w:rsidR="000471C9" w:rsidRPr="000471C9" w:rsidRDefault="000471C9" w:rsidP="000471C9">
      <w:pPr>
        <w:pStyle w:val="ListParagraph"/>
        <w:numPr>
          <w:ilvl w:val="0"/>
          <w:numId w:val="2"/>
        </w:numPr>
        <w:spacing w:line="360" w:lineRule="auto"/>
        <w:jc w:val="both"/>
        <w:rPr>
          <w:sz w:val="24"/>
          <w:szCs w:val="24"/>
        </w:rPr>
      </w:pPr>
      <w:r w:rsidRPr="000471C9">
        <w:rPr>
          <w:sz w:val="24"/>
          <w:szCs w:val="24"/>
        </w:rPr>
        <w:t>The appeal and review be and are hereby dismissed.</w:t>
      </w:r>
    </w:p>
    <w:p w:rsidR="000017A7" w:rsidRDefault="000471C9" w:rsidP="000471C9">
      <w:pPr>
        <w:pStyle w:val="ListParagraph"/>
        <w:numPr>
          <w:ilvl w:val="0"/>
          <w:numId w:val="2"/>
        </w:numPr>
        <w:spacing w:line="360" w:lineRule="auto"/>
        <w:jc w:val="both"/>
        <w:rPr>
          <w:sz w:val="24"/>
          <w:szCs w:val="24"/>
        </w:rPr>
      </w:pPr>
      <w:r w:rsidRPr="000471C9">
        <w:rPr>
          <w:sz w:val="24"/>
          <w:szCs w:val="24"/>
        </w:rPr>
        <w:t xml:space="preserve">The </w:t>
      </w:r>
      <w:r w:rsidR="00933C79">
        <w:rPr>
          <w:sz w:val="24"/>
          <w:szCs w:val="24"/>
        </w:rPr>
        <w:t>applicant/appellant</w:t>
      </w:r>
      <w:r w:rsidRPr="000471C9">
        <w:rPr>
          <w:sz w:val="24"/>
          <w:szCs w:val="24"/>
        </w:rPr>
        <w:t xml:space="preserve"> shall bear the </w:t>
      </w:r>
      <w:r w:rsidR="00933C79">
        <w:rPr>
          <w:sz w:val="24"/>
          <w:szCs w:val="24"/>
        </w:rPr>
        <w:t>respondent’</w:t>
      </w:r>
      <w:r w:rsidRPr="000471C9">
        <w:rPr>
          <w:sz w:val="24"/>
          <w:szCs w:val="24"/>
        </w:rPr>
        <w:t>s costs.</w:t>
      </w:r>
      <w:r w:rsidR="00112C9A" w:rsidRPr="000471C9">
        <w:rPr>
          <w:sz w:val="24"/>
          <w:szCs w:val="24"/>
        </w:rPr>
        <w:tab/>
      </w:r>
    </w:p>
    <w:p w:rsidR="000471C9" w:rsidRDefault="000471C9" w:rsidP="000471C9">
      <w:pPr>
        <w:spacing w:line="360" w:lineRule="auto"/>
        <w:jc w:val="both"/>
        <w:rPr>
          <w:i/>
        </w:rPr>
      </w:pPr>
    </w:p>
    <w:p w:rsidR="00933C79" w:rsidRDefault="00933C79" w:rsidP="000471C9">
      <w:pPr>
        <w:spacing w:line="360" w:lineRule="auto"/>
        <w:jc w:val="both"/>
        <w:rPr>
          <w:i/>
        </w:rPr>
      </w:pPr>
    </w:p>
    <w:p w:rsidR="000471C9" w:rsidRPr="000471C9" w:rsidRDefault="000471C9" w:rsidP="000471C9">
      <w:pPr>
        <w:spacing w:line="360" w:lineRule="auto"/>
        <w:jc w:val="both"/>
      </w:pPr>
      <w:r>
        <w:rPr>
          <w:i/>
        </w:rPr>
        <w:t xml:space="preserve">Kantor &amp; Immerman, </w:t>
      </w:r>
      <w:r>
        <w:t>respondent’s legal practitioners</w:t>
      </w:r>
    </w:p>
    <w:sectPr w:rsidR="000471C9" w:rsidRPr="000471C9" w:rsidSect="00EC539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49" w:rsidRDefault="002E4F49" w:rsidP="00EC5396">
      <w:pPr>
        <w:spacing w:after="0" w:line="240" w:lineRule="auto"/>
      </w:pPr>
      <w:r>
        <w:separator/>
      </w:r>
    </w:p>
  </w:endnote>
  <w:endnote w:type="continuationSeparator" w:id="0">
    <w:p w:rsidR="002E4F49" w:rsidRDefault="002E4F49" w:rsidP="00EC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283992"/>
      <w:docPartObj>
        <w:docPartGallery w:val="Page Numbers (Bottom of Page)"/>
        <w:docPartUnique/>
      </w:docPartObj>
    </w:sdtPr>
    <w:sdtEndPr>
      <w:rPr>
        <w:noProof/>
      </w:rPr>
    </w:sdtEndPr>
    <w:sdtContent>
      <w:p w:rsidR="00112C9A" w:rsidRDefault="00112C9A">
        <w:pPr>
          <w:pStyle w:val="Footer"/>
          <w:jc w:val="right"/>
        </w:pPr>
        <w:r>
          <w:fldChar w:fldCharType="begin"/>
        </w:r>
        <w:r>
          <w:instrText xml:space="preserve"> PAGE   \* MERGEFORMAT </w:instrText>
        </w:r>
        <w:r>
          <w:fldChar w:fldCharType="separate"/>
        </w:r>
        <w:r w:rsidR="00824618">
          <w:rPr>
            <w:noProof/>
          </w:rPr>
          <w:t>6</w:t>
        </w:r>
        <w:r>
          <w:rPr>
            <w:noProof/>
          </w:rPr>
          <w:fldChar w:fldCharType="end"/>
        </w:r>
      </w:p>
    </w:sdtContent>
  </w:sdt>
  <w:p w:rsidR="00112C9A" w:rsidRDefault="00112C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9A" w:rsidRDefault="00112C9A">
    <w:pPr>
      <w:pStyle w:val="Footer"/>
      <w:jc w:val="right"/>
    </w:pPr>
  </w:p>
  <w:p w:rsidR="00112C9A" w:rsidRDefault="00112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49" w:rsidRDefault="002E4F49" w:rsidP="00EC5396">
      <w:pPr>
        <w:spacing w:after="0" w:line="240" w:lineRule="auto"/>
      </w:pPr>
      <w:r>
        <w:separator/>
      </w:r>
    </w:p>
  </w:footnote>
  <w:footnote w:type="continuationSeparator" w:id="0">
    <w:p w:rsidR="002E4F49" w:rsidRDefault="002E4F49" w:rsidP="00EC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9A" w:rsidRDefault="00112C9A" w:rsidP="00EC5396">
    <w:pPr>
      <w:spacing w:line="360" w:lineRule="auto"/>
      <w:ind w:left="5040" w:firstLine="720"/>
      <w:jc w:val="both"/>
      <w:rPr>
        <w:b/>
        <w:sz w:val="24"/>
        <w:szCs w:val="24"/>
      </w:rPr>
    </w:pPr>
    <w:r>
      <w:rPr>
        <w:b/>
        <w:sz w:val="24"/>
        <w:szCs w:val="24"/>
      </w:rPr>
      <w:t>JUDGMENT NO LC/H/</w:t>
    </w:r>
    <w:r w:rsidR="00824618">
      <w:rPr>
        <w:b/>
        <w:sz w:val="24"/>
        <w:szCs w:val="24"/>
      </w:rPr>
      <w:t>31</w:t>
    </w:r>
    <w:r>
      <w:rPr>
        <w:b/>
        <w:sz w:val="24"/>
        <w:szCs w:val="24"/>
      </w:rPr>
      <w:t>/16</w:t>
    </w:r>
  </w:p>
  <w:p w:rsidR="00112C9A" w:rsidRDefault="00112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60B"/>
    <w:multiLevelType w:val="hybridMultilevel"/>
    <w:tmpl w:val="71007A64"/>
    <w:lvl w:ilvl="0" w:tplc="348C4292">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191A36"/>
    <w:multiLevelType w:val="hybridMultilevel"/>
    <w:tmpl w:val="2A545A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22"/>
    <w:rsid w:val="000017A7"/>
    <w:rsid w:val="00002B97"/>
    <w:rsid w:val="000471C9"/>
    <w:rsid w:val="000775C9"/>
    <w:rsid w:val="00112C9A"/>
    <w:rsid w:val="00143348"/>
    <w:rsid w:val="001810D4"/>
    <w:rsid w:val="001827DF"/>
    <w:rsid w:val="001D5251"/>
    <w:rsid w:val="001E7BE4"/>
    <w:rsid w:val="00227DE8"/>
    <w:rsid w:val="0026239C"/>
    <w:rsid w:val="002828D4"/>
    <w:rsid w:val="00287F02"/>
    <w:rsid w:val="002A183B"/>
    <w:rsid w:val="002E4F49"/>
    <w:rsid w:val="0032005C"/>
    <w:rsid w:val="0036273F"/>
    <w:rsid w:val="004704D7"/>
    <w:rsid w:val="004E1573"/>
    <w:rsid w:val="005E0FF3"/>
    <w:rsid w:val="005E4F5C"/>
    <w:rsid w:val="00611B7C"/>
    <w:rsid w:val="00742412"/>
    <w:rsid w:val="00785632"/>
    <w:rsid w:val="007A1B1C"/>
    <w:rsid w:val="00824618"/>
    <w:rsid w:val="008D31BE"/>
    <w:rsid w:val="00933C79"/>
    <w:rsid w:val="0097676D"/>
    <w:rsid w:val="00980AFF"/>
    <w:rsid w:val="00991A0A"/>
    <w:rsid w:val="00B0155B"/>
    <w:rsid w:val="00BA3B8A"/>
    <w:rsid w:val="00BC7BC2"/>
    <w:rsid w:val="00C905B4"/>
    <w:rsid w:val="00D17F01"/>
    <w:rsid w:val="00D679CE"/>
    <w:rsid w:val="00DA7AA2"/>
    <w:rsid w:val="00DF0D76"/>
    <w:rsid w:val="00E11922"/>
    <w:rsid w:val="00E208C0"/>
    <w:rsid w:val="00E62D41"/>
    <w:rsid w:val="00EA6E61"/>
    <w:rsid w:val="00EC5396"/>
    <w:rsid w:val="00ED464B"/>
    <w:rsid w:val="00F06B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396"/>
  </w:style>
  <w:style w:type="paragraph" w:styleId="Footer">
    <w:name w:val="footer"/>
    <w:basedOn w:val="Normal"/>
    <w:link w:val="FooterChar"/>
    <w:uiPriority w:val="99"/>
    <w:unhideWhenUsed/>
    <w:rsid w:val="00EC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396"/>
  </w:style>
  <w:style w:type="paragraph" w:styleId="ListParagraph">
    <w:name w:val="List Paragraph"/>
    <w:basedOn w:val="Normal"/>
    <w:uiPriority w:val="34"/>
    <w:qFormat/>
    <w:rsid w:val="00EC5396"/>
    <w:pPr>
      <w:ind w:left="720"/>
      <w:contextualSpacing/>
    </w:pPr>
  </w:style>
  <w:style w:type="paragraph" w:styleId="BalloonText">
    <w:name w:val="Balloon Text"/>
    <w:basedOn w:val="Normal"/>
    <w:link w:val="BalloonTextChar"/>
    <w:uiPriority w:val="99"/>
    <w:semiHidden/>
    <w:unhideWhenUsed/>
    <w:rsid w:val="00824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396"/>
  </w:style>
  <w:style w:type="paragraph" w:styleId="Footer">
    <w:name w:val="footer"/>
    <w:basedOn w:val="Normal"/>
    <w:link w:val="FooterChar"/>
    <w:uiPriority w:val="99"/>
    <w:unhideWhenUsed/>
    <w:rsid w:val="00EC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396"/>
  </w:style>
  <w:style w:type="paragraph" w:styleId="ListParagraph">
    <w:name w:val="List Paragraph"/>
    <w:basedOn w:val="Normal"/>
    <w:uiPriority w:val="34"/>
    <w:qFormat/>
    <w:rsid w:val="00EC5396"/>
    <w:pPr>
      <w:ind w:left="720"/>
      <w:contextualSpacing/>
    </w:pPr>
  </w:style>
  <w:style w:type="paragraph" w:styleId="BalloonText">
    <w:name w:val="Balloon Text"/>
    <w:basedOn w:val="Normal"/>
    <w:link w:val="BalloonTextChar"/>
    <w:uiPriority w:val="99"/>
    <w:semiHidden/>
    <w:unhideWhenUsed/>
    <w:rsid w:val="00824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17</cp:revision>
  <cp:lastPrinted>2016-01-20T13:27:00Z</cp:lastPrinted>
  <dcterms:created xsi:type="dcterms:W3CDTF">2016-01-12T08:56:00Z</dcterms:created>
  <dcterms:modified xsi:type="dcterms:W3CDTF">2016-01-20T13:27:00Z</dcterms:modified>
</cp:coreProperties>
</file>