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B5" w:rsidRDefault="002B12E9">
      <w:pPr>
        <w:rPr>
          <w:b/>
          <w:sz w:val="28"/>
          <w:szCs w:val="28"/>
        </w:rPr>
      </w:pPr>
      <w:bookmarkStart w:id="0" w:name="_GoBack"/>
      <w:bookmarkEnd w:id="0"/>
      <w:r>
        <w:rPr>
          <w:b/>
          <w:sz w:val="28"/>
          <w:szCs w:val="28"/>
        </w:rPr>
        <w:t>IN THE LABOUR COURT OF ZIMBABWE</w:t>
      </w:r>
      <w:r>
        <w:rPr>
          <w:b/>
          <w:sz w:val="28"/>
          <w:szCs w:val="28"/>
        </w:rPr>
        <w:tab/>
        <w:t xml:space="preserve">     JUDGMENT NO LC/H/159/13</w:t>
      </w:r>
    </w:p>
    <w:p w:rsidR="002B12E9" w:rsidRDefault="002B12E9">
      <w:pPr>
        <w:rPr>
          <w:b/>
          <w:sz w:val="28"/>
          <w:szCs w:val="28"/>
        </w:rPr>
      </w:pPr>
      <w:r>
        <w:rPr>
          <w:b/>
          <w:sz w:val="28"/>
          <w:szCs w:val="28"/>
        </w:rPr>
        <w:t>HELD AT HARARE 9</w:t>
      </w:r>
      <w:r w:rsidRPr="002B12E9">
        <w:rPr>
          <w:b/>
          <w:sz w:val="28"/>
          <w:szCs w:val="28"/>
          <w:vertAlign w:val="superscript"/>
        </w:rPr>
        <w:t>TH</w:t>
      </w:r>
      <w:r>
        <w:rPr>
          <w:b/>
          <w:sz w:val="28"/>
          <w:szCs w:val="28"/>
        </w:rPr>
        <w:t xml:space="preserve"> MAY 2013 </w:t>
      </w:r>
      <w:r>
        <w:rPr>
          <w:b/>
          <w:sz w:val="28"/>
          <w:szCs w:val="28"/>
        </w:rPr>
        <w:tab/>
      </w:r>
      <w:r>
        <w:rPr>
          <w:b/>
          <w:sz w:val="28"/>
          <w:szCs w:val="28"/>
        </w:rPr>
        <w:tab/>
        <w:t xml:space="preserve">     CASE NO LC/H/183/12</w:t>
      </w:r>
    </w:p>
    <w:p w:rsidR="002B12E9" w:rsidRDefault="002B12E9">
      <w:pPr>
        <w:rPr>
          <w:b/>
          <w:sz w:val="28"/>
          <w:szCs w:val="28"/>
        </w:rPr>
      </w:pPr>
    </w:p>
    <w:p w:rsidR="002B12E9" w:rsidRDefault="002B12E9" w:rsidP="002C3AAD">
      <w:pPr>
        <w:rPr>
          <w:b/>
          <w:sz w:val="28"/>
          <w:szCs w:val="28"/>
        </w:rPr>
      </w:pPr>
      <w:r>
        <w:rPr>
          <w:b/>
          <w:sz w:val="28"/>
          <w:szCs w:val="28"/>
        </w:rPr>
        <w:t>GABRIEL T MUBAYIRA</w:t>
      </w:r>
      <w:r>
        <w:rPr>
          <w:b/>
          <w:sz w:val="28"/>
          <w:szCs w:val="28"/>
        </w:rPr>
        <w:tab/>
      </w:r>
      <w:r>
        <w:rPr>
          <w:b/>
          <w:sz w:val="28"/>
          <w:szCs w:val="28"/>
        </w:rPr>
        <w:tab/>
      </w:r>
      <w:r>
        <w:rPr>
          <w:b/>
          <w:sz w:val="28"/>
          <w:szCs w:val="28"/>
        </w:rPr>
        <w:tab/>
      </w:r>
      <w:r>
        <w:rPr>
          <w:b/>
          <w:sz w:val="28"/>
          <w:szCs w:val="28"/>
        </w:rPr>
        <w:tab/>
      </w:r>
      <w:r>
        <w:rPr>
          <w:b/>
          <w:sz w:val="28"/>
          <w:szCs w:val="28"/>
        </w:rPr>
        <w:tab/>
        <w:t>Appellant</w:t>
      </w:r>
    </w:p>
    <w:p w:rsidR="002B12E9" w:rsidRDefault="002B12E9" w:rsidP="002B12E9">
      <w:pPr>
        <w:spacing w:after="0" w:line="360" w:lineRule="auto"/>
        <w:rPr>
          <w:b/>
          <w:sz w:val="28"/>
          <w:szCs w:val="28"/>
        </w:rPr>
      </w:pPr>
      <w:r>
        <w:rPr>
          <w:b/>
          <w:sz w:val="28"/>
          <w:szCs w:val="28"/>
        </w:rPr>
        <w:t>MINISTER OF TRASNPORT,</w:t>
      </w:r>
      <w:r>
        <w:rPr>
          <w:b/>
          <w:sz w:val="28"/>
          <w:szCs w:val="28"/>
        </w:rPr>
        <w:tab/>
      </w:r>
      <w:r>
        <w:rPr>
          <w:b/>
          <w:sz w:val="28"/>
          <w:szCs w:val="28"/>
        </w:rPr>
        <w:tab/>
      </w:r>
      <w:r>
        <w:rPr>
          <w:b/>
          <w:sz w:val="28"/>
          <w:szCs w:val="28"/>
        </w:rPr>
        <w:tab/>
      </w:r>
      <w:r>
        <w:rPr>
          <w:b/>
          <w:sz w:val="28"/>
          <w:szCs w:val="28"/>
        </w:rPr>
        <w:tab/>
        <w:t>Respondent</w:t>
      </w:r>
    </w:p>
    <w:p w:rsidR="002B12E9" w:rsidRDefault="002B12E9" w:rsidP="002B12E9">
      <w:pPr>
        <w:spacing w:after="0" w:line="360" w:lineRule="auto"/>
        <w:rPr>
          <w:b/>
          <w:sz w:val="28"/>
          <w:szCs w:val="28"/>
        </w:rPr>
      </w:pPr>
      <w:r>
        <w:rPr>
          <w:b/>
          <w:sz w:val="28"/>
          <w:szCs w:val="28"/>
        </w:rPr>
        <w:t>COMMUNICATION &amp; INFRASTRUCTURE</w:t>
      </w:r>
    </w:p>
    <w:p w:rsidR="002B12E9" w:rsidRDefault="002B12E9" w:rsidP="002B12E9">
      <w:pPr>
        <w:spacing w:after="0" w:line="360" w:lineRule="auto"/>
        <w:rPr>
          <w:b/>
          <w:sz w:val="28"/>
          <w:szCs w:val="28"/>
        </w:rPr>
      </w:pPr>
      <w:r>
        <w:rPr>
          <w:b/>
          <w:sz w:val="28"/>
          <w:szCs w:val="28"/>
        </w:rPr>
        <w:t>DEVELOPMENT</w:t>
      </w:r>
    </w:p>
    <w:p w:rsidR="002B12E9" w:rsidRDefault="002B12E9">
      <w:pPr>
        <w:rPr>
          <w:b/>
          <w:sz w:val="28"/>
          <w:szCs w:val="28"/>
        </w:rPr>
      </w:pPr>
    </w:p>
    <w:p w:rsidR="002B12E9" w:rsidRDefault="002B12E9">
      <w:pPr>
        <w:rPr>
          <w:sz w:val="28"/>
          <w:szCs w:val="28"/>
        </w:rPr>
      </w:pPr>
      <w:r>
        <w:rPr>
          <w:sz w:val="28"/>
          <w:szCs w:val="28"/>
        </w:rPr>
        <w:t>Before The Honourable G Musariri, President</w:t>
      </w:r>
    </w:p>
    <w:p w:rsidR="002B12E9" w:rsidRDefault="002B12E9">
      <w:pPr>
        <w:rPr>
          <w:b/>
          <w:sz w:val="28"/>
          <w:szCs w:val="28"/>
        </w:rPr>
      </w:pPr>
    </w:p>
    <w:p w:rsidR="002B12E9" w:rsidRDefault="002B12E9">
      <w:pPr>
        <w:rPr>
          <w:b/>
          <w:sz w:val="28"/>
          <w:szCs w:val="28"/>
        </w:rPr>
      </w:pPr>
      <w:r>
        <w:rPr>
          <w:b/>
          <w:sz w:val="28"/>
          <w:szCs w:val="28"/>
        </w:rPr>
        <w:t>For Appellant</w:t>
      </w:r>
      <w:r>
        <w:rPr>
          <w:b/>
          <w:sz w:val="28"/>
          <w:szCs w:val="28"/>
        </w:rPr>
        <w:tab/>
      </w:r>
      <w:r>
        <w:rPr>
          <w:b/>
          <w:sz w:val="28"/>
          <w:szCs w:val="28"/>
        </w:rPr>
        <w:tab/>
        <w:t xml:space="preserve">Mr G </w:t>
      </w:r>
      <w:proofErr w:type="spellStart"/>
      <w:r>
        <w:rPr>
          <w:b/>
          <w:sz w:val="28"/>
          <w:szCs w:val="28"/>
        </w:rPr>
        <w:t>Mubayira</w:t>
      </w:r>
      <w:proofErr w:type="spellEnd"/>
      <w:r>
        <w:rPr>
          <w:b/>
          <w:sz w:val="28"/>
          <w:szCs w:val="28"/>
        </w:rPr>
        <w:t>, Appellant</w:t>
      </w:r>
    </w:p>
    <w:p w:rsidR="002B12E9" w:rsidRDefault="002B12E9">
      <w:pPr>
        <w:rPr>
          <w:b/>
          <w:sz w:val="28"/>
          <w:szCs w:val="28"/>
        </w:rPr>
      </w:pPr>
      <w:r>
        <w:rPr>
          <w:b/>
          <w:sz w:val="28"/>
          <w:szCs w:val="28"/>
        </w:rPr>
        <w:t>For Respondent</w:t>
      </w:r>
      <w:r>
        <w:rPr>
          <w:b/>
          <w:sz w:val="28"/>
          <w:szCs w:val="28"/>
        </w:rPr>
        <w:tab/>
      </w:r>
      <w:r>
        <w:rPr>
          <w:b/>
          <w:sz w:val="28"/>
          <w:szCs w:val="28"/>
        </w:rPr>
        <w:tab/>
        <w:t xml:space="preserve">Mr C </w:t>
      </w:r>
      <w:proofErr w:type="spellStart"/>
      <w:r>
        <w:rPr>
          <w:b/>
          <w:sz w:val="28"/>
          <w:szCs w:val="28"/>
        </w:rPr>
        <w:t>Karinga</w:t>
      </w:r>
      <w:proofErr w:type="spellEnd"/>
      <w:r>
        <w:rPr>
          <w:b/>
          <w:sz w:val="28"/>
          <w:szCs w:val="28"/>
        </w:rPr>
        <w:t>, Officer</w:t>
      </w:r>
    </w:p>
    <w:p w:rsidR="002B12E9" w:rsidRDefault="002B12E9">
      <w:pPr>
        <w:rPr>
          <w:b/>
          <w:sz w:val="28"/>
          <w:szCs w:val="28"/>
        </w:rPr>
      </w:pPr>
    </w:p>
    <w:p w:rsidR="002B12E9" w:rsidRDefault="002B12E9">
      <w:pPr>
        <w:rPr>
          <w:b/>
          <w:sz w:val="28"/>
          <w:szCs w:val="28"/>
        </w:rPr>
      </w:pPr>
      <w:r>
        <w:rPr>
          <w:b/>
          <w:sz w:val="28"/>
          <w:szCs w:val="28"/>
        </w:rPr>
        <w:t>MUSARIRI, G:</w:t>
      </w:r>
    </w:p>
    <w:p w:rsidR="002B12E9" w:rsidRDefault="002B12E9">
      <w:pPr>
        <w:rPr>
          <w:b/>
          <w:sz w:val="28"/>
          <w:szCs w:val="28"/>
        </w:rPr>
      </w:pPr>
    </w:p>
    <w:p w:rsidR="002B12E9" w:rsidRDefault="002B12E9" w:rsidP="002C3AAD">
      <w:pPr>
        <w:spacing w:line="360" w:lineRule="auto"/>
        <w:rPr>
          <w:sz w:val="28"/>
          <w:szCs w:val="28"/>
        </w:rPr>
      </w:pPr>
      <w:r>
        <w:rPr>
          <w:sz w:val="28"/>
          <w:szCs w:val="28"/>
        </w:rPr>
        <w:t>Appellant appealed to this Court against his dismissal from employment by Respondent.</w:t>
      </w:r>
    </w:p>
    <w:p w:rsidR="002B12E9" w:rsidRDefault="002B12E9">
      <w:pPr>
        <w:rPr>
          <w:sz w:val="28"/>
          <w:szCs w:val="28"/>
        </w:rPr>
      </w:pPr>
      <w:r>
        <w:rPr>
          <w:sz w:val="28"/>
          <w:szCs w:val="28"/>
        </w:rPr>
        <w:t>His grounds of appeal complained that,</w:t>
      </w:r>
    </w:p>
    <w:p w:rsidR="002B12E9" w:rsidRDefault="002B12E9" w:rsidP="002C3AAD">
      <w:pPr>
        <w:spacing w:after="0" w:line="360" w:lineRule="auto"/>
        <w:ind w:left="720"/>
        <w:rPr>
          <w:i/>
          <w:sz w:val="28"/>
          <w:szCs w:val="28"/>
        </w:rPr>
      </w:pPr>
      <w:r>
        <w:rPr>
          <w:sz w:val="28"/>
          <w:szCs w:val="28"/>
        </w:rPr>
        <w:t xml:space="preserve">“1. </w:t>
      </w:r>
      <w:r>
        <w:rPr>
          <w:sz w:val="28"/>
          <w:szCs w:val="28"/>
        </w:rPr>
        <w:tab/>
        <w:t xml:space="preserve"> </w:t>
      </w:r>
      <w:r>
        <w:rPr>
          <w:i/>
          <w:sz w:val="28"/>
          <w:szCs w:val="28"/>
        </w:rPr>
        <w:t xml:space="preserve">The Appellant was not accorded a fair hearing at the work place </w:t>
      </w:r>
    </w:p>
    <w:p w:rsidR="002B12E9" w:rsidRDefault="002B12E9" w:rsidP="002C3AAD">
      <w:pPr>
        <w:spacing w:after="0" w:line="360" w:lineRule="auto"/>
        <w:ind w:left="1440"/>
        <w:rPr>
          <w:i/>
          <w:sz w:val="28"/>
          <w:szCs w:val="28"/>
        </w:rPr>
      </w:pPr>
      <w:proofErr w:type="gramStart"/>
      <w:r>
        <w:rPr>
          <w:i/>
          <w:sz w:val="28"/>
          <w:szCs w:val="28"/>
        </w:rPr>
        <w:t>and</w:t>
      </w:r>
      <w:proofErr w:type="gramEnd"/>
      <w:r>
        <w:rPr>
          <w:i/>
          <w:sz w:val="28"/>
          <w:szCs w:val="28"/>
        </w:rPr>
        <w:t xml:space="preserve"> in particular the Respondent refused/neglected to release key witnesses.</w:t>
      </w:r>
    </w:p>
    <w:p w:rsidR="002B12E9" w:rsidRDefault="002B12E9" w:rsidP="002C3AAD">
      <w:pPr>
        <w:spacing w:line="360" w:lineRule="auto"/>
        <w:ind w:left="1440"/>
        <w:rPr>
          <w:i/>
          <w:sz w:val="28"/>
          <w:szCs w:val="28"/>
        </w:rPr>
      </w:pPr>
      <w:r>
        <w:rPr>
          <w:i/>
          <w:sz w:val="28"/>
          <w:szCs w:val="28"/>
        </w:rPr>
        <w:t>The disciplinary proceedings were heavily, flawed and the principles of natural justice and fairness were not adhered to.</w:t>
      </w:r>
    </w:p>
    <w:p w:rsidR="00E616DF" w:rsidRDefault="00E616DF" w:rsidP="002B12E9">
      <w:pPr>
        <w:ind w:left="1440"/>
        <w:rPr>
          <w:i/>
          <w:sz w:val="28"/>
          <w:szCs w:val="28"/>
        </w:rPr>
      </w:pPr>
    </w:p>
    <w:p w:rsidR="00E616DF" w:rsidRDefault="00E616DF" w:rsidP="002B12E9">
      <w:pPr>
        <w:ind w:left="1440"/>
        <w:rPr>
          <w:i/>
          <w:sz w:val="28"/>
          <w:szCs w:val="28"/>
        </w:rPr>
      </w:pPr>
    </w:p>
    <w:p w:rsidR="002B12E9" w:rsidRDefault="002B12E9" w:rsidP="00892FB1">
      <w:pPr>
        <w:spacing w:after="0" w:line="360" w:lineRule="auto"/>
        <w:ind w:left="1440"/>
        <w:rPr>
          <w:i/>
          <w:sz w:val="28"/>
          <w:szCs w:val="28"/>
        </w:rPr>
      </w:pPr>
      <w:r>
        <w:rPr>
          <w:i/>
          <w:sz w:val="28"/>
          <w:szCs w:val="28"/>
        </w:rPr>
        <w:t>The Appellant did not receive adequate training and was not given proper induction.  The decision to dismiss the Appellant is too harsh in the circumstances.</w:t>
      </w:r>
    </w:p>
    <w:p w:rsidR="00892FB1" w:rsidRDefault="002C3AAD" w:rsidP="002C3AAD">
      <w:pPr>
        <w:spacing w:after="0" w:line="360" w:lineRule="auto"/>
        <w:ind w:left="1440" w:hanging="810"/>
        <w:rPr>
          <w:i/>
          <w:sz w:val="28"/>
          <w:szCs w:val="28"/>
        </w:rPr>
      </w:pPr>
      <w:r>
        <w:rPr>
          <w:i/>
          <w:sz w:val="28"/>
          <w:szCs w:val="28"/>
        </w:rPr>
        <w:t xml:space="preserve">   4)</w:t>
      </w:r>
      <w:r w:rsidR="00892FB1">
        <w:rPr>
          <w:i/>
          <w:sz w:val="28"/>
          <w:szCs w:val="28"/>
        </w:rPr>
        <w:tab/>
        <w:t>The Applicant (sic) was not afforded an opportunity to address the disciplinary committee in mitigation.”</w:t>
      </w:r>
    </w:p>
    <w:p w:rsidR="00892FB1" w:rsidRDefault="00892FB1" w:rsidP="00892FB1">
      <w:pPr>
        <w:spacing w:after="0" w:line="360" w:lineRule="auto"/>
        <w:rPr>
          <w:sz w:val="28"/>
          <w:szCs w:val="28"/>
        </w:rPr>
      </w:pPr>
      <w:r>
        <w:rPr>
          <w:sz w:val="28"/>
          <w:szCs w:val="28"/>
        </w:rPr>
        <w:t>Respondent filed a response through the Civil Division of the Attorney General’s Office.   It read thus,</w:t>
      </w:r>
    </w:p>
    <w:p w:rsidR="00892FB1" w:rsidRDefault="00892FB1" w:rsidP="00892FB1">
      <w:pPr>
        <w:spacing w:after="0" w:line="360" w:lineRule="auto"/>
        <w:ind w:left="1440" w:hanging="720"/>
        <w:rPr>
          <w:i/>
          <w:sz w:val="28"/>
          <w:szCs w:val="28"/>
        </w:rPr>
      </w:pPr>
      <w:r>
        <w:rPr>
          <w:i/>
          <w:sz w:val="28"/>
          <w:szCs w:val="28"/>
        </w:rPr>
        <w:t>“1.</w:t>
      </w:r>
      <w:r>
        <w:rPr>
          <w:i/>
          <w:sz w:val="28"/>
          <w:szCs w:val="28"/>
        </w:rPr>
        <w:tab/>
        <w:t>Applicant was accorded a fair hearing in terms of the Public Service Regulations 2000.  He was charged with misconduct and appeared before a Disciplinary Committee on 26 January 2012.  Furthermore, in the minute of notice of misconduct hearing dated 28 December 2011, he was advised of his right to call witnesses, which right he did not exercise.</w:t>
      </w:r>
    </w:p>
    <w:p w:rsidR="00892FB1" w:rsidRDefault="00892FB1" w:rsidP="00892FB1">
      <w:pPr>
        <w:spacing w:after="0" w:line="360" w:lineRule="auto"/>
        <w:ind w:left="1440" w:hanging="720"/>
        <w:rPr>
          <w:i/>
          <w:sz w:val="28"/>
          <w:szCs w:val="28"/>
        </w:rPr>
      </w:pPr>
      <w:r>
        <w:rPr>
          <w:i/>
          <w:sz w:val="28"/>
          <w:szCs w:val="28"/>
        </w:rPr>
        <w:t>2.</w:t>
      </w:r>
      <w:r>
        <w:rPr>
          <w:i/>
          <w:sz w:val="28"/>
          <w:szCs w:val="28"/>
        </w:rPr>
        <w:tab/>
      </w:r>
      <w:r w:rsidR="00E616DF">
        <w:rPr>
          <w:i/>
          <w:sz w:val="28"/>
          <w:szCs w:val="28"/>
        </w:rPr>
        <w:t>Appellant does not show how the disciplinary proceedings were flawed.  It is not clear also what principles of natural justice were not adhered.  Appellant was afforded an opportunity to be heard.</w:t>
      </w:r>
    </w:p>
    <w:p w:rsidR="00E616DF" w:rsidRDefault="00E616DF" w:rsidP="00E616DF">
      <w:pPr>
        <w:spacing w:after="0" w:line="360" w:lineRule="auto"/>
        <w:ind w:left="1440" w:hanging="720"/>
        <w:rPr>
          <w:i/>
          <w:sz w:val="28"/>
          <w:szCs w:val="28"/>
        </w:rPr>
      </w:pPr>
      <w:r>
        <w:rPr>
          <w:i/>
          <w:sz w:val="28"/>
          <w:szCs w:val="28"/>
        </w:rPr>
        <w:t>3.</w:t>
      </w:r>
      <w:r>
        <w:rPr>
          <w:i/>
          <w:sz w:val="28"/>
          <w:szCs w:val="28"/>
        </w:rPr>
        <w:tab/>
        <w:t>Appellant was given on the job training by the Depot Manager for 14 days before he assumed duty.  The penalty was appropriate in the circumstances.</w:t>
      </w:r>
    </w:p>
    <w:p w:rsidR="00E616DF" w:rsidRDefault="00E616DF" w:rsidP="00892FB1">
      <w:pPr>
        <w:spacing w:after="0" w:line="360" w:lineRule="auto"/>
        <w:ind w:left="1440" w:hanging="720"/>
        <w:rPr>
          <w:i/>
          <w:sz w:val="28"/>
          <w:szCs w:val="28"/>
        </w:rPr>
      </w:pPr>
      <w:r>
        <w:rPr>
          <w:i/>
          <w:sz w:val="28"/>
          <w:szCs w:val="28"/>
        </w:rPr>
        <w:t>4.</w:t>
      </w:r>
      <w:r>
        <w:rPr>
          <w:i/>
          <w:sz w:val="28"/>
          <w:szCs w:val="28"/>
        </w:rPr>
        <w:tab/>
        <w:t>Appellant, through his legal representatives exercised his right to mitigation.  A reading of the disciplinary hearing minutes reveals that mitigation was done.”</w:t>
      </w:r>
    </w:p>
    <w:p w:rsidR="00E616DF" w:rsidRDefault="00E616DF" w:rsidP="00E616DF">
      <w:pPr>
        <w:spacing w:after="0" w:line="360" w:lineRule="auto"/>
        <w:rPr>
          <w:sz w:val="28"/>
          <w:szCs w:val="28"/>
        </w:rPr>
      </w:pPr>
      <w:r>
        <w:rPr>
          <w:sz w:val="28"/>
          <w:szCs w:val="28"/>
        </w:rPr>
        <w:t xml:space="preserve">Appellant worked for Respondent as an Accounting Assistant at </w:t>
      </w:r>
      <w:proofErr w:type="spellStart"/>
      <w:r>
        <w:rPr>
          <w:sz w:val="28"/>
          <w:szCs w:val="28"/>
        </w:rPr>
        <w:t>Chirundu</w:t>
      </w:r>
      <w:proofErr w:type="spellEnd"/>
      <w:r>
        <w:rPr>
          <w:sz w:val="28"/>
          <w:szCs w:val="28"/>
        </w:rPr>
        <w:t xml:space="preserve"> Border Post.  He was responsible for the collection and receipting of revenue on behalf of the Government of Zimbabwe (GOZ).  Vehicles transiting through Zimbabwe were required to buy transit coupons.  The coupons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were </w:t>
      </w:r>
    </w:p>
    <w:p w:rsidR="00E616DF" w:rsidRDefault="00E616DF" w:rsidP="00E616DF">
      <w:pPr>
        <w:spacing w:after="0" w:line="360" w:lineRule="auto"/>
        <w:rPr>
          <w:sz w:val="28"/>
          <w:szCs w:val="28"/>
        </w:rPr>
      </w:pPr>
    </w:p>
    <w:p w:rsidR="00E616DF" w:rsidRDefault="00E616DF" w:rsidP="00E616DF">
      <w:pPr>
        <w:spacing w:after="0" w:line="360" w:lineRule="auto"/>
        <w:rPr>
          <w:sz w:val="28"/>
          <w:szCs w:val="28"/>
        </w:rPr>
      </w:pPr>
    </w:p>
    <w:p w:rsidR="00E616DF" w:rsidRDefault="00E616DF" w:rsidP="00E616DF">
      <w:pPr>
        <w:spacing w:after="0" w:line="360" w:lineRule="auto"/>
        <w:rPr>
          <w:sz w:val="28"/>
          <w:szCs w:val="28"/>
        </w:rPr>
      </w:pPr>
      <w:proofErr w:type="gramStart"/>
      <w:r>
        <w:rPr>
          <w:sz w:val="28"/>
          <w:szCs w:val="28"/>
        </w:rPr>
        <w:t>issued</w:t>
      </w:r>
      <w:proofErr w:type="gramEnd"/>
      <w:r>
        <w:rPr>
          <w:sz w:val="28"/>
          <w:szCs w:val="28"/>
        </w:rPr>
        <w:t xml:space="preserve"> on 6 October 2010.  Appellant re-stamped the coupons on 7 November 2010.  He stamped over the earlier date.  The coupons which had lapsed were thereby revived.</w:t>
      </w:r>
      <w:r w:rsidR="0084377B">
        <w:rPr>
          <w:sz w:val="28"/>
          <w:szCs w:val="28"/>
        </w:rPr>
        <w:t xml:space="preserve">  </w:t>
      </w:r>
      <w:proofErr w:type="gramStart"/>
      <w:r w:rsidR="0084377B">
        <w:rPr>
          <w:sz w:val="28"/>
          <w:szCs w:val="28"/>
        </w:rPr>
        <w:t>Hence the charge of falsifying documents or uttering same.</w:t>
      </w:r>
      <w:proofErr w:type="gramEnd"/>
    </w:p>
    <w:p w:rsidR="0084377B" w:rsidRDefault="0084377B" w:rsidP="00E616DF">
      <w:pPr>
        <w:spacing w:after="0" w:line="360" w:lineRule="auto"/>
        <w:rPr>
          <w:sz w:val="28"/>
          <w:szCs w:val="28"/>
        </w:rPr>
      </w:pPr>
    </w:p>
    <w:p w:rsidR="0084377B" w:rsidRDefault="0084377B" w:rsidP="00E616DF">
      <w:pPr>
        <w:spacing w:after="0" w:line="360" w:lineRule="auto"/>
        <w:rPr>
          <w:sz w:val="28"/>
          <w:szCs w:val="28"/>
        </w:rPr>
      </w:pPr>
      <w:r>
        <w:rPr>
          <w:sz w:val="28"/>
          <w:szCs w:val="28"/>
        </w:rPr>
        <w:t>The grounds of appeal do not deal with the evidence or proofs.  Rather they attack the proceedings and the penalty imposed.  As for procedure</w:t>
      </w:r>
      <w:proofErr w:type="gramStart"/>
      <w:r>
        <w:rPr>
          <w:sz w:val="28"/>
          <w:szCs w:val="28"/>
        </w:rPr>
        <w:t xml:space="preserve">, </w:t>
      </w:r>
      <w:r w:rsidR="009F7EB2">
        <w:rPr>
          <w:sz w:val="28"/>
          <w:szCs w:val="28"/>
        </w:rPr>
        <w:t xml:space="preserve"> </w:t>
      </w:r>
      <w:r>
        <w:rPr>
          <w:sz w:val="28"/>
          <w:szCs w:val="28"/>
        </w:rPr>
        <w:t>Appellant</w:t>
      </w:r>
      <w:proofErr w:type="gramEnd"/>
      <w:r>
        <w:rPr>
          <w:sz w:val="28"/>
          <w:szCs w:val="28"/>
        </w:rPr>
        <w:t xml:space="preserve"> himself chose the wrong procedure to challenge the alleged irregularities.  Such should be raised by way of </w:t>
      </w:r>
      <w:r w:rsidRPr="002C3AAD">
        <w:rPr>
          <w:sz w:val="28"/>
          <w:szCs w:val="28"/>
          <w:u w:val="single"/>
        </w:rPr>
        <w:t>review</w:t>
      </w:r>
      <w:r>
        <w:rPr>
          <w:sz w:val="28"/>
          <w:szCs w:val="28"/>
        </w:rPr>
        <w:t xml:space="preserve"> rather than appeal.  This disposes of the 1</w:t>
      </w:r>
      <w:r w:rsidRPr="0084377B">
        <w:rPr>
          <w:sz w:val="28"/>
          <w:szCs w:val="28"/>
          <w:vertAlign w:val="superscript"/>
        </w:rPr>
        <w:t>st</w:t>
      </w:r>
      <w:r>
        <w:rPr>
          <w:sz w:val="28"/>
          <w:szCs w:val="28"/>
        </w:rPr>
        <w:t>, 2</w:t>
      </w:r>
      <w:r w:rsidRPr="0084377B">
        <w:rPr>
          <w:sz w:val="28"/>
          <w:szCs w:val="28"/>
          <w:vertAlign w:val="superscript"/>
        </w:rPr>
        <w:t>nd</w:t>
      </w:r>
      <w:r>
        <w:rPr>
          <w:sz w:val="28"/>
          <w:szCs w:val="28"/>
        </w:rPr>
        <w:t xml:space="preserve"> and 4</w:t>
      </w:r>
      <w:r w:rsidRPr="0084377B">
        <w:rPr>
          <w:sz w:val="28"/>
          <w:szCs w:val="28"/>
          <w:vertAlign w:val="superscript"/>
        </w:rPr>
        <w:t>th</w:t>
      </w:r>
      <w:r>
        <w:rPr>
          <w:sz w:val="28"/>
          <w:szCs w:val="28"/>
        </w:rPr>
        <w:t xml:space="preserve"> grounds of appeal.  </w:t>
      </w:r>
      <w:r w:rsidR="002C3AAD">
        <w:rPr>
          <w:sz w:val="28"/>
          <w:szCs w:val="28"/>
        </w:rPr>
        <w:t>Respondent denied</w:t>
      </w:r>
      <w:r>
        <w:rPr>
          <w:sz w:val="28"/>
          <w:szCs w:val="28"/>
        </w:rPr>
        <w:t xml:space="preserve"> the alleged “im</w:t>
      </w:r>
      <w:r w:rsidR="002C3AAD">
        <w:rPr>
          <w:sz w:val="28"/>
          <w:szCs w:val="28"/>
        </w:rPr>
        <w:t xml:space="preserve">proper” or inadequate induction. </w:t>
      </w:r>
      <w:r>
        <w:rPr>
          <w:sz w:val="28"/>
          <w:szCs w:val="28"/>
        </w:rPr>
        <w:t xml:space="preserve"> In any event</w:t>
      </w:r>
      <w:r w:rsidR="009F7EB2">
        <w:rPr>
          <w:sz w:val="28"/>
          <w:szCs w:val="28"/>
        </w:rPr>
        <w:t xml:space="preserve"> an inadequate induction would not assist Appellant in this case.  He was charged with misconduct involving </w:t>
      </w:r>
      <w:r w:rsidR="009F7EB2">
        <w:rPr>
          <w:sz w:val="28"/>
          <w:szCs w:val="28"/>
          <w:u w:val="single"/>
        </w:rPr>
        <w:t>dishonesty</w:t>
      </w:r>
      <w:r w:rsidR="009F7EB2">
        <w:rPr>
          <w:sz w:val="28"/>
          <w:szCs w:val="28"/>
        </w:rPr>
        <w:t>.  Whether or not he was properly inducted does not make a material difference.  An employee, however inducted, has a fiduciary duty to conduct his employer’s business with honesty.  Appellant breached this duty and fraudulently revived transit</w:t>
      </w:r>
      <w:r w:rsidR="002C3AAD">
        <w:rPr>
          <w:sz w:val="28"/>
          <w:szCs w:val="28"/>
        </w:rPr>
        <w:t xml:space="preserve"> coupons</w:t>
      </w:r>
      <w:r w:rsidR="009F7EB2">
        <w:rPr>
          <w:sz w:val="28"/>
          <w:szCs w:val="28"/>
        </w:rPr>
        <w:t xml:space="preserve"> which had lapsed.  That was a gross act of misconduct.  Respondent was entitled to penalize such conduct with dismissal.</w:t>
      </w:r>
    </w:p>
    <w:p w:rsidR="009F7EB2" w:rsidRDefault="009F7EB2" w:rsidP="00E616DF">
      <w:pPr>
        <w:spacing w:after="0" w:line="360" w:lineRule="auto"/>
        <w:rPr>
          <w:sz w:val="28"/>
          <w:szCs w:val="28"/>
        </w:rPr>
      </w:pPr>
    </w:p>
    <w:p w:rsidR="009F7EB2" w:rsidRDefault="009F7EB2" w:rsidP="00E616DF">
      <w:pPr>
        <w:spacing w:after="0" w:line="360" w:lineRule="auto"/>
        <w:rPr>
          <w:sz w:val="28"/>
          <w:szCs w:val="28"/>
        </w:rPr>
      </w:pPr>
      <w:r>
        <w:rPr>
          <w:sz w:val="28"/>
          <w:szCs w:val="28"/>
        </w:rPr>
        <w:t>Wherefore it is ordered that,</w:t>
      </w:r>
    </w:p>
    <w:p w:rsidR="009F7EB2" w:rsidRDefault="009F7EB2" w:rsidP="009F7EB2">
      <w:pPr>
        <w:pStyle w:val="ListParagraph"/>
        <w:numPr>
          <w:ilvl w:val="0"/>
          <w:numId w:val="1"/>
        </w:numPr>
        <w:spacing w:after="0" w:line="360" w:lineRule="auto"/>
        <w:rPr>
          <w:sz w:val="28"/>
          <w:szCs w:val="28"/>
        </w:rPr>
      </w:pPr>
      <w:r>
        <w:rPr>
          <w:sz w:val="28"/>
          <w:szCs w:val="28"/>
        </w:rPr>
        <w:t xml:space="preserve"> The appeal is hereby dismissed; and</w:t>
      </w:r>
    </w:p>
    <w:p w:rsidR="009F7EB2" w:rsidRDefault="009F7EB2" w:rsidP="009F7EB2">
      <w:pPr>
        <w:pStyle w:val="ListParagraph"/>
        <w:numPr>
          <w:ilvl w:val="0"/>
          <w:numId w:val="1"/>
        </w:numPr>
        <w:spacing w:after="0" w:line="360" w:lineRule="auto"/>
        <w:rPr>
          <w:sz w:val="28"/>
          <w:szCs w:val="28"/>
        </w:rPr>
      </w:pPr>
      <w:r>
        <w:rPr>
          <w:sz w:val="28"/>
          <w:szCs w:val="28"/>
        </w:rPr>
        <w:t>Each party shall bear its own costs.</w:t>
      </w:r>
    </w:p>
    <w:p w:rsidR="009F7EB2" w:rsidRDefault="009F7EB2" w:rsidP="009F7EB2">
      <w:pPr>
        <w:spacing w:after="0" w:line="360" w:lineRule="auto"/>
        <w:rPr>
          <w:sz w:val="28"/>
          <w:szCs w:val="28"/>
        </w:rPr>
      </w:pPr>
    </w:p>
    <w:p w:rsidR="009F7EB2" w:rsidRDefault="009F7EB2" w:rsidP="009F7EB2">
      <w:pPr>
        <w:spacing w:after="0" w:line="360" w:lineRule="auto"/>
        <w:ind w:left="5760"/>
        <w:rPr>
          <w:b/>
          <w:sz w:val="28"/>
          <w:szCs w:val="28"/>
        </w:rPr>
      </w:pPr>
      <w:r>
        <w:rPr>
          <w:b/>
          <w:sz w:val="28"/>
          <w:szCs w:val="28"/>
        </w:rPr>
        <w:t>G. MUSARIRI</w:t>
      </w:r>
    </w:p>
    <w:p w:rsidR="009F7EB2" w:rsidRPr="009F7EB2" w:rsidRDefault="009F7EB2" w:rsidP="009F7EB2">
      <w:pPr>
        <w:spacing w:after="0" w:line="360" w:lineRule="auto"/>
        <w:ind w:left="5760"/>
        <w:rPr>
          <w:b/>
          <w:sz w:val="28"/>
          <w:szCs w:val="28"/>
          <w:u w:val="single"/>
        </w:rPr>
      </w:pPr>
      <w:r>
        <w:rPr>
          <w:b/>
          <w:sz w:val="28"/>
          <w:szCs w:val="28"/>
          <w:u w:val="single"/>
        </w:rPr>
        <w:t>PRESIDENT</w:t>
      </w:r>
    </w:p>
    <w:p w:rsidR="009F7EB2" w:rsidRDefault="009F7EB2" w:rsidP="009F7EB2">
      <w:pPr>
        <w:spacing w:after="0" w:line="360" w:lineRule="auto"/>
        <w:rPr>
          <w:sz w:val="28"/>
          <w:szCs w:val="28"/>
        </w:rPr>
      </w:pPr>
    </w:p>
    <w:sectPr w:rsidR="009F7EB2" w:rsidSect="002B12E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E62" w:rsidRDefault="00F52E62" w:rsidP="002B12E9">
      <w:pPr>
        <w:spacing w:after="0" w:line="240" w:lineRule="auto"/>
      </w:pPr>
      <w:r>
        <w:separator/>
      </w:r>
    </w:p>
  </w:endnote>
  <w:endnote w:type="continuationSeparator" w:id="0">
    <w:p w:rsidR="00F52E62" w:rsidRDefault="00F52E62" w:rsidP="002B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988106"/>
      <w:docPartObj>
        <w:docPartGallery w:val="Page Numbers (Bottom of Page)"/>
        <w:docPartUnique/>
      </w:docPartObj>
    </w:sdtPr>
    <w:sdtEndPr>
      <w:rPr>
        <w:noProof/>
      </w:rPr>
    </w:sdtEndPr>
    <w:sdtContent>
      <w:p w:rsidR="00E616DF" w:rsidRDefault="00E616DF">
        <w:pPr>
          <w:pStyle w:val="Footer"/>
          <w:jc w:val="right"/>
        </w:pPr>
        <w:r>
          <w:fldChar w:fldCharType="begin"/>
        </w:r>
        <w:r>
          <w:instrText xml:space="preserve"> PAGE   \* MERGEFORMAT </w:instrText>
        </w:r>
        <w:r>
          <w:fldChar w:fldCharType="separate"/>
        </w:r>
        <w:r w:rsidR="00B34B4C">
          <w:rPr>
            <w:noProof/>
          </w:rPr>
          <w:t>3</w:t>
        </w:r>
        <w:r>
          <w:rPr>
            <w:noProof/>
          </w:rPr>
          <w:fldChar w:fldCharType="end"/>
        </w:r>
      </w:p>
    </w:sdtContent>
  </w:sdt>
  <w:p w:rsidR="00E616DF" w:rsidRDefault="00E61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E62" w:rsidRDefault="00F52E62" w:rsidP="002B12E9">
      <w:pPr>
        <w:spacing w:after="0" w:line="240" w:lineRule="auto"/>
      </w:pPr>
      <w:r>
        <w:separator/>
      </w:r>
    </w:p>
  </w:footnote>
  <w:footnote w:type="continuationSeparator" w:id="0">
    <w:p w:rsidR="00F52E62" w:rsidRDefault="00F52E62" w:rsidP="002B1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DF" w:rsidRDefault="00E616DF" w:rsidP="002B12E9">
    <w:pPr>
      <w:ind w:left="4320" w:firstLine="720"/>
      <w:rPr>
        <w:b/>
        <w:sz w:val="28"/>
        <w:szCs w:val="28"/>
      </w:rPr>
    </w:pPr>
    <w:r>
      <w:rPr>
        <w:b/>
        <w:sz w:val="28"/>
        <w:szCs w:val="28"/>
      </w:rPr>
      <w:t>JUDGMENT NO LC/H/159/13</w:t>
    </w:r>
  </w:p>
  <w:p w:rsidR="00E616DF" w:rsidRPr="002B12E9" w:rsidRDefault="00E616DF" w:rsidP="002B1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3745E"/>
    <w:multiLevelType w:val="hybridMultilevel"/>
    <w:tmpl w:val="055268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E9"/>
    <w:rsid w:val="000006B5"/>
    <w:rsid w:val="00132FBF"/>
    <w:rsid w:val="002B12E9"/>
    <w:rsid w:val="002C3AAD"/>
    <w:rsid w:val="0084377B"/>
    <w:rsid w:val="00892FB1"/>
    <w:rsid w:val="00940D31"/>
    <w:rsid w:val="009F7EB2"/>
    <w:rsid w:val="00B34B4C"/>
    <w:rsid w:val="00C213A9"/>
    <w:rsid w:val="00D57B71"/>
    <w:rsid w:val="00DC255D"/>
    <w:rsid w:val="00E616DF"/>
    <w:rsid w:val="00F52E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2E9"/>
  </w:style>
  <w:style w:type="paragraph" w:styleId="Footer">
    <w:name w:val="footer"/>
    <w:basedOn w:val="Normal"/>
    <w:link w:val="FooterChar"/>
    <w:uiPriority w:val="99"/>
    <w:unhideWhenUsed/>
    <w:rsid w:val="002B1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2E9"/>
  </w:style>
  <w:style w:type="paragraph" w:styleId="ListParagraph">
    <w:name w:val="List Paragraph"/>
    <w:basedOn w:val="Normal"/>
    <w:uiPriority w:val="34"/>
    <w:qFormat/>
    <w:rsid w:val="009F7EB2"/>
    <w:pPr>
      <w:ind w:left="720"/>
      <w:contextualSpacing/>
    </w:pPr>
  </w:style>
  <w:style w:type="paragraph" w:styleId="BalloonText">
    <w:name w:val="Balloon Text"/>
    <w:basedOn w:val="Normal"/>
    <w:link w:val="BalloonTextChar"/>
    <w:uiPriority w:val="99"/>
    <w:semiHidden/>
    <w:unhideWhenUsed/>
    <w:rsid w:val="00B34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2E9"/>
  </w:style>
  <w:style w:type="paragraph" w:styleId="Footer">
    <w:name w:val="footer"/>
    <w:basedOn w:val="Normal"/>
    <w:link w:val="FooterChar"/>
    <w:uiPriority w:val="99"/>
    <w:unhideWhenUsed/>
    <w:rsid w:val="002B1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2E9"/>
  </w:style>
  <w:style w:type="paragraph" w:styleId="ListParagraph">
    <w:name w:val="List Paragraph"/>
    <w:basedOn w:val="Normal"/>
    <w:uiPriority w:val="34"/>
    <w:qFormat/>
    <w:rsid w:val="009F7EB2"/>
    <w:pPr>
      <w:ind w:left="720"/>
      <w:contextualSpacing/>
    </w:pPr>
  </w:style>
  <w:style w:type="paragraph" w:styleId="BalloonText">
    <w:name w:val="Balloon Text"/>
    <w:basedOn w:val="Normal"/>
    <w:link w:val="BalloonTextChar"/>
    <w:uiPriority w:val="99"/>
    <w:semiHidden/>
    <w:unhideWhenUsed/>
    <w:rsid w:val="00B34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cp:lastPrinted>2013-05-20T09:20:00Z</cp:lastPrinted>
  <dcterms:created xsi:type="dcterms:W3CDTF">2013-05-15T13:15:00Z</dcterms:created>
  <dcterms:modified xsi:type="dcterms:W3CDTF">2013-05-20T09:33:00Z</dcterms:modified>
</cp:coreProperties>
</file>