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CF" w:rsidRDefault="002538CF" w:rsidP="002538C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603BCC">
        <w:rPr>
          <w:b/>
          <w:sz w:val="22"/>
          <w:szCs w:val="22"/>
        </w:rPr>
        <w:t>799</w:t>
      </w:r>
      <w:r>
        <w:rPr>
          <w:b/>
          <w:sz w:val="22"/>
          <w:szCs w:val="22"/>
        </w:rPr>
        <w:t>/2016</w:t>
      </w:r>
    </w:p>
    <w:p w:rsidR="002538CF" w:rsidRDefault="002538CF" w:rsidP="002538CF">
      <w:pPr>
        <w:spacing w:line="360" w:lineRule="auto"/>
        <w:jc w:val="both"/>
        <w:rPr>
          <w:b/>
          <w:sz w:val="22"/>
          <w:szCs w:val="22"/>
        </w:rPr>
      </w:pPr>
    </w:p>
    <w:p w:rsidR="002538CF" w:rsidRDefault="002538CF" w:rsidP="002538C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15 NOVEMBER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16D10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CASE NO. LC/H/</w:t>
      </w:r>
      <w:r w:rsidR="00216D10">
        <w:rPr>
          <w:b/>
          <w:sz w:val="22"/>
          <w:szCs w:val="22"/>
        </w:rPr>
        <w:t>409/16</w:t>
      </w:r>
    </w:p>
    <w:p w:rsidR="002538CF" w:rsidRDefault="002538CF" w:rsidP="002538C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603BCC">
        <w:rPr>
          <w:b/>
          <w:sz w:val="22"/>
          <w:szCs w:val="22"/>
        </w:rPr>
        <w:t xml:space="preserve">16 DECEMBER </w:t>
      </w:r>
      <w:r>
        <w:rPr>
          <w:b/>
          <w:sz w:val="22"/>
          <w:szCs w:val="22"/>
        </w:rPr>
        <w:t>2016</w:t>
      </w:r>
    </w:p>
    <w:p w:rsidR="002538CF" w:rsidRDefault="002538CF" w:rsidP="002538CF">
      <w:pPr>
        <w:spacing w:line="360" w:lineRule="auto"/>
        <w:jc w:val="both"/>
        <w:rPr>
          <w:b/>
          <w:sz w:val="22"/>
          <w:szCs w:val="22"/>
        </w:rPr>
      </w:pPr>
    </w:p>
    <w:p w:rsidR="002538CF" w:rsidRDefault="002538CF" w:rsidP="002538CF">
      <w:pPr>
        <w:spacing w:line="360" w:lineRule="auto"/>
        <w:jc w:val="both"/>
      </w:pPr>
      <w:bookmarkStart w:id="0" w:name="_GoBack"/>
      <w:bookmarkEnd w:id="0"/>
    </w:p>
    <w:p w:rsidR="002538CF" w:rsidRDefault="00326B52" w:rsidP="008E78AF">
      <w:pPr>
        <w:spacing w:line="480" w:lineRule="auto"/>
        <w:jc w:val="both"/>
        <w:rPr>
          <w:b/>
        </w:rPr>
      </w:pPr>
      <w:r>
        <w:rPr>
          <w:b/>
        </w:rPr>
        <w:t>G. CHAYAMBUKA &amp; 52 OTHERS</w:t>
      </w:r>
      <w:r>
        <w:rPr>
          <w:b/>
        </w:rPr>
        <w:tab/>
      </w:r>
      <w:r>
        <w:rPr>
          <w:b/>
        </w:rPr>
        <w:tab/>
      </w:r>
      <w:r w:rsidR="00216D10">
        <w:rPr>
          <w:b/>
        </w:rPr>
        <w:tab/>
      </w:r>
      <w:r w:rsidR="00216D10">
        <w:rPr>
          <w:b/>
        </w:rPr>
        <w:tab/>
      </w:r>
      <w:r w:rsidR="002538CF">
        <w:rPr>
          <w:b/>
        </w:rPr>
        <w:t>Appellant</w:t>
      </w:r>
      <w:r w:rsidR="00216D10">
        <w:rPr>
          <w:b/>
        </w:rPr>
        <w:t>s</w:t>
      </w:r>
    </w:p>
    <w:p w:rsidR="002538CF" w:rsidRDefault="002538CF" w:rsidP="008E78AF">
      <w:pPr>
        <w:spacing w:line="480" w:lineRule="auto"/>
        <w:jc w:val="both"/>
        <w:rPr>
          <w:b/>
        </w:rPr>
      </w:pPr>
    </w:p>
    <w:p w:rsidR="002538CF" w:rsidRDefault="00326B52" w:rsidP="008E78AF">
      <w:pPr>
        <w:spacing w:line="480" w:lineRule="auto"/>
        <w:jc w:val="both"/>
        <w:rPr>
          <w:b/>
        </w:rPr>
      </w:pPr>
      <w:r>
        <w:rPr>
          <w:b/>
        </w:rPr>
        <w:t>LUTHERAN DEVELOPMENT SERVICES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538CF">
        <w:rPr>
          <w:b/>
        </w:rPr>
        <w:t xml:space="preserve">Respondent </w:t>
      </w:r>
      <w:r w:rsidR="002538CF">
        <w:rPr>
          <w:b/>
        </w:rPr>
        <w:tab/>
      </w:r>
    </w:p>
    <w:p w:rsidR="002538CF" w:rsidRDefault="002538CF" w:rsidP="002538CF">
      <w:pPr>
        <w:spacing w:line="360" w:lineRule="auto"/>
        <w:jc w:val="both"/>
        <w:rPr>
          <w:b/>
        </w:rPr>
      </w:pPr>
    </w:p>
    <w:p w:rsidR="002538CF" w:rsidRDefault="002538CF" w:rsidP="002538CF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2538CF" w:rsidRDefault="002538CF" w:rsidP="002538CF">
      <w:pPr>
        <w:spacing w:line="360" w:lineRule="auto"/>
        <w:jc w:val="both"/>
      </w:pPr>
    </w:p>
    <w:p w:rsidR="002538CF" w:rsidRDefault="002538CF" w:rsidP="002538CF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="00326B52">
        <w:rPr>
          <w:b/>
        </w:rPr>
        <w:t>s</w:t>
      </w:r>
      <w:r w:rsidR="00326B52">
        <w:rPr>
          <w:b/>
        </w:rPr>
        <w:tab/>
      </w:r>
      <w:r w:rsidR="00326B52">
        <w:rPr>
          <w:b/>
        </w:rPr>
        <w:tab/>
        <w:t>Mr S. Dube, Unionist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2538CF" w:rsidRDefault="002538CF" w:rsidP="002538CF">
      <w:pPr>
        <w:jc w:val="both"/>
        <w:rPr>
          <w:b/>
        </w:rPr>
      </w:pPr>
      <w:r>
        <w:rPr>
          <w:b/>
        </w:rPr>
        <w:tab/>
      </w:r>
    </w:p>
    <w:p w:rsidR="002538CF" w:rsidRDefault="002538CF" w:rsidP="002538CF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 w:rsidR="00326B52">
        <w:rPr>
          <w:b/>
        </w:rPr>
        <w:tab/>
      </w:r>
      <w:r w:rsidR="00326B52">
        <w:rPr>
          <w:b/>
        </w:rPr>
        <w:tab/>
        <w:t>Mr G. Makings, Attorney</w:t>
      </w:r>
      <w:r>
        <w:rPr>
          <w:b/>
        </w:rPr>
        <w:tab/>
      </w:r>
      <w:r>
        <w:rPr>
          <w:b/>
        </w:rPr>
        <w:tab/>
      </w:r>
    </w:p>
    <w:p w:rsidR="002538CF" w:rsidRDefault="002538CF" w:rsidP="002538CF">
      <w:pPr>
        <w:spacing w:line="360" w:lineRule="auto"/>
        <w:jc w:val="both"/>
        <w:rPr>
          <w:b/>
          <w:sz w:val="28"/>
          <w:szCs w:val="28"/>
        </w:rPr>
      </w:pPr>
    </w:p>
    <w:p w:rsidR="002538CF" w:rsidRDefault="002538CF" w:rsidP="002538CF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2538CF" w:rsidRDefault="002538CF" w:rsidP="002538CF"/>
    <w:p w:rsidR="00B8197B" w:rsidRDefault="00B8197B" w:rsidP="001315B7">
      <w:pPr>
        <w:jc w:val="both"/>
      </w:pPr>
    </w:p>
    <w:p w:rsidR="003C30E5" w:rsidRDefault="00FE72A3" w:rsidP="003C30E5">
      <w:pPr>
        <w:spacing w:line="360" w:lineRule="auto"/>
        <w:jc w:val="both"/>
      </w:pPr>
      <w:r>
        <w:t>On 22</w:t>
      </w:r>
      <w:r w:rsidRPr="00FE72A3">
        <w:rPr>
          <w:vertAlign w:val="superscript"/>
        </w:rPr>
        <w:t>nd</w:t>
      </w:r>
      <w:r>
        <w:t xml:space="preserve"> June 2015 at Harare Arbitrator N.K. Nhimba issued an arbitration award.  He dismissed Appellants complaints about the non-renewal of their contracts by Respondent</w:t>
      </w:r>
      <w:r w:rsidR="00542FA9">
        <w:t>, Appellants then appealed to this Court.  Respondent opposed the appeal.</w:t>
      </w:r>
    </w:p>
    <w:p w:rsidR="00542FA9" w:rsidRDefault="00542FA9" w:rsidP="001315B7">
      <w:pPr>
        <w:jc w:val="both"/>
      </w:pPr>
    </w:p>
    <w:p w:rsidR="00542FA9" w:rsidRDefault="00542FA9" w:rsidP="003C30E5">
      <w:pPr>
        <w:spacing w:line="360" w:lineRule="auto"/>
        <w:jc w:val="both"/>
      </w:pPr>
      <w:r>
        <w:t>Appellants worked for Respondent in various capacities and at different stations in Zimbabwe. They were on fixed term contracts.  Their contracts lapsed on</w:t>
      </w:r>
      <w:r w:rsidR="005F5F91">
        <w:t xml:space="preserve"> expiry of the fixed terms during the period between </w:t>
      </w:r>
      <w:r w:rsidR="005F5F91" w:rsidRPr="00321A70">
        <w:rPr>
          <w:u w:val="single"/>
        </w:rPr>
        <w:t>July and December 2013</w:t>
      </w:r>
      <w:r w:rsidR="005F5F91">
        <w:t>.  Upon the expiry, Respondent did not renew the contracts.  Appellants</w:t>
      </w:r>
      <w:r w:rsidR="00D53B74">
        <w:t xml:space="preserve"> were aggrieved by the non-renewal.  They filed a complaint with the relevant NEC.  In due course the matter was referred to arbitration resulting the aforesaid award by Arbitrator Nh</w:t>
      </w:r>
      <w:r w:rsidR="00261B1F">
        <w:t>imba.</w:t>
      </w:r>
    </w:p>
    <w:p w:rsidR="00261B1F" w:rsidRDefault="00261B1F" w:rsidP="003C30E5">
      <w:pPr>
        <w:spacing w:line="360" w:lineRule="auto"/>
        <w:jc w:val="both"/>
      </w:pPr>
    </w:p>
    <w:p w:rsidR="00261B1F" w:rsidRDefault="00261B1F" w:rsidP="003C30E5">
      <w:pPr>
        <w:spacing w:line="360" w:lineRule="auto"/>
        <w:jc w:val="both"/>
      </w:pPr>
      <w:r>
        <w:lastRenderedPageBreak/>
        <w:t xml:space="preserve">Appellant averred </w:t>
      </w:r>
      <w:r w:rsidR="00321A70">
        <w:t xml:space="preserve">that </w:t>
      </w:r>
      <w:r>
        <w:t>the Arbitrat</w:t>
      </w:r>
      <w:r w:rsidR="00A91269">
        <w:t>or misdirected himself</w:t>
      </w:r>
      <w:r w:rsidR="00321A70">
        <w:t xml:space="preserve"> in</w:t>
      </w:r>
      <w:r w:rsidR="00A91269">
        <w:t xml:space="preserve"> in</w:t>
      </w:r>
      <w:r>
        <w:t xml:space="preserve">terpreting and </w:t>
      </w:r>
      <w:r w:rsidR="00253F75">
        <w:t>applying section</w:t>
      </w:r>
      <w:r>
        <w:t xml:space="preserve"> 12B (3)</w:t>
      </w:r>
      <w:r w:rsidR="00F85388">
        <w:t xml:space="preserve"> of the </w:t>
      </w:r>
      <w:r w:rsidR="00F85388" w:rsidRPr="00253F75">
        <w:rPr>
          <w:u w:val="single"/>
        </w:rPr>
        <w:t>Labour Act</w:t>
      </w:r>
      <w:r w:rsidR="00F85388">
        <w:t xml:space="preserve"> Chapter 28:01 </w:t>
      </w:r>
      <w:r w:rsidR="00253F75">
        <w:t>(</w:t>
      </w:r>
      <w:r w:rsidR="00F85388">
        <w:t>hereafter called the Act</w:t>
      </w:r>
      <w:r w:rsidR="00253F75">
        <w:t>)</w:t>
      </w:r>
      <w:r w:rsidR="007B38AF">
        <w:t xml:space="preserve">. </w:t>
      </w:r>
      <w:r w:rsidR="00253F75">
        <w:t>The section</w:t>
      </w:r>
      <w:r w:rsidR="007B38AF">
        <w:t xml:space="preserve"> reads as follows,</w:t>
      </w:r>
    </w:p>
    <w:p w:rsidR="007B38AF" w:rsidRDefault="007B38AF" w:rsidP="00ED45DF">
      <w:pPr>
        <w:jc w:val="both"/>
      </w:pPr>
    </w:p>
    <w:p w:rsidR="007B38AF" w:rsidRPr="00ED45DF" w:rsidRDefault="007B38AF" w:rsidP="00ED45DF">
      <w:pPr>
        <w:spacing w:line="276" w:lineRule="auto"/>
        <w:jc w:val="both"/>
        <w:rPr>
          <w:sz w:val="22"/>
          <w:szCs w:val="22"/>
        </w:rPr>
      </w:pPr>
      <w:r>
        <w:tab/>
      </w:r>
      <w:r w:rsidRPr="00ED45DF">
        <w:rPr>
          <w:sz w:val="22"/>
          <w:szCs w:val="22"/>
        </w:rPr>
        <w:t>“An employee is unfairly dismissed</w:t>
      </w:r>
      <w:r w:rsidR="00543BE4" w:rsidRPr="00ED45DF">
        <w:rPr>
          <w:sz w:val="22"/>
          <w:szCs w:val="22"/>
        </w:rPr>
        <w:t xml:space="preserve"> –</w:t>
      </w:r>
    </w:p>
    <w:p w:rsidR="00543BE4" w:rsidRPr="00ED45DF" w:rsidRDefault="00174983" w:rsidP="00ED45D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D45DF">
        <w:rPr>
          <w:sz w:val="22"/>
          <w:szCs w:val="22"/>
        </w:rPr>
        <w:t>…</w:t>
      </w:r>
    </w:p>
    <w:p w:rsidR="00174983" w:rsidRPr="00ED45DF" w:rsidRDefault="00174983" w:rsidP="00ED45D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D45DF">
        <w:rPr>
          <w:sz w:val="22"/>
          <w:szCs w:val="22"/>
        </w:rPr>
        <w:t>If, on termination of an employment contract of fixed duration, the employee –</w:t>
      </w:r>
    </w:p>
    <w:p w:rsidR="00174983" w:rsidRPr="00ED45DF" w:rsidRDefault="00174983" w:rsidP="00ED45DF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D45DF">
        <w:rPr>
          <w:sz w:val="22"/>
          <w:szCs w:val="22"/>
        </w:rPr>
        <w:t xml:space="preserve">had </w:t>
      </w:r>
      <w:r w:rsidR="00BA0DC4" w:rsidRPr="00ED45DF">
        <w:rPr>
          <w:sz w:val="22"/>
          <w:szCs w:val="22"/>
        </w:rPr>
        <w:t>a legitimate expectation of being re-engaged; and</w:t>
      </w:r>
    </w:p>
    <w:p w:rsidR="00BA0DC4" w:rsidRPr="00ED45DF" w:rsidRDefault="00BA0DC4" w:rsidP="00ED45DF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D45DF">
        <w:rPr>
          <w:sz w:val="22"/>
          <w:szCs w:val="22"/>
        </w:rPr>
        <w:t>another person was engaged instead of the employee.”</w:t>
      </w:r>
    </w:p>
    <w:p w:rsidR="00BA0DC4" w:rsidRDefault="00BA0DC4" w:rsidP="00ED45DF">
      <w:pPr>
        <w:jc w:val="both"/>
      </w:pPr>
    </w:p>
    <w:p w:rsidR="00BA0DC4" w:rsidRDefault="00BA0DC4" w:rsidP="00BA0DC4">
      <w:pPr>
        <w:spacing w:line="360" w:lineRule="auto"/>
        <w:jc w:val="both"/>
      </w:pPr>
      <w:r>
        <w:t>Appellant</w:t>
      </w:r>
      <w:r w:rsidR="0013597C">
        <w:t>s</w:t>
      </w:r>
      <w:r>
        <w:t xml:space="preserve"> stated that Respondent hired a security company to replace 18 security guards.  They argued that these were their replacements in circumstances where they had legitimate expectation of being re-hired.  Respondent </w:t>
      </w:r>
      <w:r w:rsidR="0013597C">
        <w:t>countered</w:t>
      </w:r>
      <w:r>
        <w:t xml:space="preserve"> that </w:t>
      </w:r>
      <w:r w:rsidR="00ED0438">
        <w:t xml:space="preserve">the </w:t>
      </w:r>
      <w:r>
        <w:t>replacement contemplated by the Act is replacement by a natural person.  It does not cover the present case</w:t>
      </w:r>
      <w:r w:rsidR="005A309A">
        <w:t xml:space="preserve"> where a private contractor was engaged to provide security services.  The Arbitrator opined as follows,</w:t>
      </w:r>
    </w:p>
    <w:p w:rsidR="005A309A" w:rsidRDefault="005A309A" w:rsidP="00ED45DF">
      <w:pPr>
        <w:jc w:val="both"/>
      </w:pPr>
    </w:p>
    <w:p w:rsidR="005A309A" w:rsidRPr="00ED45DF" w:rsidRDefault="005A309A" w:rsidP="00ED45DF">
      <w:pPr>
        <w:spacing w:line="276" w:lineRule="auto"/>
        <w:ind w:left="720"/>
        <w:jc w:val="both"/>
        <w:rPr>
          <w:sz w:val="22"/>
          <w:szCs w:val="22"/>
        </w:rPr>
      </w:pPr>
      <w:r w:rsidRPr="00ED45DF">
        <w:rPr>
          <w:sz w:val="22"/>
          <w:szCs w:val="22"/>
        </w:rPr>
        <w:t>“… the Respondent engaged a private security company to provide security services to the Respondent after Applicants’ contracts expired which therefore means the Applicants were not replaced by other employees,”</w:t>
      </w:r>
    </w:p>
    <w:p w:rsidR="00E97402" w:rsidRDefault="00E97402" w:rsidP="00ED45DF">
      <w:pPr>
        <w:jc w:val="both"/>
      </w:pPr>
    </w:p>
    <w:p w:rsidR="00E97402" w:rsidRDefault="00E97402" w:rsidP="00BA0DC4">
      <w:pPr>
        <w:spacing w:line="360" w:lineRule="auto"/>
        <w:jc w:val="both"/>
      </w:pPr>
      <w:r>
        <w:t xml:space="preserve">I </w:t>
      </w:r>
      <w:r w:rsidR="00AA1582">
        <w:t xml:space="preserve">agree with the </w:t>
      </w:r>
      <w:r>
        <w:t>Arbitrator’</w:t>
      </w:r>
      <w:r w:rsidR="007D7701">
        <w:t xml:space="preserve">s </w:t>
      </w:r>
      <w:r>
        <w:t>reasoning.  The replacement contemplated by the Act</w:t>
      </w:r>
      <w:r w:rsidR="007D7701">
        <w:t xml:space="preserve"> </w:t>
      </w:r>
      <w:r>
        <w:t xml:space="preserve">entails </w:t>
      </w:r>
      <w:r w:rsidR="009848F2">
        <w:t>the addition of</w:t>
      </w:r>
      <w:r>
        <w:t xml:space="preserve"> a new </w:t>
      </w:r>
      <w:r w:rsidRPr="009848F2">
        <w:rPr>
          <w:u w:val="single"/>
        </w:rPr>
        <w:t>empl</w:t>
      </w:r>
      <w:r w:rsidR="007D7701" w:rsidRPr="009848F2">
        <w:rPr>
          <w:u w:val="single"/>
        </w:rPr>
        <w:t>o</w:t>
      </w:r>
      <w:r w:rsidRPr="009848F2">
        <w:rPr>
          <w:u w:val="single"/>
        </w:rPr>
        <w:t>yee</w:t>
      </w:r>
      <w:r w:rsidR="00431178">
        <w:t xml:space="preserve"> on the payroll.  It does not cover </w:t>
      </w:r>
      <w:r w:rsidR="00AA1582">
        <w:t xml:space="preserve">the hiring of a private contractor to provide similar services.  </w:t>
      </w:r>
    </w:p>
    <w:p w:rsidR="00AA1582" w:rsidRDefault="00AA1582" w:rsidP="00ED45DF">
      <w:pPr>
        <w:jc w:val="both"/>
      </w:pPr>
    </w:p>
    <w:p w:rsidR="00AA1582" w:rsidRDefault="00225A01" w:rsidP="00BA0DC4">
      <w:pPr>
        <w:spacing w:line="360" w:lineRule="auto"/>
        <w:jc w:val="both"/>
      </w:pPr>
      <w:r>
        <w:t>I turn now to the other Applicants.  They produced 2 adv</w:t>
      </w:r>
      <w:r w:rsidR="00FC342D">
        <w:t xml:space="preserve">ertisements placed by Respondent in a national newspaper.  One was for the position of 2 Finance Clerks.  The other was for the position </w:t>
      </w:r>
      <w:r w:rsidR="00477CB7">
        <w:t>of a Micro-finance Officer. The adverts</w:t>
      </w:r>
      <w:r w:rsidR="00A45DE8">
        <w:t xml:space="preserve"> set the job summaries</w:t>
      </w:r>
      <w:r w:rsidR="005E107F">
        <w:t xml:space="preserve">.  Applicants argued that the summaries were similar to some of their jobs.  Thus they concluded that the new recruits </w:t>
      </w:r>
      <w:r w:rsidR="00121907">
        <w:t xml:space="preserve">were hired to replace them.  Respondent countered firstly by noting the timing.  Both adverts called for applications in </w:t>
      </w:r>
      <w:r w:rsidR="000527F0" w:rsidRPr="000527F0">
        <w:rPr>
          <w:u w:val="single"/>
        </w:rPr>
        <w:t>March 2014</w:t>
      </w:r>
      <w:r w:rsidR="009848F2">
        <w:t>.  The proces</w:t>
      </w:r>
      <w:r w:rsidR="000527F0">
        <w:t>s</w:t>
      </w:r>
      <w:r w:rsidR="00894658">
        <w:t xml:space="preserve"> involved interviews.  This would likely take us to April, at the earliest</w:t>
      </w:r>
      <w:r w:rsidR="00E873FA">
        <w:t xml:space="preserve">, for recruitment.  In these circumstances Respondent argued that this could not be replacement as contemplated by the Act.  The </w:t>
      </w:r>
      <w:r w:rsidR="009848F2">
        <w:t>word</w:t>
      </w:r>
      <w:r w:rsidR="001315B7">
        <w:t>ing</w:t>
      </w:r>
      <w:r w:rsidR="00E873FA">
        <w:t xml:space="preserve"> of the Act talks of replacement upon termination.  In this matter the adverts came </w:t>
      </w:r>
      <w:r w:rsidR="00E873FA" w:rsidRPr="0057335E">
        <w:rPr>
          <w:u w:val="single"/>
        </w:rPr>
        <w:lastRenderedPageBreak/>
        <w:t>three</w:t>
      </w:r>
      <w:r w:rsidR="009A6F97" w:rsidRPr="0057335E">
        <w:rPr>
          <w:u w:val="single"/>
        </w:rPr>
        <w:t xml:space="preserve"> (3) months</w:t>
      </w:r>
      <w:r w:rsidR="009A6F97">
        <w:t xml:space="preserve"> after termination.  Thus they do not qualify as replacements under the Act.</w:t>
      </w:r>
    </w:p>
    <w:p w:rsidR="009A6F97" w:rsidRDefault="009A6F97" w:rsidP="00ED45DF">
      <w:pPr>
        <w:jc w:val="both"/>
      </w:pPr>
    </w:p>
    <w:p w:rsidR="009A6F97" w:rsidRDefault="009A6F97" w:rsidP="00BA0DC4">
      <w:pPr>
        <w:spacing w:line="360" w:lineRule="auto"/>
        <w:jc w:val="both"/>
      </w:pPr>
      <w:r>
        <w:t xml:space="preserve">Respondent also noted that the adverts cover three (3) jobs at most.  Yet the remaining employees </w:t>
      </w:r>
      <w:r w:rsidR="00673E7A">
        <w:t xml:space="preserve">(excluding the security guards) number thirty-five (35).  The adverts </w:t>
      </w:r>
      <w:r w:rsidR="004D1165">
        <w:t>cannot be used as evidence of replacement of the entire 35 employees.</w:t>
      </w:r>
    </w:p>
    <w:p w:rsidR="004D1165" w:rsidRDefault="004D1165" w:rsidP="00ED45DF">
      <w:pPr>
        <w:jc w:val="both"/>
      </w:pPr>
    </w:p>
    <w:p w:rsidR="004D1165" w:rsidRDefault="004D1165" w:rsidP="00BA0DC4">
      <w:pPr>
        <w:spacing w:line="360" w:lineRule="auto"/>
        <w:jc w:val="both"/>
      </w:pPr>
      <w:r>
        <w:t>I agree with both the Arbitrator and the Respondent.  The adverts cannot be</w:t>
      </w:r>
      <w:r w:rsidR="00F12089">
        <w:t xml:space="preserve"> used as evidence that Respondent engaged replacement employees for the 35 whose contracts expired.  The adverts do not tie in with section 12B (3) in terms of time</w:t>
      </w:r>
      <w:r w:rsidR="00BE5727">
        <w:t>.  They also do not account for the numbers of the employees involved.  In the circumstances I conclude that the appeal lacks merit and ought to be dismissed.</w:t>
      </w:r>
    </w:p>
    <w:p w:rsidR="00526353" w:rsidRDefault="00526353" w:rsidP="00BA0DC4">
      <w:pPr>
        <w:spacing w:line="360" w:lineRule="auto"/>
        <w:jc w:val="both"/>
      </w:pPr>
    </w:p>
    <w:p w:rsidR="00424EE2" w:rsidRDefault="00424EE2" w:rsidP="00BA0DC4">
      <w:pPr>
        <w:spacing w:line="360" w:lineRule="auto"/>
        <w:jc w:val="both"/>
      </w:pPr>
    </w:p>
    <w:p w:rsidR="00424EE2" w:rsidRDefault="00424EE2" w:rsidP="00BA0DC4">
      <w:pPr>
        <w:spacing w:line="360" w:lineRule="auto"/>
        <w:jc w:val="both"/>
      </w:pPr>
    </w:p>
    <w:p w:rsidR="00526353" w:rsidRDefault="00526353" w:rsidP="00526353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526353" w:rsidRDefault="00526353" w:rsidP="00526353">
      <w:pPr>
        <w:spacing w:line="360" w:lineRule="auto"/>
        <w:jc w:val="both"/>
        <w:rPr>
          <w:b/>
        </w:rPr>
      </w:pPr>
    </w:p>
    <w:p w:rsidR="00526353" w:rsidRDefault="00526353" w:rsidP="00526353">
      <w:pPr>
        <w:pStyle w:val="ListParagraph"/>
        <w:numPr>
          <w:ilvl w:val="0"/>
          <w:numId w:val="3"/>
        </w:numPr>
        <w:spacing w:line="360" w:lineRule="auto"/>
        <w:jc w:val="both"/>
        <w:rPr>
          <w:b/>
        </w:rPr>
      </w:pPr>
      <w:r w:rsidRPr="001C50BD">
        <w:rPr>
          <w:b/>
        </w:rPr>
        <w:t xml:space="preserve">The </w:t>
      </w:r>
      <w:r>
        <w:rPr>
          <w:b/>
        </w:rPr>
        <w:t>appeal be and is hereby dismissed; and</w:t>
      </w:r>
    </w:p>
    <w:p w:rsidR="00526353" w:rsidRPr="001C50BD" w:rsidRDefault="00526353" w:rsidP="00526353">
      <w:pPr>
        <w:pStyle w:val="ListParagraph"/>
        <w:jc w:val="both"/>
        <w:rPr>
          <w:b/>
        </w:rPr>
      </w:pPr>
    </w:p>
    <w:p w:rsidR="00526353" w:rsidRPr="004F02FD" w:rsidRDefault="00526353" w:rsidP="004F02FD">
      <w:pPr>
        <w:pStyle w:val="ListParagraph"/>
        <w:numPr>
          <w:ilvl w:val="0"/>
          <w:numId w:val="3"/>
        </w:numPr>
        <w:spacing w:line="360" w:lineRule="auto"/>
        <w:jc w:val="both"/>
        <w:rPr>
          <w:b/>
        </w:rPr>
      </w:pPr>
      <w:r w:rsidRPr="004F02FD">
        <w:rPr>
          <w:b/>
        </w:rPr>
        <w:t>Each party shall bear its own</w:t>
      </w:r>
      <w:r w:rsidR="00424EE2" w:rsidRPr="004F02FD">
        <w:rPr>
          <w:b/>
        </w:rPr>
        <w:t xml:space="preserve"> costs.</w:t>
      </w:r>
    </w:p>
    <w:p w:rsidR="00526353" w:rsidRDefault="00526353" w:rsidP="00526353">
      <w:pPr>
        <w:pStyle w:val="ListParagraph"/>
        <w:spacing w:line="360" w:lineRule="auto"/>
        <w:jc w:val="both"/>
        <w:rPr>
          <w:b/>
        </w:rPr>
      </w:pPr>
    </w:p>
    <w:p w:rsidR="00526353" w:rsidRDefault="00526353" w:rsidP="00526353">
      <w:pPr>
        <w:pStyle w:val="ListParagraph"/>
        <w:spacing w:line="360" w:lineRule="auto"/>
        <w:jc w:val="both"/>
        <w:rPr>
          <w:b/>
        </w:rPr>
      </w:pPr>
    </w:p>
    <w:p w:rsidR="00526353" w:rsidRPr="008C1574" w:rsidRDefault="00526353" w:rsidP="00526353">
      <w:pPr>
        <w:pStyle w:val="ListParagraph"/>
        <w:spacing w:line="360" w:lineRule="auto"/>
        <w:jc w:val="both"/>
        <w:rPr>
          <w:b/>
        </w:rPr>
      </w:pPr>
    </w:p>
    <w:p w:rsidR="00526353" w:rsidRDefault="00526353" w:rsidP="00526353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 MUSARIRI</w:t>
      </w:r>
    </w:p>
    <w:p w:rsidR="00526353" w:rsidRPr="00FE7CF1" w:rsidRDefault="00526353" w:rsidP="00526353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J. U. D. G. E.</w:t>
      </w:r>
    </w:p>
    <w:p w:rsidR="00526353" w:rsidRDefault="00526353" w:rsidP="00BA0DC4">
      <w:pPr>
        <w:spacing w:line="360" w:lineRule="auto"/>
        <w:jc w:val="both"/>
      </w:pPr>
    </w:p>
    <w:sectPr w:rsidR="00526353" w:rsidSect="00290EE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0E" w:rsidRDefault="0072270E" w:rsidP="00290EE8">
      <w:r>
        <w:separator/>
      </w:r>
    </w:p>
  </w:endnote>
  <w:endnote w:type="continuationSeparator" w:id="0">
    <w:p w:rsidR="0072270E" w:rsidRDefault="0072270E" w:rsidP="0029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426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6F97" w:rsidRDefault="009A6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B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6F97" w:rsidRDefault="009A6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0E" w:rsidRDefault="0072270E" w:rsidP="00290EE8">
      <w:r>
        <w:separator/>
      </w:r>
    </w:p>
  </w:footnote>
  <w:footnote w:type="continuationSeparator" w:id="0">
    <w:p w:rsidR="0072270E" w:rsidRDefault="0072270E" w:rsidP="00290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97" w:rsidRPr="00290EE8" w:rsidRDefault="009A6F97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03BCC">
      <w:rPr>
        <w:lang w:val="en-ZW"/>
      </w:rPr>
      <w:t>799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7577B"/>
    <w:multiLevelType w:val="hybridMultilevel"/>
    <w:tmpl w:val="E5F0B260"/>
    <w:lvl w:ilvl="0" w:tplc="B87E720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E6DF7"/>
    <w:multiLevelType w:val="hybridMultilevel"/>
    <w:tmpl w:val="FDD68800"/>
    <w:lvl w:ilvl="0" w:tplc="54E674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CF"/>
    <w:rsid w:val="00041087"/>
    <w:rsid w:val="000527F0"/>
    <w:rsid w:val="00121907"/>
    <w:rsid w:val="001315B7"/>
    <w:rsid w:val="0013597C"/>
    <w:rsid w:val="001579A3"/>
    <w:rsid w:val="00174983"/>
    <w:rsid w:val="00216D10"/>
    <w:rsid w:val="00225A01"/>
    <w:rsid w:val="002538CF"/>
    <w:rsid w:val="00253F75"/>
    <w:rsid w:val="00261B1F"/>
    <w:rsid w:val="00290EE8"/>
    <w:rsid w:val="00321A70"/>
    <w:rsid w:val="00326B52"/>
    <w:rsid w:val="003C30E5"/>
    <w:rsid w:val="00424EE2"/>
    <w:rsid w:val="00431178"/>
    <w:rsid w:val="00477CB7"/>
    <w:rsid w:val="004D1165"/>
    <w:rsid w:val="004F02FD"/>
    <w:rsid w:val="00526353"/>
    <w:rsid w:val="00542FA9"/>
    <w:rsid w:val="00543BE4"/>
    <w:rsid w:val="0057335E"/>
    <w:rsid w:val="005A309A"/>
    <w:rsid w:val="005E107F"/>
    <w:rsid w:val="005F5F91"/>
    <w:rsid w:val="00603BCC"/>
    <w:rsid w:val="00673E7A"/>
    <w:rsid w:val="0072270E"/>
    <w:rsid w:val="00730C94"/>
    <w:rsid w:val="0079033B"/>
    <w:rsid w:val="007B38AF"/>
    <w:rsid w:val="007D7701"/>
    <w:rsid w:val="00861B90"/>
    <w:rsid w:val="00894658"/>
    <w:rsid w:val="008E1E93"/>
    <w:rsid w:val="008E78AF"/>
    <w:rsid w:val="009848F2"/>
    <w:rsid w:val="009A6F97"/>
    <w:rsid w:val="00A45DE8"/>
    <w:rsid w:val="00A91269"/>
    <w:rsid w:val="00AA1582"/>
    <w:rsid w:val="00B8197B"/>
    <w:rsid w:val="00BA0DC4"/>
    <w:rsid w:val="00BE5727"/>
    <w:rsid w:val="00D4328F"/>
    <w:rsid w:val="00D53B74"/>
    <w:rsid w:val="00E873FA"/>
    <w:rsid w:val="00E97402"/>
    <w:rsid w:val="00ED0438"/>
    <w:rsid w:val="00ED45DF"/>
    <w:rsid w:val="00F12089"/>
    <w:rsid w:val="00F85388"/>
    <w:rsid w:val="00FC342D"/>
    <w:rsid w:val="00FD1568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C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E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0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E8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C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E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0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E8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2016-12-13T10:24:00Z</dcterms:created>
  <dcterms:modified xsi:type="dcterms:W3CDTF">2016-12-15T08:32:00Z</dcterms:modified>
</cp:coreProperties>
</file>