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1B1" w:rsidRPr="008E4DCE" w:rsidRDefault="00F13AE3" w:rsidP="00635F6E">
      <w:pPr>
        <w:pStyle w:val="NoSpacing"/>
        <w:jc w:val="both"/>
        <w:rPr>
          <w:b/>
          <w:sz w:val="24"/>
          <w:szCs w:val="24"/>
          <w:lang w:val="en-US"/>
        </w:rPr>
      </w:pPr>
      <w:bookmarkStart w:id="0" w:name="_GoBack"/>
      <w:bookmarkEnd w:id="0"/>
      <w:r w:rsidRPr="008E4DCE">
        <w:rPr>
          <w:b/>
          <w:sz w:val="24"/>
          <w:szCs w:val="24"/>
          <w:lang w:val="en-US"/>
        </w:rPr>
        <w:t>G &amp; P INDUSTRIES (PVT) LTD</w:t>
      </w:r>
    </w:p>
    <w:p w:rsidR="00F13AE3" w:rsidRPr="008E4DCE" w:rsidRDefault="00F13AE3" w:rsidP="00635F6E">
      <w:pPr>
        <w:pStyle w:val="NoSpacing"/>
        <w:jc w:val="both"/>
        <w:rPr>
          <w:b/>
          <w:sz w:val="24"/>
          <w:szCs w:val="24"/>
          <w:lang w:val="en-US"/>
        </w:rPr>
      </w:pPr>
    </w:p>
    <w:p w:rsidR="00F13AE3" w:rsidRPr="008E4DCE" w:rsidRDefault="00F13AE3" w:rsidP="00635F6E">
      <w:pPr>
        <w:pStyle w:val="NoSpacing"/>
        <w:jc w:val="both"/>
        <w:rPr>
          <w:b/>
          <w:sz w:val="24"/>
          <w:szCs w:val="24"/>
          <w:lang w:val="en-US"/>
        </w:rPr>
      </w:pPr>
      <w:r w:rsidRPr="008E4DCE">
        <w:rPr>
          <w:b/>
          <w:sz w:val="24"/>
          <w:szCs w:val="24"/>
          <w:lang w:val="en-US"/>
        </w:rPr>
        <w:t>And</w:t>
      </w:r>
    </w:p>
    <w:p w:rsidR="00F13AE3" w:rsidRPr="008E4DCE" w:rsidRDefault="00F13AE3" w:rsidP="00635F6E">
      <w:pPr>
        <w:pStyle w:val="NoSpacing"/>
        <w:jc w:val="both"/>
        <w:rPr>
          <w:b/>
          <w:sz w:val="24"/>
          <w:szCs w:val="24"/>
          <w:lang w:val="en-US"/>
        </w:rPr>
      </w:pPr>
    </w:p>
    <w:p w:rsidR="00F13AE3" w:rsidRPr="008E4DCE" w:rsidRDefault="00F13AE3" w:rsidP="00635F6E">
      <w:pPr>
        <w:pStyle w:val="NoSpacing"/>
        <w:jc w:val="both"/>
        <w:rPr>
          <w:b/>
          <w:sz w:val="24"/>
          <w:szCs w:val="24"/>
          <w:lang w:val="en-US"/>
        </w:rPr>
      </w:pPr>
      <w:r w:rsidRPr="008E4DCE">
        <w:rPr>
          <w:b/>
          <w:sz w:val="24"/>
          <w:szCs w:val="24"/>
          <w:lang w:val="en-US"/>
        </w:rPr>
        <w:t>FITZ GERALD &amp; DES REAL ESTATE</w:t>
      </w:r>
    </w:p>
    <w:p w:rsidR="00F13AE3" w:rsidRPr="008E4DCE" w:rsidRDefault="00F13AE3" w:rsidP="00635F6E">
      <w:pPr>
        <w:pStyle w:val="NoSpacing"/>
        <w:jc w:val="both"/>
        <w:rPr>
          <w:b/>
          <w:sz w:val="24"/>
          <w:szCs w:val="24"/>
          <w:lang w:val="en-US"/>
        </w:rPr>
      </w:pPr>
    </w:p>
    <w:p w:rsidR="00F13AE3" w:rsidRPr="008E4DCE" w:rsidRDefault="00F13AE3" w:rsidP="00635F6E">
      <w:pPr>
        <w:pStyle w:val="NoSpacing"/>
        <w:jc w:val="both"/>
        <w:rPr>
          <w:b/>
          <w:sz w:val="24"/>
          <w:szCs w:val="24"/>
          <w:lang w:val="en-US"/>
        </w:rPr>
      </w:pPr>
      <w:r w:rsidRPr="008E4DCE">
        <w:rPr>
          <w:b/>
          <w:sz w:val="24"/>
          <w:szCs w:val="24"/>
          <w:lang w:val="en-US"/>
        </w:rPr>
        <w:t>Versus</w:t>
      </w:r>
    </w:p>
    <w:p w:rsidR="00F13AE3" w:rsidRPr="008E4DCE" w:rsidRDefault="00F13AE3" w:rsidP="00635F6E">
      <w:pPr>
        <w:pStyle w:val="NoSpacing"/>
        <w:jc w:val="both"/>
        <w:rPr>
          <w:b/>
          <w:sz w:val="24"/>
          <w:szCs w:val="24"/>
          <w:lang w:val="en-US"/>
        </w:rPr>
      </w:pPr>
    </w:p>
    <w:p w:rsidR="00F13AE3" w:rsidRPr="008E4DCE" w:rsidRDefault="00F13AE3" w:rsidP="00635F6E">
      <w:pPr>
        <w:pStyle w:val="NoSpacing"/>
        <w:jc w:val="both"/>
        <w:rPr>
          <w:b/>
          <w:sz w:val="24"/>
          <w:szCs w:val="24"/>
          <w:lang w:val="en-US"/>
        </w:rPr>
      </w:pPr>
      <w:r w:rsidRPr="008E4DCE">
        <w:rPr>
          <w:b/>
          <w:sz w:val="24"/>
          <w:szCs w:val="24"/>
          <w:lang w:val="en-US"/>
        </w:rPr>
        <w:t>KWEKWE CONSOLIDTED GOLD MINES</w:t>
      </w:r>
    </w:p>
    <w:p w:rsidR="00F13AE3" w:rsidRPr="008E4DCE" w:rsidRDefault="00F13AE3" w:rsidP="00635F6E">
      <w:pPr>
        <w:pStyle w:val="NoSpacing"/>
        <w:jc w:val="both"/>
        <w:rPr>
          <w:b/>
          <w:sz w:val="24"/>
          <w:szCs w:val="24"/>
          <w:lang w:val="en-US"/>
        </w:rPr>
      </w:pPr>
      <w:r w:rsidRPr="008E4DCE">
        <w:rPr>
          <w:b/>
          <w:sz w:val="24"/>
          <w:szCs w:val="24"/>
          <w:lang w:val="en-US"/>
        </w:rPr>
        <w:t>(PVT) LTD</w:t>
      </w:r>
    </w:p>
    <w:p w:rsidR="00F13AE3" w:rsidRPr="008E4DCE" w:rsidRDefault="00F13AE3" w:rsidP="00635F6E">
      <w:pPr>
        <w:pStyle w:val="NoSpacing"/>
        <w:jc w:val="both"/>
        <w:rPr>
          <w:b/>
          <w:sz w:val="24"/>
          <w:szCs w:val="24"/>
          <w:lang w:val="en-US"/>
        </w:rPr>
      </w:pPr>
    </w:p>
    <w:p w:rsidR="00F13AE3" w:rsidRPr="008E4DCE" w:rsidRDefault="00F13AE3" w:rsidP="00635F6E">
      <w:pPr>
        <w:pStyle w:val="NoSpacing"/>
        <w:jc w:val="both"/>
        <w:rPr>
          <w:b/>
          <w:sz w:val="24"/>
          <w:szCs w:val="24"/>
          <w:lang w:val="en-US"/>
        </w:rPr>
      </w:pPr>
      <w:r w:rsidRPr="008E4DCE">
        <w:rPr>
          <w:b/>
          <w:sz w:val="24"/>
          <w:szCs w:val="24"/>
          <w:lang w:val="en-US"/>
        </w:rPr>
        <w:t>And</w:t>
      </w:r>
    </w:p>
    <w:p w:rsidR="00F13AE3" w:rsidRPr="008E4DCE" w:rsidRDefault="00F13AE3" w:rsidP="00635F6E">
      <w:pPr>
        <w:pStyle w:val="NoSpacing"/>
        <w:jc w:val="both"/>
        <w:rPr>
          <w:b/>
          <w:sz w:val="24"/>
          <w:szCs w:val="24"/>
          <w:lang w:val="en-US"/>
        </w:rPr>
      </w:pPr>
    </w:p>
    <w:p w:rsidR="00F13AE3" w:rsidRPr="008E4DCE" w:rsidRDefault="00F13AE3" w:rsidP="00635F6E">
      <w:pPr>
        <w:pStyle w:val="NoSpacing"/>
        <w:jc w:val="both"/>
        <w:rPr>
          <w:b/>
          <w:sz w:val="24"/>
          <w:szCs w:val="24"/>
          <w:lang w:val="en-US"/>
        </w:rPr>
      </w:pPr>
      <w:r w:rsidRPr="008E4DCE">
        <w:rPr>
          <w:b/>
          <w:sz w:val="24"/>
          <w:szCs w:val="24"/>
          <w:lang w:val="en-US"/>
        </w:rPr>
        <w:t>THE REGISTRAR OF DEDS N.O.</w:t>
      </w:r>
    </w:p>
    <w:p w:rsidR="00F13AE3" w:rsidRPr="008E4DCE" w:rsidRDefault="00F13AE3" w:rsidP="00635F6E">
      <w:pPr>
        <w:pStyle w:val="NoSpacing"/>
        <w:jc w:val="both"/>
        <w:rPr>
          <w:b/>
          <w:sz w:val="24"/>
          <w:szCs w:val="24"/>
          <w:lang w:val="en-US"/>
        </w:rPr>
      </w:pPr>
    </w:p>
    <w:p w:rsidR="00F13AE3" w:rsidRPr="008E4DCE" w:rsidRDefault="00F13AE3" w:rsidP="00635F6E">
      <w:pPr>
        <w:pStyle w:val="NoSpacing"/>
        <w:jc w:val="both"/>
        <w:rPr>
          <w:sz w:val="24"/>
          <w:szCs w:val="24"/>
          <w:lang w:val="en-US"/>
        </w:rPr>
      </w:pPr>
      <w:r w:rsidRPr="008E4DCE">
        <w:rPr>
          <w:sz w:val="24"/>
          <w:szCs w:val="24"/>
          <w:lang w:val="en-US"/>
        </w:rPr>
        <w:t>IN THE HIGH COURT OF ZIMBABWE</w:t>
      </w:r>
    </w:p>
    <w:p w:rsidR="00F13AE3" w:rsidRPr="008E4DCE" w:rsidRDefault="00F13AE3" w:rsidP="00635F6E">
      <w:pPr>
        <w:pStyle w:val="NoSpacing"/>
        <w:jc w:val="both"/>
        <w:rPr>
          <w:sz w:val="24"/>
          <w:szCs w:val="24"/>
          <w:lang w:val="en-US"/>
        </w:rPr>
      </w:pPr>
      <w:r w:rsidRPr="008E4DCE">
        <w:rPr>
          <w:sz w:val="24"/>
          <w:szCs w:val="24"/>
          <w:lang w:val="en-US"/>
        </w:rPr>
        <w:t>TAKUVA J</w:t>
      </w:r>
    </w:p>
    <w:p w:rsidR="00F13AE3" w:rsidRPr="008E4DCE" w:rsidRDefault="00F13AE3" w:rsidP="00635F6E">
      <w:pPr>
        <w:pStyle w:val="NoSpacing"/>
        <w:jc w:val="both"/>
        <w:rPr>
          <w:sz w:val="24"/>
          <w:szCs w:val="24"/>
          <w:lang w:val="en-US"/>
        </w:rPr>
      </w:pPr>
      <w:r w:rsidRPr="008E4DCE">
        <w:rPr>
          <w:sz w:val="24"/>
          <w:szCs w:val="24"/>
          <w:lang w:val="en-US"/>
        </w:rPr>
        <w:t xml:space="preserve">BULAWAYO 21 JANUARY &amp; </w:t>
      </w:r>
      <w:r w:rsidR="00011826" w:rsidRPr="008E4DCE">
        <w:rPr>
          <w:sz w:val="24"/>
          <w:szCs w:val="24"/>
          <w:lang w:val="en-US"/>
        </w:rPr>
        <w:t>23</w:t>
      </w:r>
      <w:r w:rsidRPr="008E4DCE">
        <w:rPr>
          <w:sz w:val="24"/>
          <w:szCs w:val="24"/>
          <w:lang w:val="en-US"/>
        </w:rPr>
        <w:t xml:space="preserve"> JUNE 2022</w:t>
      </w:r>
    </w:p>
    <w:p w:rsidR="00F13AE3" w:rsidRPr="008E4DCE" w:rsidRDefault="00F13AE3" w:rsidP="00635F6E">
      <w:pPr>
        <w:pStyle w:val="NoSpacing"/>
        <w:jc w:val="both"/>
        <w:rPr>
          <w:sz w:val="24"/>
          <w:szCs w:val="24"/>
          <w:lang w:val="en-US"/>
        </w:rPr>
      </w:pPr>
    </w:p>
    <w:p w:rsidR="00F13AE3" w:rsidRPr="008E4DCE" w:rsidRDefault="00F13AE3" w:rsidP="00635F6E">
      <w:pPr>
        <w:pStyle w:val="NoSpacing"/>
        <w:jc w:val="both"/>
        <w:rPr>
          <w:b/>
          <w:sz w:val="24"/>
          <w:szCs w:val="24"/>
          <w:lang w:val="en-US"/>
        </w:rPr>
      </w:pPr>
      <w:r w:rsidRPr="008E4DCE">
        <w:rPr>
          <w:b/>
          <w:sz w:val="24"/>
          <w:szCs w:val="24"/>
          <w:lang w:val="en-US"/>
        </w:rPr>
        <w:t>Opposed Application</w:t>
      </w:r>
    </w:p>
    <w:p w:rsidR="00F13AE3" w:rsidRPr="008E4DCE" w:rsidRDefault="00F13AE3" w:rsidP="00635F6E">
      <w:pPr>
        <w:pStyle w:val="NoSpacing"/>
        <w:jc w:val="both"/>
        <w:rPr>
          <w:sz w:val="24"/>
          <w:szCs w:val="24"/>
          <w:lang w:val="en-US"/>
        </w:rPr>
      </w:pPr>
    </w:p>
    <w:p w:rsidR="00F13AE3" w:rsidRPr="008E4DCE" w:rsidRDefault="00F13AE3" w:rsidP="00635F6E">
      <w:pPr>
        <w:pStyle w:val="NoSpacing"/>
        <w:jc w:val="both"/>
        <w:rPr>
          <w:sz w:val="24"/>
          <w:szCs w:val="24"/>
          <w:lang w:val="en-US"/>
        </w:rPr>
      </w:pPr>
      <w:r w:rsidRPr="008E4DCE">
        <w:rPr>
          <w:i/>
          <w:sz w:val="24"/>
          <w:szCs w:val="24"/>
          <w:lang w:val="en-US"/>
        </w:rPr>
        <w:t>A. Dracos</w:t>
      </w:r>
      <w:r w:rsidRPr="008E4DCE">
        <w:rPr>
          <w:sz w:val="24"/>
          <w:szCs w:val="24"/>
          <w:lang w:val="en-US"/>
        </w:rPr>
        <w:t xml:space="preserve"> for the applicants</w:t>
      </w:r>
    </w:p>
    <w:p w:rsidR="00F13AE3" w:rsidRPr="008E4DCE" w:rsidRDefault="00F13AE3" w:rsidP="00635F6E">
      <w:pPr>
        <w:pStyle w:val="NoSpacing"/>
        <w:jc w:val="both"/>
        <w:rPr>
          <w:sz w:val="24"/>
          <w:szCs w:val="24"/>
          <w:lang w:val="en-US"/>
        </w:rPr>
      </w:pPr>
      <w:r w:rsidRPr="008E4DCE">
        <w:rPr>
          <w:i/>
          <w:sz w:val="24"/>
          <w:szCs w:val="24"/>
          <w:lang w:val="en-US"/>
        </w:rPr>
        <w:t>A. Mutatu</w:t>
      </w:r>
      <w:r w:rsidRPr="008E4DCE">
        <w:rPr>
          <w:sz w:val="24"/>
          <w:szCs w:val="24"/>
          <w:lang w:val="en-US"/>
        </w:rPr>
        <w:t xml:space="preserve"> for the 1</w:t>
      </w:r>
      <w:r w:rsidRPr="008E4DCE">
        <w:rPr>
          <w:sz w:val="24"/>
          <w:szCs w:val="24"/>
          <w:vertAlign w:val="superscript"/>
          <w:lang w:val="en-US"/>
        </w:rPr>
        <w:t>ST</w:t>
      </w:r>
      <w:r w:rsidRPr="008E4DCE">
        <w:rPr>
          <w:sz w:val="24"/>
          <w:szCs w:val="24"/>
          <w:lang w:val="en-US"/>
        </w:rPr>
        <w:t xml:space="preserve"> respondent</w:t>
      </w:r>
    </w:p>
    <w:p w:rsidR="00F13AE3" w:rsidRPr="008E4DCE" w:rsidRDefault="00F13AE3" w:rsidP="00635F6E">
      <w:pPr>
        <w:pStyle w:val="NoSpacing"/>
        <w:jc w:val="both"/>
        <w:rPr>
          <w:sz w:val="24"/>
          <w:szCs w:val="24"/>
          <w:lang w:val="en-US"/>
        </w:rPr>
      </w:pPr>
    </w:p>
    <w:p w:rsidR="00F13AE3" w:rsidRPr="008E4DCE" w:rsidRDefault="00F13AE3" w:rsidP="00635F6E">
      <w:pPr>
        <w:jc w:val="both"/>
        <w:rPr>
          <w:sz w:val="24"/>
          <w:szCs w:val="24"/>
          <w:lang w:val="en-US"/>
        </w:rPr>
      </w:pPr>
      <w:r w:rsidRPr="008E4DCE">
        <w:rPr>
          <w:sz w:val="24"/>
          <w:szCs w:val="24"/>
          <w:lang w:val="en-US"/>
        </w:rPr>
        <w:tab/>
      </w:r>
      <w:r w:rsidRPr="008E4DCE">
        <w:rPr>
          <w:b/>
          <w:sz w:val="24"/>
          <w:szCs w:val="24"/>
          <w:lang w:val="en-US"/>
        </w:rPr>
        <w:t>TAKUVA J:</w:t>
      </w:r>
      <w:r w:rsidRPr="008E4DCE">
        <w:rPr>
          <w:b/>
          <w:sz w:val="24"/>
          <w:szCs w:val="24"/>
          <w:lang w:val="en-US"/>
        </w:rPr>
        <w:tab/>
      </w:r>
      <w:r w:rsidRPr="008E4DCE">
        <w:rPr>
          <w:sz w:val="24"/>
          <w:szCs w:val="24"/>
          <w:lang w:val="en-US"/>
        </w:rPr>
        <w:t xml:space="preserve">This is an application for dismissal of </w:t>
      </w:r>
      <w:r w:rsidR="00011826" w:rsidRPr="008E4DCE">
        <w:rPr>
          <w:sz w:val="24"/>
          <w:szCs w:val="24"/>
          <w:lang w:val="en-US"/>
        </w:rPr>
        <w:t>an</w:t>
      </w:r>
      <w:r w:rsidRPr="008E4DCE">
        <w:rPr>
          <w:sz w:val="24"/>
          <w:szCs w:val="24"/>
          <w:lang w:val="en-US"/>
        </w:rPr>
        <w:t xml:space="preserve"> action instituted under HC 1799/16 for want of prosecution.</w:t>
      </w:r>
    </w:p>
    <w:p w:rsidR="00F13AE3" w:rsidRPr="008E4DCE" w:rsidRDefault="00F13AE3" w:rsidP="00635F6E">
      <w:pPr>
        <w:jc w:val="both"/>
        <w:rPr>
          <w:b/>
          <w:sz w:val="24"/>
          <w:szCs w:val="24"/>
          <w:lang w:val="en-US"/>
        </w:rPr>
      </w:pPr>
      <w:r w:rsidRPr="008E4DCE">
        <w:rPr>
          <w:b/>
          <w:sz w:val="24"/>
          <w:szCs w:val="24"/>
          <w:lang w:val="en-US"/>
        </w:rPr>
        <w:t>Background</w:t>
      </w:r>
    </w:p>
    <w:p w:rsidR="00F13AE3" w:rsidRPr="008E4DCE" w:rsidRDefault="00F13AE3" w:rsidP="00635F6E">
      <w:pPr>
        <w:jc w:val="both"/>
        <w:rPr>
          <w:sz w:val="24"/>
          <w:szCs w:val="24"/>
          <w:lang w:val="en-US"/>
        </w:rPr>
      </w:pPr>
      <w:r w:rsidRPr="008E4DCE">
        <w:rPr>
          <w:sz w:val="24"/>
          <w:szCs w:val="24"/>
          <w:lang w:val="en-US"/>
        </w:rPr>
        <w:tab/>
        <w:t>First applicant is the owner and holder of title in respe</w:t>
      </w:r>
      <w:r w:rsidR="0051246F" w:rsidRPr="008E4DCE">
        <w:rPr>
          <w:sz w:val="24"/>
          <w:szCs w:val="24"/>
          <w:lang w:val="en-US"/>
        </w:rPr>
        <w:t>c</w:t>
      </w:r>
      <w:r w:rsidRPr="008E4DCE">
        <w:rPr>
          <w:sz w:val="24"/>
          <w:szCs w:val="24"/>
          <w:lang w:val="en-US"/>
        </w:rPr>
        <w:t xml:space="preserve">t of certain piece of land being stand </w:t>
      </w:r>
      <w:r w:rsidR="0051246F" w:rsidRPr="008E4DCE">
        <w:rPr>
          <w:sz w:val="24"/>
          <w:szCs w:val="24"/>
          <w:lang w:val="en-US"/>
        </w:rPr>
        <w:t xml:space="preserve">1584 Que </w:t>
      </w:r>
      <w:r w:rsidR="003352C8" w:rsidRPr="008E4DCE">
        <w:rPr>
          <w:sz w:val="24"/>
          <w:szCs w:val="24"/>
          <w:lang w:val="en-US"/>
        </w:rPr>
        <w:t xml:space="preserve">Que </w:t>
      </w:r>
      <w:r w:rsidR="0051246F" w:rsidRPr="008E4DCE">
        <w:rPr>
          <w:sz w:val="24"/>
          <w:szCs w:val="24"/>
          <w:lang w:val="en-US"/>
        </w:rPr>
        <w:t>Township situate in the District of Que Que in extent 5, 3267 hectares (hereinafter referred to as the property)  The 1</w:t>
      </w:r>
      <w:r w:rsidR="0051246F" w:rsidRPr="008E4DCE">
        <w:rPr>
          <w:sz w:val="24"/>
          <w:szCs w:val="24"/>
          <w:vertAlign w:val="superscript"/>
          <w:lang w:val="en-US"/>
        </w:rPr>
        <w:t>st</w:t>
      </w:r>
      <w:r w:rsidR="0051246F" w:rsidRPr="008E4DCE">
        <w:rPr>
          <w:sz w:val="24"/>
          <w:szCs w:val="24"/>
          <w:lang w:val="en-US"/>
        </w:rPr>
        <w:t xml:space="preserve"> respondent issued summons under HC 1799/16 on the 3</w:t>
      </w:r>
      <w:r w:rsidR="0051246F" w:rsidRPr="008E4DCE">
        <w:rPr>
          <w:sz w:val="24"/>
          <w:szCs w:val="24"/>
          <w:vertAlign w:val="superscript"/>
          <w:lang w:val="en-US"/>
        </w:rPr>
        <w:t>rd</w:t>
      </w:r>
      <w:r w:rsidR="0051246F" w:rsidRPr="008E4DCE">
        <w:rPr>
          <w:sz w:val="24"/>
          <w:szCs w:val="24"/>
          <w:lang w:val="en-US"/>
        </w:rPr>
        <w:t xml:space="preserve"> of October 2016 seeking the following relief:</w:t>
      </w:r>
    </w:p>
    <w:p w:rsidR="0051246F" w:rsidRPr="008E4DCE" w:rsidRDefault="0051246F" w:rsidP="00635F6E">
      <w:pPr>
        <w:pStyle w:val="NoSpacing"/>
        <w:ind w:left="1440" w:hanging="720"/>
        <w:jc w:val="both"/>
        <w:rPr>
          <w:sz w:val="24"/>
          <w:szCs w:val="24"/>
          <w:lang w:val="en-US"/>
        </w:rPr>
      </w:pPr>
      <w:r w:rsidRPr="008E4DCE">
        <w:rPr>
          <w:sz w:val="24"/>
          <w:szCs w:val="24"/>
          <w:lang w:val="en-US"/>
        </w:rPr>
        <w:t xml:space="preserve">“a. </w:t>
      </w:r>
      <w:r w:rsidRPr="008E4DCE">
        <w:rPr>
          <w:sz w:val="24"/>
          <w:szCs w:val="24"/>
          <w:lang w:val="en-US"/>
        </w:rPr>
        <w:tab/>
        <w:t>An order compelling 1</w:t>
      </w:r>
      <w:r w:rsidRPr="008E4DCE">
        <w:rPr>
          <w:sz w:val="24"/>
          <w:szCs w:val="24"/>
          <w:vertAlign w:val="superscript"/>
          <w:lang w:val="en-US"/>
        </w:rPr>
        <w:t>st</w:t>
      </w:r>
      <w:r w:rsidRPr="008E4DCE">
        <w:rPr>
          <w:sz w:val="24"/>
          <w:szCs w:val="24"/>
          <w:lang w:val="en-US"/>
        </w:rPr>
        <w:t xml:space="preserve"> and 2</w:t>
      </w:r>
      <w:r w:rsidRPr="008E4DCE">
        <w:rPr>
          <w:sz w:val="24"/>
          <w:szCs w:val="24"/>
          <w:vertAlign w:val="superscript"/>
          <w:lang w:val="en-US"/>
        </w:rPr>
        <w:t>nd</w:t>
      </w:r>
      <w:r w:rsidRPr="008E4DCE">
        <w:rPr>
          <w:sz w:val="24"/>
          <w:szCs w:val="24"/>
          <w:lang w:val="en-US"/>
        </w:rPr>
        <w:t xml:space="preserve"> applicants to stop selling residential stands on 1</w:t>
      </w:r>
      <w:r w:rsidRPr="008E4DCE">
        <w:rPr>
          <w:sz w:val="24"/>
          <w:szCs w:val="24"/>
          <w:vertAlign w:val="superscript"/>
          <w:lang w:val="en-US"/>
        </w:rPr>
        <w:t>st</w:t>
      </w:r>
      <w:r w:rsidRPr="008E4DCE">
        <w:rPr>
          <w:sz w:val="24"/>
          <w:szCs w:val="24"/>
          <w:lang w:val="en-US"/>
        </w:rPr>
        <w:t xml:space="preserve"> respondent’s claims namely Chicago registration number G3041, Orion registration number 7718, November registration number 4177 and Phoenix West parallel registration number B479.</w:t>
      </w:r>
    </w:p>
    <w:p w:rsidR="0051246F" w:rsidRPr="008E4DCE" w:rsidRDefault="0051246F" w:rsidP="00635F6E">
      <w:pPr>
        <w:pStyle w:val="NoSpacing"/>
        <w:ind w:left="1440" w:hanging="720"/>
        <w:jc w:val="both"/>
        <w:rPr>
          <w:sz w:val="24"/>
          <w:szCs w:val="24"/>
          <w:lang w:val="en-US"/>
        </w:rPr>
      </w:pPr>
      <w:r w:rsidRPr="008E4DCE">
        <w:rPr>
          <w:sz w:val="24"/>
          <w:szCs w:val="24"/>
          <w:lang w:val="en-US"/>
        </w:rPr>
        <w:t>b.</w:t>
      </w:r>
      <w:r w:rsidRPr="008E4DCE">
        <w:rPr>
          <w:sz w:val="24"/>
          <w:szCs w:val="24"/>
          <w:lang w:val="en-US"/>
        </w:rPr>
        <w:tab/>
        <w:t>An order compelling second respondent to cancel the Deed of Transfer number 1339/85 which is registered in favour of first applicant and transfer same to the first respondent.</w:t>
      </w:r>
    </w:p>
    <w:p w:rsidR="0051246F" w:rsidRPr="008E4DCE" w:rsidRDefault="0051246F" w:rsidP="00635F6E">
      <w:pPr>
        <w:pStyle w:val="NoSpacing"/>
        <w:ind w:left="1440" w:hanging="720"/>
        <w:jc w:val="both"/>
        <w:rPr>
          <w:sz w:val="24"/>
          <w:szCs w:val="24"/>
          <w:lang w:val="en-US"/>
        </w:rPr>
      </w:pPr>
      <w:r w:rsidRPr="008E4DCE">
        <w:rPr>
          <w:sz w:val="24"/>
          <w:szCs w:val="24"/>
          <w:lang w:val="en-US"/>
        </w:rPr>
        <w:lastRenderedPageBreak/>
        <w:t>c.</w:t>
      </w:r>
      <w:r w:rsidRPr="008E4DCE">
        <w:rPr>
          <w:sz w:val="24"/>
          <w:szCs w:val="24"/>
          <w:lang w:val="en-US"/>
        </w:rPr>
        <w:tab/>
        <w:t>Costs of suit on the legal practitioner and client scale to be borne by first and second applicants jointly and severally.”</w:t>
      </w:r>
    </w:p>
    <w:p w:rsidR="0051246F" w:rsidRPr="008E4DCE" w:rsidRDefault="0051246F" w:rsidP="00635F6E">
      <w:pPr>
        <w:pStyle w:val="NoSpacing"/>
        <w:jc w:val="both"/>
        <w:rPr>
          <w:sz w:val="24"/>
          <w:szCs w:val="24"/>
          <w:lang w:val="en-US"/>
        </w:rPr>
      </w:pPr>
    </w:p>
    <w:p w:rsidR="0051246F" w:rsidRPr="008E4DCE" w:rsidRDefault="0051246F" w:rsidP="00635F6E">
      <w:pPr>
        <w:ind w:firstLine="720"/>
        <w:jc w:val="both"/>
        <w:rPr>
          <w:sz w:val="24"/>
          <w:szCs w:val="24"/>
          <w:lang w:val="en-US"/>
        </w:rPr>
      </w:pPr>
      <w:r w:rsidRPr="008E4DCE">
        <w:rPr>
          <w:sz w:val="24"/>
          <w:szCs w:val="24"/>
          <w:lang w:val="en-US"/>
        </w:rPr>
        <w:t>The gist of 1</w:t>
      </w:r>
      <w:r w:rsidRPr="008E4DCE">
        <w:rPr>
          <w:sz w:val="24"/>
          <w:szCs w:val="24"/>
          <w:vertAlign w:val="superscript"/>
          <w:lang w:val="en-US"/>
        </w:rPr>
        <w:t>st</w:t>
      </w:r>
      <w:r w:rsidR="00123516" w:rsidRPr="008E4DCE">
        <w:rPr>
          <w:sz w:val="24"/>
          <w:szCs w:val="24"/>
          <w:lang w:val="en-US"/>
        </w:rPr>
        <w:t xml:space="preserve"> </w:t>
      </w:r>
      <w:r w:rsidRPr="008E4DCE">
        <w:rPr>
          <w:sz w:val="24"/>
          <w:szCs w:val="24"/>
          <w:lang w:val="en-US"/>
        </w:rPr>
        <w:t>respondent’s case was that it was the holder of mining claims which are not defined</w:t>
      </w:r>
      <w:r w:rsidR="003C74A2" w:rsidRPr="008E4DCE">
        <w:rPr>
          <w:sz w:val="24"/>
          <w:szCs w:val="24"/>
          <w:lang w:val="en-US"/>
        </w:rPr>
        <w:t xml:space="preserve"> with the requisite specificity and particularity.  Further, it sought an interdict barring 1</w:t>
      </w:r>
      <w:r w:rsidR="003C74A2" w:rsidRPr="008E4DCE">
        <w:rPr>
          <w:sz w:val="24"/>
          <w:szCs w:val="24"/>
          <w:vertAlign w:val="superscript"/>
          <w:lang w:val="en-US"/>
        </w:rPr>
        <w:t>st</w:t>
      </w:r>
      <w:r w:rsidR="003C74A2" w:rsidRPr="008E4DCE">
        <w:rPr>
          <w:sz w:val="24"/>
          <w:szCs w:val="24"/>
          <w:lang w:val="en-US"/>
        </w:rPr>
        <w:t xml:space="preserve"> and 2</w:t>
      </w:r>
      <w:r w:rsidR="003C74A2" w:rsidRPr="008E4DCE">
        <w:rPr>
          <w:sz w:val="24"/>
          <w:szCs w:val="24"/>
          <w:vertAlign w:val="superscript"/>
          <w:lang w:val="en-US"/>
        </w:rPr>
        <w:t>nd</w:t>
      </w:r>
      <w:r w:rsidR="003C74A2" w:rsidRPr="008E4DCE">
        <w:rPr>
          <w:sz w:val="24"/>
          <w:szCs w:val="24"/>
          <w:lang w:val="en-US"/>
        </w:rPr>
        <w:t xml:space="preserve"> applicants from </w:t>
      </w:r>
      <w:r w:rsidR="00123516" w:rsidRPr="008E4DCE">
        <w:rPr>
          <w:sz w:val="24"/>
          <w:szCs w:val="24"/>
          <w:lang w:val="en-US"/>
        </w:rPr>
        <w:t>proceeding with their lawful act</w:t>
      </w:r>
      <w:r w:rsidR="003C74A2" w:rsidRPr="008E4DCE">
        <w:rPr>
          <w:sz w:val="24"/>
          <w:szCs w:val="24"/>
          <w:lang w:val="en-US"/>
        </w:rPr>
        <w:t>s.</w:t>
      </w:r>
    </w:p>
    <w:p w:rsidR="003C74A2" w:rsidRPr="008E4DCE" w:rsidRDefault="00F1663D" w:rsidP="00635F6E">
      <w:pPr>
        <w:ind w:firstLine="720"/>
        <w:jc w:val="both"/>
        <w:rPr>
          <w:sz w:val="24"/>
          <w:szCs w:val="24"/>
          <w:lang w:val="en-US"/>
        </w:rPr>
      </w:pPr>
      <w:r w:rsidRPr="008E4DCE">
        <w:rPr>
          <w:sz w:val="24"/>
          <w:szCs w:val="24"/>
          <w:lang w:val="en-US"/>
        </w:rPr>
        <w:t>The relief sought was opposed by 1</w:t>
      </w:r>
      <w:r w:rsidRPr="008E4DCE">
        <w:rPr>
          <w:sz w:val="24"/>
          <w:szCs w:val="24"/>
          <w:vertAlign w:val="superscript"/>
          <w:lang w:val="en-US"/>
        </w:rPr>
        <w:t>st</w:t>
      </w:r>
      <w:r w:rsidRPr="008E4DCE">
        <w:rPr>
          <w:sz w:val="24"/>
          <w:szCs w:val="24"/>
          <w:lang w:val="en-US"/>
        </w:rPr>
        <w:t xml:space="preserve"> and 2</w:t>
      </w:r>
      <w:r w:rsidRPr="008E4DCE">
        <w:rPr>
          <w:sz w:val="24"/>
          <w:szCs w:val="24"/>
          <w:vertAlign w:val="superscript"/>
          <w:lang w:val="en-US"/>
        </w:rPr>
        <w:t>nd</w:t>
      </w:r>
      <w:r w:rsidRPr="008E4DCE">
        <w:rPr>
          <w:sz w:val="24"/>
          <w:szCs w:val="24"/>
          <w:lang w:val="en-US"/>
        </w:rPr>
        <w:t xml:space="preserve"> applicants.  In time a plea was entered which was responded to with a replication.  The 1</w:t>
      </w:r>
      <w:r w:rsidRPr="008E4DCE">
        <w:rPr>
          <w:sz w:val="24"/>
          <w:szCs w:val="24"/>
          <w:vertAlign w:val="superscript"/>
          <w:lang w:val="en-US"/>
        </w:rPr>
        <w:t>st</w:t>
      </w:r>
      <w:r w:rsidRPr="008E4DCE">
        <w:rPr>
          <w:sz w:val="24"/>
          <w:szCs w:val="24"/>
          <w:lang w:val="en-US"/>
        </w:rPr>
        <w:t xml:space="preserve"> respondent’s replication was filed on the 6</w:t>
      </w:r>
      <w:r w:rsidRPr="008E4DCE">
        <w:rPr>
          <w:sz w:val="24"/>
          <w:szCs w:val="24"/>
          <w:vertAlign w:val="superscript"/>
          <w:lang w:val="en-US"/>
        </w:rPr>
        <w:t>th</w:t>
      </w:r>
      <w:r w:rsidRPr="008E4DCE">
        <w:rPr>
          <w:sz w:val="24"/>
          <w:szCs w:val="24"/>
          <w:lang w:val="en-US"/>
        </w:rPr>
        <w:t xml:space="preserve"> day of July 2</w:t>
      </w:r>
      <w:r w:rsidR="008C0206" w:rsidRPr="008E4DCE">
        <w:rPr>
          <w:sz w:val="24"/>
          <w:szCs w:val="24"/>
          <w:lang w:val="en-US"/>
        </w:rPr>
        <w:t>017.  Since then nothing happened until applicants filed this application for dismissal of suit under HC 1779/16 for want of prosecution.  The application is based on the common law and or section 176 of the Constitution of Zimbabwe (Amendment No. 20) Act of 2013 citing that this court has the inherent power to regulate its process.</w:t>
      </w:r>
    </w:p>
    <w:p w:rsidR="008C0206" w:rsidRPr="008E4DCE" w:rsidRDefault="008C0206" w:rsidP="00635F6E">
      <w:pPr>
        <w:ind w:firstLine="720"/>
        <w:jc w:val="both"/>
        <w:rPr>
          <w:sz w:val="24"/>
          <w:szCs w:val="24"/>
          <w:lang w:val="en-US"/>
        </w:rPr>
      </w:pPr>
      <w:r w:rsidRPr="008E4DCE">
        <w:rPr>
          <w:sz w:val="24"/>
          <w:szCs w:val="24"/>
          <w:lang w:val="en-US"/>
        </w:rPr>
        <w:t>Further, applicants grounded their application on the reason that there had been inordinate delay in prosecuting the matter under HC</w:t>
      </w:r>
      <w:r w:rsidR="00491B86" w:rsidRPr="008E4DCE">
        <w:rPr>
          <w:sz w:val="24"/>
          <w:szCs w:val="24"/>
          <w:lang w:val="en-US"/>
        </w:rPr>
        <w:t xml:space="preserve"> 1779/16 and as such had suffered prejudice.  The proceedings under HC 1779/16 were instituted on the 3</w:t>
      </w:r>
      <w:r w:rsidR="00491B86" w:rsidRPr="008E4DCE">
        <w:rPr>
          <w:sz w:val="24"/>
          <w:szCs w:val="24"/>
          <w:vertAlign w:val="superscript"/>
          <w:lang w:val="en-US"/>
        </w:rPr>
        <w:t>rd</w:t>
      </w:r>
      <w:r w:rsidR="00491B86" w:rsidRPr="008E4DCE">
        <w:rPr>
          <w:sz w:val="24"/>
          <w:szCs w:val="24"/>
          <w:lang w:val="en-US"/>
        </w:rPr>
        <w:t xml:space="preserve"> of October 2016.  Therefore </w:t>
      </w:r>
      <w:r w:rsidR="00123516" w:rsidRPr="008E4DCE">
        <w:rPr>
          <w:sz w:val="24"/>
          <w:szCs w:val="24"/>
          <w:lang w:val="en-US"/>
        </w:rPr>
        <w:t>as at</w:t>
      </w:r>
      <w:r w:rsidR="00491B86" w:rsidRPr="008E4DCE">
        <w:rPr>
          <w:sz w:val="24"/>
          <w:szCs w:val="24"/>
          <w:lang w:val="en-US"/>
        </w:rPr>
        <w:t xml:space="preserve"> the hearing of this matter it will be at </w:t>
      </w:r>
      <w:r w:rsidR="00545B8F" w:rsidRPr="008E4DCE">
        <w:rPr>
          <w:sz w:val="24"/>
          <w:szCs w:val="24"/>
          <w:lang w:val="en-US"/>
        </w:rPr>
        <w:t>l</w:t>
      </w:r>
      <w:r w:rsidR="00491B86" w:rsidRPr="008E4DCE">
        <w:rPr>
          <w:sz w:val="24"/>
          <w:szCs w:val="24"/>
          <w:lang w:val="en-US"/>
        </w:rPr>
        <w:t>east four (4) years</w:t>
      </w:r>
      <w:r w:rsidR="00545B8F" w:rsidRPr="008E4DCE">
        <w:rPr>
          <w:sz w:val="24"/>
          <w:szCs w:val="24"/>
          <w:lang w:val="en-US"/>
        </w:rPr>
        <w:t xml:space="preserve"> after the suit was instituted.  It is also applicants’ contention that 1</w:t>
      </w:r>
      <w:r w:rsidR="00545B8F" w:rsidRPr="008E4DCE">
        <w:rPr>
          <w:sz w:val="24"/>
          <w:szCs w:val="24"/>
          <w:vertAlign w:val="superscript"/>
          <w:lang w:val="en-US"/>
        </w:rPr>
        <w:t>st</w:t>
      </w:r>
      <w:r w:rsidR="00545B8F" w:rsidRPr="008E4DCE">
        <w:rPr>
          <w:sz w:val="24"/>
          <w:szCs w:val="24"/>
          <w:lang w:val="en-US"/>
        </w:rPr>
        <w:t xml:space="preserve"> respondent does not deny that there has been such an inordinate delay.  This delay has not been explained by the 1</w:t>
      </w:r>
      <w:r w:rsidR="00545B8F" w:rsidRPr="008E4DCE">
        <w:rPr>
          <w:sz w:val="24"/>
          <w:szCs w:val="24"/>
          <w:vertAlign w:val="superscript"/>
          <w:lang w:val="en-US"/>
        </w:rPr>
        <w:t>st</w:t>
      </w:r>
      <w:r w:rsidR="00545B8F" w:rsidRPr="008E4DCE">
        <w:rPr>
          <w:sz w:val="24"/>
          <w:szCs w:val="24"/>
          <w:lang w:val="en-US"/>
        </w:rPr>
        <w:t xml:space="preserve"> respondent.</w:t>
      </w:r>
    </w:p>
    <w:p w:rsidR="00545B8F" w:rsidRPr="008E4DCE" w:rsidRDefault="00545B8F" w:rsidP="00635F6E">
      <w:pPr>
        <w:ind w:firstLine="720"/>
        <w:jc w:val="both"/>
        <w:rPr>
          <w:sz w:val="24"/>
          <w:szCs w:val="24"/>
          <w:lang w:val="en-US"/>
        </w:rPr>
      </w:pPr>
      <w:r w:rsidRPr="008E4DCE">
        <w:rPr>
          <w:sz w:val="24"/>
          <w:szCs w:val="24"/>
          <w:lang w:val="en-US"/>
        </w:rPr>
        <w:t xml:space="preserve">Upon the hearing of this </w:t>
      </w:r>
      <w:r w:rsidR="00123516" w:rsidRPr="008E4DCE">
        <w:rPr>
          <w:sz w:val="24"/>
          <w:szCs w:val="24"/>
          <w:lang w:val="en-US"/>
        </w:rPr>
        <w:t>case</w:t>
      </w:r>
      <w:r w:rsidRPr="008E4DCE">
        <w:rPr>
          <w:sz w:val="24"/>
          <w:szCs w:val="24"/>
          <w:lang w:val="en-US"/>
        </w:rPr>
        <w:t xml:space="preserve">, the parties resolved their points </w:t>
      </w:r>
      <w:r w:rsidRPr="008E4DCE">
        <w:rPr>
          <w:i/>
          <w:sz w:val="24"/>
          <w:szCs w:val="24"/>
          <w:lang w:val="en-US"/>
        </w:rPr>
        <w:t>in limine</w:t>
      </w:r>
      <w:r w:rsidRPr="008E4DCE">
        <w:rPr>
          <w:sz w:val="24"/>
          <w:szCs w:val="24"/>
          <w:lang w:val="en-US"/>
        </w:rPr>
        <w:t xml:space="preserve"> as follows:  The application for condonation by 1</w:t>
      </w:r>
      <w:r w:rsidRPr="008E4DCE">
        <w:rPr>
          <w:sz w:val="24"/>
          <w:szCs w:val="24"/>
          <w:vertAlign w:val="superscript"/>
          <w:lang w:val="en-US"/>
        </w:rPr>
        <w:t>st</w:t>
      </w:r>
      <w:r w:rsidRPr="008E4DCE">
        <w:rPr>
          <w:sz w:val="24"/>
          <w:szCs w:val="24"/>
          <w:lang w:val="en-US"/>
        </w:rPr>
        <w:t xml:space="preserve"> respondent was not opposed and was therefore granted.  The second </w:t>
      </w:r>
      <w:r w:rsidR="00123516" w:rsidRPr="008E4DCE">
        <w:rPr>
          <w:sz w:val="24"/>
          <w:szCs w:val="24"/>
          <w:lang w:val="en-US"/>
        </w:rPr>
        <w:t>issue</w:t>
      </w:r>
      <w:r w:rsidRPr="008E4DCE">
        <w:rPr>
          <w:sz w:val="24"/>
          <w:szCs w:val="24"/>
          <w:lang w:val="en-US"/>
        </w:rPr>
        <w:t xml:space="preserve"> relating to 1</w:t>
      </w:r>
      <w:r w:rsidRPr="008E4DCE">
        <w:rPr>
          <w:sz w:val="24"/>
          <w:szCs w:val="24"/>
          <w:vertAlign w:val="superscript"/>
          <w:lang w:val="en-US"/>
        </w:rPr>
        <w:t>st</w:t>
      </w:r>
      <w:r w:rsidRPr="008E4DCE">
        <w:rPr>
          <w:sz w:val="24"/>
          <w:szCs w:val="24"/>
          <w:lang w:val="en-US"/>
        </w:rPr>
        <w:t xml:space="preserve"> respondent’s authority was abandoned.  Thirdly, the stage</w:t>
      </w:r>
      <w:r w:rsidR="009C204E" w:rsidRPr="008E4DCE">
        <w:rPr>
          <w:sz w:val="24"/>
          <w:szCs w:val="24"/>
          <w:lang w:val="en-US"/>
        </w:rPr>
        <w:t xml:space="preserve"> that the action matter has reached was agreed as the filing of replication documents.  </w:t>
      </w:r>
      <w:r w:rsidR="008211B3" w:rsidRPr="008E4DCE">
        <w:rPr>
          <w:sz w:val="24"/>
          <w:szCs w:val="24"/>
          <w:lang w:val="en-US"/>
        </w:rPr>
        <w:t xml:space="preserve">  Paragraph 6.2 of the 1</w:t>
      </w:r>
      <w:r w:rsidR="008211B3" w:rsidRPr="008E4DCE">
        <w:rPr>
          <w:sz w:val="24"/>
          <w:szCs w:val="24"/>
          <w:vertAlign w:val="superscript"/>
          <w:lang w:val="en-US"/>
        </w:rPr>
        <w:t>st</w:t>
      </w:r>
      <w:r w:rsidR="008211B3" w:rsidRPr="008E4DCE">
        <w:rPr>
          <w:sz w:val="24"/>
          <w:szCs w:val="24"/>
          <w:lang w:val="en-US"/>
        </w:rPr>
        <w:t xml:space="preserve"> respondent’s affidavit must be expunged from the record as it contained evidence that is not in the opposing affidavit.  Finally, the application for upliftment of a bar was not opposed and was accordingly granted by consent.</w:t>
      </w:r>
    </w:p>
    <w:p w:rsidR="008211B3" w:rsidRPr="008E4DCE" w:rsidRDefault="008211B3" w:rsidP="00635F6E">
      <w:pPr>
        <w:ind w:firstLine="720"/>
        <w:jc w:val="both"/>
        <w:rPr>
          <w:sz w:val="24"/>
          <w:szCs w:val="24"/>
          <w:lang w:val="en-US"/>
        </w:rPr>
      </w:pPr>
      <w:r w:rsidRPr="008E4DCE">
        <w:rPr>
          <w:sz w:val="24"/>
          <w:szCs w:val="24"/>
          <w:lang w:val="en-US"/>
        </w:rPr>
        <w:lastRenderedPageBreak/>
        <w:t xml:space="preserve">On the merits, the applicant’s point is that the validity of the application is not, a point </w:t>
      </w:r>
      <w:r w:rsidRPr="008E4DCE">
        <w:rPr>
          <w:i/>
          <w:sz w:val="24"/>
          <w:szCs w:val="24"/>
          <w:lang w:val="en-US"/>
        </w:rPr>
        <w:t>in limine</w:t>
      </w:r>
      <w:r w:rsidRPr="008E4DCE">
        <w:rPr>
          <w:sz w:val="24"/>
          <w:szCs w:val="24"/>
          <w:lang w:val="en-US"/>
        </w:rPr>
        <w:t xml:space="preserve"> but a point relating to the merits.  Applicants argued on the merits that they have</w:t>
      </w:r>
      <w:r w:rsidR="007E64A4" w:rsidRPr="008E4DCE">
        <w:rPr>
          <w:sz w:val="24"/>
          <w:szCs w:val="24"/>
          <w:lang w:val="en-US"/>
        </w:rPr>
        <w:t xml:space="preserve"> satisfied the following</w:t>
      </w:r>
      <w:r w:rsidR="007070D1" w:rsidRPr="008E4DCE">
        <w:rPr>
          <w:sz w:val="24"/>
          <w:szCs w:val="24"/>
          <w:lang w:val="en-US"/>
        </w:rPr>
        <w:t xml:space="preserve"> requirements;</w:t>
      </w:r>
    </w:p>
    <w:p w:rsidR="007070D1" w:rsidRPr="008E4DCE" w:rsidRDefault="007070D1" w:rsidP="00635F6E">
      <w:pPr>
        <w:pStyle w:val="ListParagraph"/>
        <w:numPr>
          <w:ilvl w:val="0"/>
          <w:numId w:val="2"/>
        </w:numPr>
        <w:jc w:val="both"/>
        <w:rPr>
          <w:sz w:val="24"/>
          <w:szCs w:val="24"/>
          <w:lang w:val="en-US"/>
        </w:rPr>
      </w:pPr>
      <w:r w:rsidRPr="008E4DCE">
        <w:rPr>
          <w:sz w:val="24"/>
          <w:szCs w:val="24"/>
          <w:lang w:val="en-US"/>
        </w:rPr>
        <w:t>That there has been inordinate delay.</w:t>
      </w:r>
    </w:p>
    <w:p w:rsidR="007070D1" w:rsidRPr="008E4DCE" w:rsidRDefault="007070D1" w:rsidP="00635F6E">
      <w:pPr>
        <w:pStyle w:val="ListParagraph"/>
        <w:numPr>
          <w:ilvl w:val="0"/>
          <w:numId w:val="2"/>
        </w:numPr>
        <w:jc w:val="both"/>
        <w:rPr>
          <w:sz w:val="24"/>
          <w:szCs w:val="24"/>
          <w:lang w:val="en-US"/>
        </w:rPr>
      </w:pPr>
      <w:r w:rsidRPr="008E4DCE">
        <w:rPr>
          <w:sz w:val="24"/>
          <w:szCs w:val="24"/>
          <w:lang w:val="en-US"/>
        </w:rPr>
        <w:t>That this inordinate delay is inexcusable;</w:t>
      </w:r>
    </w:p>
    <w:p w:rsidR="007070D1" w:rsidRPr="008E4DCE" w:rsidRDefault="007070D1" w:rsidP="00635F6E">
      <w:pPr>
        <w:pStyle w:val="ListParagraph"/>
        <w:numPr>
          <w:ilvl w:val="0"/>
          <w:numId w:val="2"/>
        </w:numPr>
        <w:jc w:val="both"/>
        <w:rPr>
          <w:sz w:val="24"/>
          <w:szCs w:val="24"/>
          <w:lang w:val="en-US"/>
        </w:rPr>
      </w:pPr>
      <w:r w:rsidRPr="008E4DCE">
        <w:rPr>
          <w:sz w:val="24"/>
          <w:szCs w:val="24"/>
          <w:lang w:val="en-US"/>
        </w:rPr>
        <w:t>That the defendants</w:t>
      </w:r>
      <w:r w:rsidR="00AF4B5C" w:rsidRPr="008E4DCE">
        <w:rPr>
          <w:sz w:val="24"/>
          <w:szCs w:val="24"/>
          <w:lang w:val="en-US"/>
        </w:rPr>
        <w:t xml:space="preserve"> (applicants herein) are likely to be seriously prejudiced by the delay.</w:t>
      </w:r>
    </w:p>
    <w:p w:rsidR="00F13AE3" w:rsidRPr="008E4DCE" w:rsidRDefault="00AF4B5C" w:rsidP="00635F6E">
      <w:pPr>
        <w:ind w:firstLine="720"/>
        <w:jc w:val="both"/>
        <w:rPr>
          <w:sz w:val="24"/>
          <w:szCs w:val="24"/>
          <w:lang w:val="en-US"/>
        </w:rPr>
      </w:pPr>
      <w:r w:rsidRPr="008E4DCE">
        <w:rPr>
          <w:sz w:val="24"/>
          <w:szCs w:val="24"/>
          <w:lang w:val="en-US"/>
        </w:rPr>
        <w:t xml:space="preserve">Applicants relied on a number of decided cases to support </w:t>
      </w:r>
      <w:r w:rsidR="00123516" w:rsidRPr="008E4DCE">
        <w:rPr>
          <w:sz w:val="24"/>
          <w:szCs w:val="24"/>
          <w:lang w:val="en-US"/>
        </w:rPr>
        <w:t>their</w:t>
      </w:r>
      <w:r w:rsidRPr="008E4DCE">
        <w:rPr>
          <w:sz w:val="24"/>
          <w:szCs w:val="24"/>
          <w:lang w:val="en-US"/>
        </w:rPr>
        <w:t xml:space="preserve"> argument.  As regards the question of prejudice</w:t>
      </w:r>
      <w:r w:rsidR="00E24A9F" w:rsidRPr="008E4DCE">
        <w:rPr>
          <w:sz w:val="24"/>
          <w:szCs w:val="24"/>
          <w:lang w:val="en-US"/>
        </w:rPr>
        <w:t>,</w:t>
      </w:r>
      <w:r w:rsidRPr="008E4DCE">
        <w:rPr>
          <w:sz w:val="24"/>
          <w:szCs w:val="24"/>
          <w:lang w:val="en-US"/>
        </w:rPr>
        <w:t xml:space="preserve"> once </w:t>
      </w:r>
      <w:r w:rsidR="00E24A9F" w:rsidRPr="008E4DCE">
        <w:rPr>
          <w:sz w:val="24"/>
          <w:szCs w:val="24"/>
          <w:lang w:val="en-US"/>
        </w:rPr>
        <w:t xml:space="preserve">it </w:t>
      </w:r>
      <w:r w:rsidRPr="008E4DCE">
        <w:rPr>
          <w:sz w:val="24"/>
          <w:szCs w:val="24"/>
          <w:lang w:val="en-US"/>
        </w:rPr>
        <w:t>is accepted that the applicants own the p</w:t>
      </w:r>
      <w:r w:rsidR="00123516" w:rsidRPr="008E4DCE">
        <w:rPr>
          <w:sz w:val="24"/>
          <w:szCs w:val="24"/>
          <w:lang w:val="en-US"/>
        </w:rPr>
        <w:t>roperty</w:t>
      </w:r>
      <w:r w:rsidRPr="008E4DCE">
        <w:rPr>
          <w:sz w:val="24"/>
          <w:szCs w:val="24"/>
          <w:lang w:val="en-US"/>
        </w:rPr>
        <w:t xml:space="preserve"> and that there are no endorsement</w:t>
      </w:r>
      <w:r w:rsidR="00123516" w:rsidRPr="008E4DCE">
        <w:rPr>
          <w:sz w:val="24"/>
          <w:szCs w:val="24"/>
          <w:lang w:val="en-US"/>
        </w:rPr>
        <w:t>s</w:t>
      </w:r>
      <w:r w:rsidR="00EC62A3" w:rsidRPr="008E4DCE">
        <w:rPr>
          <w:sz w:val="24"/>
          <w:szCs w:val="24"/>
          <w:lang w:val="en-US"/>
        </w:rPr>
        <w:t xml:space="preserve"> on it, any potential prejudice to be suffered is th</w:t>
      </w:r>
      <w:r w:rsidR="00BB0EAA" w:rsidRPr="008E4DCE">
        <w:rPr>
          <w:sz w:val="24"/>
          <w:szCs w:val="24"/>
          <w:lang w:val="en-US"/>
        </w:rPr>
        <w:t>e</w:t>
      </w:r>
      <w:r w:rsidR="00EC62A3" w:rsidRPr="008E4DCE">
        <w:rPr>
          <w:sz w:val="24"/>
          <w:szCs w:val="24"/>
          <w:lang w:val="en-US"/>
        </w:rPr>
        <w:t>re for anyone to see.  First</w:t>
      </w:r>
      <w:r w:rsidR="00123516" w:rsidRPr="008E4DCE">
        <w:rPr>
          <w:sz w:val="24"/>
          <w:szCs w:val="24"/>
          <w:lang w:val="en-US"/>
        </w:rPr>
        <w:t>,</w:t>
      </w:r>
      <w:r w:rsidR="00EC62A3" w:rsidRPr="008E4DCE">
        <w:rPr>
          <w:sz w:val="24"/>
          <w:szCs w:val="24"/>
          <w:lang w:val="en-US"/>
        </w:rPr>
        <w:t xml:space="preserve"> applicant cannot</w:t>
      </w:r>
      <w:r w:rsidR="00BB0EAA" w:rsidRPr="008E4DCE">
        <w:rPr>
          <w:sz w:val="24"/>
          <w:szCs w:val="24"/>
          <w:lang w:val="en-US"/>
        </w:rPr>
        <w:t xml:space="preserve"> possibl</w:t>
      </w:r>
      <w:r w:rsidR="00123516" w:rsidRPr="008E4DCE">
        <w:rPr>
          <w:sz w:val="24"/>
          <w:szCs w:val="24"/>
          <w:lang w:val="en-US"/>
        </w:rPr>
        <w:t>y</w:t>
      </w:r>
      <w:r w:rsidR="00BB0EAA" w:rsidRPr="008E4DCE">
        <w:rPr>
          <w:sz w:val="24"/>
          <w:szCs w:val="24"/>
          <w:lang w:val="en-US"/>
        </w:rPr>
        <w:t xml:space="preserve"> proceed to invest in the property with the main matter pending.  In respect of the balance of convenience</w:t>
      </w:r>
      <w:r w:rsidR="00123516" w:rsidRPr="008E4DCE">
        <w:rPr>
          <w:sz w:val="24"/>
          <w:szCs w:val="24"/>
          <w:lang w:val="en-US"/>
        </w:rPr>
        <w:t>, a</w:t>
      </w:r>
      <w:r w:rsidR="00BB0EAA" w:rsidRPr="008E4DCE">
        <w:rPr>
          <w:sz w:val="24"/>
          <w:szCs w:val="24"/>
          <w:lang w:val="en-US"/>
        </w:rPr>
        <w:t>pplicants submitted that 1</w:t>
      </w:r>
      <w:r w:rsidR="00BB0EAA" w:rsidRPr="008E4DCE">
        <w:rPr>
          <w:sz w:val="24"/>
          <w:szCs w:val="24"/>
          <w:vertAlign w:val="superscript"/>
          <w:lang w:val="en-US"/>
        </w:rPr>
        <w:t>st</w:t>
      </w:r>
      <w:r w:rsidR="00BB0EAA" w:rsidRPr="008E4DCE">
        <w:rPr>
          <w:sz w:val="24"/>
          <w:szCs w:val="24"/>
          <w:lang w:val="en-US"/>
        </w:rPr>
        <w:t xml:space="preserve"> respondent stand to lose nothing </w:t>
      </w:r>
      <w:r w:rsidR="00F02CD0" w:rsidRPr="008E4DCE">
        <w:rPr>
          <w:sz w:val="24"/>
          <w:szCs w:val="24"/>
          <w:lang w:val="en-US"/>
        </w:rPr>
        <w:t>if</w:t>
      </w:r>
      <w:r w:rsidR="00BB0EAA" w:rsidRPr="008E4DCE">
        <w:rPr>
          <w:sz w:val="24"/>
          <w:szCs w:val="24"/>
          <w:lang w:val="en-US"/>
        </w:rPr>
        <w:t xml:space="preserve"> the present</w:t>
      </w:r>
      <w:r w:rsidR="00F02CD0" w:rsidRPr="008E4DCE">
        <w:rPr>
          <w:sz w:val="24"/>
          <w:szCs w:val="24"/>
          <w:lang w:val="en-US"/>
        </w:rPr>
        <w:t xml:space="preserve"> application is granted.  First respondent has failed to prove its claim to the property by attaching any documentary evidence.</w:t>
      </w:r>
      <w:r w:rsidR="00747130" w:rsidRPr="008E4DCE">
        <w:rPr>
          <w:sz w:val="24"/>
          <w:szCs w:val="24"/>
          <w:lang w:val="en-US"/>
        </w:rPr>
        <w:t xml:space="preserve">  </w:t>
      </w:r>
    </w:p>
    <w:p w:rsidR="00747130" w:rsidRPr="008E4DCE" w:rsidRDefault="00747130" w:rsidP="00635F6E">
      <w:pPr>
        <w:ind w:firstLine="720"/>
        <w:jc w:val="both"/>
        <w:rPr>
          <w:sz w:val="24"/>
          <w:szCs w:val="24"/>
          <w:lang w:val="en-US"/>
        </w:rPr>
      </w:pPr>
      <w:r w:rsidRPr="008E4DCE">
        <w:rPr>
          <w:sz w:val="24"/>
          <w:szCs w:val="24"/>
          <w:lang w:val="en-US"/>
        </w:rPr>
        <w:t>These, according to the applicants are not signs of a serous litigant and owner of property.  Accordingly applicants prayed that the application be allowed with costs of suit.</w:t>
      </w:r>
    </w:p>
    <w:p w:rsidR="00747130" w:rsidRPr="008E4DCE" w:rsidRDefault="00747130" w:rsidP="00635F6E">
      <w:pPr>
        <w:ind w:firstLine="720"/>
        <w:jc w:val="both"/>
        <w:rPr>
          <w:sz w:val="24"/>
          <w:szCs w:val="24"/>
          <w:lang w:val="en-US"/>
        </w:rPr>
      </w:pPr>
      <w:r w:rsidRPr="008E4DCE">
        <w:rPr>
          <w:sz w:val="24"/>
          <w:szCs w:val="24"/>
          <w:lang w:val="en-US"/>
        </w:rPr>
        <w:t>The 1</w:t>
      </w:r>
      <w:r w:rsidRPr="008E4DCE">
        <w:rPr>
          <w:sz w:val="24"/>
          <w:szCs w:val="24"/>
          <w:vertAlign w:val="superscript"/>
          <w:lang w:val="en-US"/>
        </w:rPr>
        <w:t>st</w:t>
      </w:r>
      <w:r w:rsidRPr="008E4DCE">
        <w:rPr>
          <w:sz w:val="24"/>
          <w:szCs w:val="24"/>
          <w:lang w:val="en-US"/>
        </w:rPr>
        <w:t xml:space="preserve"> respondent opposed the application on the following grounds;</w:t>
      </w:r>
    </w:p>
    <w:p w:rsidR="00747130" w:rsidRPr="008E4DCE" w:rsidRDefault="00747130" w:rsidP="00635F6E">
      <w:pPr>
        <w:pStyle w:val="ListParagraph"/>
        <w:numPr>
          <w:ilvl w:val="0"/>
          <w:numId w:val="3"/>
        </w:numPr>
        <w:jc w:val="both"/>
        <w:rPr>
          <w:sz w:val="24"/>
          <w:szCs w:val="24"/>
          <w:lang w:val="en-US"/>
        </w:rPr>
      </w:pPr>
      <w:r w:rsidRPr="008E4DCE">
        <w:rPr>
          <w:sz w:val="24"/>
          <w:szCs w:val="24"/>
          <w:lang w:val="en-US"/>
        </w:rPr>
        <w:t>The application is defective</w:t>
      </w:r>
    </w:p>
    <w:p w:rsidR="00747130" w:rsidRPr="008E4DCE" w:rsidRDefault="00747130" w:rsidP="00635F6E">
      <w:pPr>
        <w:pStyle w:val="ListParagraph"/>
        <w:numPr>
          <w:ilvl w:val="0"/>
          <w:numId w:val="3"/>
        </w:numPr>
        <w:jc w:val="both"/>
        <w:rPr>
          <w:sz w:val="24"/>
          <w:szCs w:val="24"/>
          <w:lang w:val="en-US"/>
        </w:rPr>
      </w:pPr>
      <w:r w:rsidRPr="008E4DCE">
        <w:rPr>
          <w:sz w:val="24"/>
          <w:szCs w:val="24"/>
          <w:lang w:val="en-US"/>
        </w:rPr>
        <w:t>The balance of convenience favours the 1</w:t>
      </w:r>
      <w:r w:rsidRPr="008E4DCE">
        <w:rPr>
          <w:sz w:val="24"/>
          <w:szCs w:val="24"/>
          <w:vertAlign w:val="superscript"/>
          <w:lang w:val="en-US"/>
        </w:rPr>
        <w:t>st</w:t>
      </w:r>
      <w:r w:rsidRPr="008E4DCE">
        <w:rPr>
          <w:sz w:val="24"/>
          <w:szCs w:val="24"/>
          <w:lang w:val="en-US"/>
        </w:rPr>
        <w:t xml:space="preserve"> respondent</w:t>
      </w:r>
    </w:p>
    <w:p w:rsidR="00747130" w:rsidRPr="008E4DCE" w:rsidRDefault="00747130" w:rsidP="00635F6E">
      <w:pPr>
        <w:pStyle w:val="ListParagraph"/>
        <w:numPr>
          <w:ilvl w:val="0"/>
          <w:numId w:val="3"/>
        </w:numPr>
        <w:jc w:val="both"/>
        <w:rPr>
          <w:sz w:val="24"/>
          <w:szCs w:val="24"/>
          <w:lang w:val="en-US"/>
        </w:rPr>
      </w:pPr>
      <w:r w:rsidRPr="008E4DCE">
        <w:rPr>
          <w:sz w:val="24"/>
          <w:szCs w:val="24"/>
          <w:lang w:val="en-US"/>
        </w:rPr>
        <w:t>There is no prejudice being suffered by the applicant i</w:t>
      </w:r>
      <w:r w:rsidR="00123516" w:rsidRPr="008E4DCE">
        <w:rPr>
          <w:sz w:val="24"/>
          <w:szCs w:val="24"/>
          <w:lang w:val="en-US"/>
        </w:rPr>
        <w:t>f</w:t>
      </w:r>
      <w:r w:rsidRPr="008E4DCE">
        <w:rPr>
          <w:sz w:val="24"/>
          <w:szCs w:val="24"/>
          <w:lang w:val="en-US"/>
        </w:rPr>
        <w:t xml:space="preserve"> any, it is self-created</w:t>
      </w:r>
    </w:p>
    <w:p w:rsidR="00747130" w:rsidRPr="008E4DCE" w:rsidRDefault="00747130" w:rsidP="00635F6E">
      <w:pPr>
        <w:pStyle w:val="ListParagraph"/>
        <w:numPr>
          <w:ilvl w:val="0"/>
          <w:numId w:val="3"/>
        </w:numPr>
        <w:jc w:val="both"/>
        <w:rPr>
          <w:sz w:val="24"/>
          <w:szCs w:val="24"/>
          <w:lang w:val="en-US"/>
        </w:rPr>
      </w:pPr>
      <w:r w:rsidRPr="008E4DCE">
        <w:rPr>
          <w:sz w:val="24"/>
          <w:szCs w:val="24"/>
          <w:lang w:val="en-US"/>
        </w:rPr>
        <w:t>The 1</w:t>
      </w:r>
      <w:r w:rsidRPr="008E4DCE">
        <w:rPr>
          <w:sz w:val="24"/>
          <w:szCs w:val="24"/>
          <w:vertAlign w:val="superscript"/>
          <w:lang w:val="en-US"/>
        </w:rPr>
        <w:t>st</w:t>
      </w:r>
      <w:r w:rsidRPr="008E4DCE">
        <w:rPr>
          <w:sz w:val="24"/>
          <w:szCs w:val="24"/>
          <w:lang w:val="en-US"/>
        </w:rPr>
        <w:t xml:space="preserve"> despondent has high</w:t>
      </w:r>
      <w:r w:rsidR="00DF2E37" w:rsidRPr="008E4DCE">
        <w:rPr>
          <w:sz w:val="24"/>
          <w:szCs w:val="24"/>
          <w:lang w:val="en-US"/>
        </w:rPr>
        <w:t xml:space="preserve"> prospects of success in the main matter</w:t>
      </w:r>
    </w:p>
    <w:p w:rsidR="00E56433" w:rsidRPr="008E4DCE" w:rsidRDefault="00E56433" w:rsidP="00635F6E">
      <w:pPr>
        <w:ind w:left="720"/>
        <w:jc w:val="both"/>
        <w:rPr>
          <w:sz w:val="24"/>
          <w:szCs w:val="24"/>
          <w:lang w:val="en-US"/>
        </w:rPr>
      </w:pPr>
      <w:r w:rsidRPr="008E4DCE">
        <w:rPr>
          <w:sz w:val="24"/>
          <w:szCs w:val="24"/>
          <w:lang w:val="en-US"/>
        </w:rPr>
        <w:t xml:space="preserve">In reality there are only two issues </w:t>
      </w:r>
      <w:r w:rsidRPr="008E4DCE">
        <w:rPr>
          <w:i/>
          <w:sz w:val="24"/>
          <w:szCs w:val="24"/>
          <w:lang w:val="en-US"/>
        </w:rPr>
        <w:t>in casu</w:t>
      </w:r>
      <w:r w:rsidRPr="008E4DCE">
        <w:rPr>
          <w:sz w:val="24"/>
          <w:szCs w:val="24"/>
          <w:lang w:val="en-US"/>
        </w:rPr>
        <w:t>.  The 1</w:t>
      </w:r>
      <w:r w:rsidRPr="008E4DCE">
        <w:rPr>
          <w:sz w:val="24"/>
          <w:szCs w:val="24"/>
          <w:vertAlign w:val="superscript"/>
          <w:lang w:val="en-US"/>
        </w:rPr>
        <w:t>st</w:t>
      </w:r>
      <w:r w:rsidRPr="008E4DCE">
        <w:rPr>
          <w:sz w:val="24"/>
          <w:szCs w:val="24"/>
          <w:lang w:val="en-US"/>
        </w:rPr>
        <w:t xml:space="preserve"> is whether or not the</w:t>
      </w:r>
      <w:r w:rsidR="009E4939" w:rsidRPr="008E4DCE">
        <w:rPr>
          <w:sz w:val="24"/>
          <w:szCs w:val="24"/>
          <w:lang w:val="en-US"/>
        </w:rPr>
        <w:t xml:space="preserve"> application is defective.  The second issue is whether or not the requirement</w:t>
      </w:r>
      <w:r w:rsidR="00123516" w:rsidRPr="008E4DCE">
        <w:rPr>
          <w:sz w:val="24"/>
          <w:szCs w:val="24"/>
          <w:lang w:val="en-US"/>
        </w:rPr>
        <w:t>s</w:t>
      </w:r>
      <w:r w:rsidR="009E4939" w:rsidRPr="008E4DCE">
        <w:rPr>
          <w:sz w:val="24"/>
          <w:szCs w:val="24"/>
          <w:lang w:val="en-US"/>
        </w:rPr>
        <w:t xml:space="preserve"> for a dismissal of </w:t>
      </w:r>
      <w:r w:rsidR="00123516" w:rsidRPr="008E4DCE">
        <w:rPr>
          <w:sz w:val="24"/>
          <w:szCs w:val="24"/>
          <w:lang w:val="en-US"/>
        </w:rPr>
        <w:t>an</w:t>
      </w:r>
      <w:r w:rsidR="009E4939" w:rsidRPr="008E4DCE">
        <w:rPr>
          <w:sz w:val="24"/>
          <w:szCs w:val="24"/>
          <w:lang w:val="en-US"/>
        </w:rPr>
        <w:t xml:space="preserve"> </w:t>
      </w:r>
      <w:r w:rsidR="009E4939" w:rsidRPr="008E4DCE">
        <w:rPr>
          <w:sz w:val="24"/>
          <w:szCs w:val="24"/>
          <w:lang w:val="en-US"/>
        </w:rPr>
        <w:lastRenderedPageBreak/>
        <w:t>action</w:t>
      </w:r>
      <w:r w:rsidR="00635F6E" w:rsidRPr="008E4DCE">
        <w:rPr>
          <w:sz w:val="24"/>
          <w:szCs w:val="24"/>
          <w:lang w:val="en-US"/>
        </w:rPr>
        <w:t xml:space="preserve"> </w:t>
      </w:r>
      <w:r w:rsidR="009E4939" w:rsidRPr="008E4DCE">
        <w:rPr>
          <w:sz w:val="24"/>
          <w:szCs w:val="24"/>
          <w:lang w:val="en-US"/>
        </w:rPr>
        <w:t>matter have been met.  The crux of the matter is that both parties failed to discover after replication had been made.  The matter was left to rot in the Registrar’s Office for more than four years until the applicants filed the current application.</w:t>
      </w:r>
    </w:p>
    <w:p w:rsidR="009E4939" w:rsidRPr="008E4DCE" w:rsidRDefault="009E4939" w:rsidP="00635F6E">
      <w:pPr>
        <w:jc w:val="both"/>
        <w:rPr>
          <w:b/>
          <w:sz w:val="24"/>
          <w:szCs w:val="24"/>
          <w:lang w:val="en-US"/>
        </w:rPr>
      </w:pPr>
      <w:r w:rsidRPr="008E4DCE">
        <w:rPr>
          <w:b/>
          <w:sz w:val="24"/>
          <w:szCs w:val="24"/>
          <w:lang w:val="en-US"/>
        </w:rPr>
        <w:t>The law</w:t>
      </w:r>
    </w:p>
    <w:p w:rsidR="009E4939" w:rsidRPr="008E4DCE" w:rsidRDefault="009E4939" w:rsidP="00635F6E">
      <w:pPr>
        <w:jc w:val="both"/>
        <w:rPr>
          <w:sz w:val="24"/>
          <w:szCs w:val="24"/>
          <w:lang w:val="en-US"/>
        </w:rPr>
      </w:pPr>
      <w:r w:rsidRPr="008E4DCE">
        <w:rPr>
          <w:sz w:val="24"/>
          <w:szCs w:val="24"/>
          <w:lang w:val="en-US"/>
        </w:rPr>
        <w:tab/>
        <w:t>That this court has inherent jurisdiction to regulate its own process has been put beyond doubt by the provisions of section 176 of the Constitution of Zimbabwe (Amendment No. 20) Act 2013 (the Constitution).  The section states;</w:t>
      </w:r>
    </w:p>
    <w:p w:rsidR="009E4939" w:rsidRPr="008E4DCE" w:rsidRDefault="009E4939" w:rsidP="003352C8">
      <w:pPr>
        <w:pStyle w:val="NoSpacing"/>
        <w:ind w:left="1440" w:hanging="720"/>
        <w:jc w:val="both"/>
        <w:rPr>
          <w:sz w:val="24"/>
          <w:szCs w:val="24"/>
          <w:lang w:val="en-US"/>
        </w:rPr>
      </w:pPr>
      <w:r w:rsidRPr="008E4DCE">
        <w:rPr>
          <w:sz w:val="24"/>
          <w:szCs w:val="24"/>
          <w:lang w:val="en-US"/>
        </w:rPr>
        <w:t>“176.</w:t>
      </w:r>
      <w:r w:rsidRPr="008E4DCE">
        <w:rPr>
          <w:sz w:val="24"/>
          <w:szCs w:val="24"/>
          <w:lang w:val="en-US"/>
        </w:rPr>
        <w:tab/>
      </w:r>
      <w:r w:rsidRPr="008E4DCE">
        <w:rPr>
          <w:b/>
          <w:sz w:val="24"/>
          <w:szCs w:val="24"/>
          <w:u w:val="single"/>
          <w:lang w:val="en-US"/>
        </w:rPr>
        <w:t>Inherent Powers of Constitutional Court, Supreme Court and High Court</w:t>
      </w:r>
    </w:p>
    <w:p w:rsidR="009E4939" w:rsidRPr="008E4DCE" w:rsidRDefault="009E4939" w:rsidP="00635F6E">
      <w:pPr>
        <w:pStyle w:val="NoSpacing"/>
        <w:jc w:val="both"/>
        <w:rPr>
          <w:sz w:val="24"/>
          <w:szCs w:val="24"/>
          <w:lang w:val="en-US"/>
        </w:rPr>
      </w:pPr>
    </w:p>
    <w:p w:rsidR="009E4939" w:rsidRPr="008E4DCE" w:rsidRDefault="009E4939" w:rsidP="003352C8">
      <w:pPr>
        <w:pStyle w:val="NoSpacing"/>
        <w:ind w:left="1440"/>
        <w:jc w:val="both"/>
        <w:rPr>
          <w:sz w:val="24"/>
          <w:szCs w:val="24"/>
          <w:lang w:val="en-US"/>
        </w:rPr>
      </w:pPr>
      <w:r w:rsidRPr="008E4DCE">
        <w:rPr>
          <w:sz w:val="24"/>
          <w:szCs w:val="24"/>
          <w:lang w:val="en-US"/>
        </w:rPr>
        <w:t>The Co</w:t>
      </w:r>
      <w:r w:rsidR="00635F6E" w:rsidRPr="008E4DCE">
        <w:rPr>
          <w:sz w:val="24"/>
          <w:szCs w:val="24"/>
          <w:lang w:val="en-US"/>
        </w:rPr>
        <w:t>n</w:t>
      </w:r>
      <w:r w:rsidRPr="008E4DCE">
        <w:rPr>
          <w:sz w:val="24"/>
          <w:szCs w:val="24"/>
          <w:lang w:val="en-US"/>
        </w:rPr>
        <w:t xml:space="preserve">stitutional Court, the Supreme Court and the High Court have inherent power to protect and regulate their own process and to decide the common </w:t>
      </w:r>
      <w:r w:rsidR="00737C1B" w:rsidRPr="008E4DCE">
        <w:rPr>
          <w:sz w:val="24"/>
          <w:szCs w:val="24"/>
          <w:lang w:val="en-US"/>
        </w:rPr>
        <w:t>law, the customary law, taking into account the interest of justice and the provisions of this Constitution.</w:t>
      </w:r>
      <w:r w:rsidR="003352C8" w:rsidRPr="008E4DCE">
        <w:rPr>
          <w:sz w:val="24"/>
          <w:szCs w:val="24"/>
          <w:lang w:val="en-US"/>
        </w:rPr>
        <w:t>”</w:t>
      </w:r>
    </w:p>
    <w:p w:rsidR="00737C1B" w:rsidRPr="008E4DCE" w:rsidRDefault="00737C1B" w:rsidP="00635F6E">
      <w:pPr>
        <w:pStyle w:val="NoSpacing"/>
        <w:jc w:val="both"/>
        <w:rPr>
          <w:sz w:val="24"/>
          <w:szCs w:val="24"/>
          <w:lang w:val="en-US"/>
        </w:rPr>
      </w:pPr>
    </w:p>
    <w:p w:rsidR="00737C1B" w:rsidRPr="008E4DCE" w:rsidRDefault="00737C1B" w:rsidP="003352C8">
      <w:pPr>
        <w:rPr>
          <w:sz w:val="24"/>
          <w:szCs w:val="24"/>
          <w:lang w:val="en-US"/>
        </w:rPr>
      </w:pPr>
      <w:r w:rsidRPr="008E4DCE">
        <w:rPr>
          <w:sz w:val="24"/>
          <w:szCs w:val="24"/>
          <w:lang w:val="en-US"/>
        </w:rPr>
        <w:t xml:space="preserve">See also A. C. Cilliers, C. Loots and H. C. Nel; Herbstein and Van Winsen, </w:t>
      </w:r>
      <w:r w:rsidRPr="008E4DCE">
        <w:rPr>
          <w:i/>
          <w:sz w:val="24"/>
          <w:szCs w:val="24"/>
          <w:lang w:val="en-US"/>
        </w:rPr>
        <w:t>The Civil Practice of the High Court and the Supreme Court o</w:t>
      </w:r>
      <w:r w:rsidR="006B3721" w:rsidRPr="008E4DCE">
        <w:rPr>
          <w:i/>
          <w:sz w:val="24"/>
          <w:szCs w:val="24"/>
          <w:lang w:val="en-US"/>
        </w:rPr>
        <w:t>f</w:t>
      </w:r>
      <w:r w:rsidRPr="008E4DCE">
        <w:rPr>
          <w:i/>
          <w:sz w:val="24"/>
          <w:szCs w:val="24"/>
          <w:lang w:val="en-US"/>
        </w:rPr>
        <w:t xml:space="preserve"> Appeal of South Africa</w:t>
      </w:r>
      <w:r w:rsidRPr="008E4DCE">
        <w:rPr>
          <w:sz w:val="24"/>
          <w:szCs w:val="24"/>
          <w:lang w:val="en-US"/>
        </w:rPr>
        <w:t>, fifth edition, 2014, Juta &amp; Co. Ltd t page 49 where the le</w:t>
      </w:r>
      <w:r w:rsidR="008216E6" w:rsidRPr="008E4DCE">
        <w:rPr>
          <w:sz w:val="24"/>
          <w:szCs w:val="24"/>
          <w:lang w:val="en-US"/>
        </w:rPr>
        <w:t>a</w:t>
      </w:r>
      <w:r w:rsidRPr="008E4DCE">
        <w:rPr>
          <w:sz w:val="24"/>
          <w:szCs w:val="24"/>
          <w:lang w:val="en-US"/>
        </w:rPr>
        <w:t>rned authors relate to section 173 of the South African Constitution which is similar to our section 176.</w:t>
      </w:r>
    </w:p>
    <w:p w:rsidR="006A329D" w:rsidRPr="008E4DCE" w:rsidRDefault="006A329D" w:rsidP="003352C8">
      <w:pPr>
        <w:rPr>
          <w:sz w:val="24"/>
          <w:szCs w:val="24"/>
          <w:lang w:val="en-US"/>
        </w:rPr>
      </w:pPr>
      <w:r w:rsidRPr="008E4DCE">
        <w:rPr>
          <w:sz w:val="24"/>
          <w:szCs w:val="24"/>
          <w:lang w:val="en-US"/>
        </w:rPr>
        <w:tab/>
        <w:t xml:space="preserve">While it is </w:t>
      </w:r>
      <w:r w:rsidR="00123516" w:rsidRPr="008E4DCE">
        <w:rPr>
          <w:sz w:val="24"/>
          <w:szCs w:val="24"/>
          <w:lang w:val="en-US"/>
        </w:rPr>
        <w:t>accepted</w:t>
      </w:r>
      <w:r w:rsidRPr="008E4DCE">
        <w:rPr>
          <w:sz w:val="24"/>
          <w:szCs w:val="24"/>
          <w:lang w:val="en-US"/>
        </w:rPr>
        <w:t xml:space="preserve"> that the old High Court Rules 1971 and SI 212 of 2021 ma</w:t>
      </w:r>
      <w:r w:rsidR="00123516" w:rsidRPr="008E4DCE">
        <w:rPr>
          <w:sz w:val="24"/>
          <w:szCs w:val="24"/>
          <w:lang w:val="en-US"/>
        </w:rPr>
        <w:t>k</w:t>
      </w:r>
      <w:r w:rsidRPr="008E4DCE">
        <w:rPr>
          <w:sz w:val="24"/>
          <w:szCs w:val="24"/>
          <w:lang w:val="en-US"/>
        </w:rPr>
        <w:t>e no provision for the</w:t>
      </w:r>
      <w:r w:rsidR="00534704" w:rsidRPr="008E4DCE">
        <w:rPr>
          <w:sz w:val="24"/>
          <w:szCs w:val="24"/>
          <w:lang w:val="en-US"/>
        </w:rPr>
        <w:t xml:space="preserve"> dismissal of action proceedings for want of prosecution – </w:t>
      </w:r>
      <w:r w:rsidR="00534704" w:rsidRPr="008E4DCE">
        <w:rPr>
          <w:i/>
          <w:sz w:val="24"/>
          <w:szCs w:val="24"/>
          <w:lang w:val="en-US"/>
        </w:rPr>
        <w:t>Anchor Ranching (Pvt) Ltd</w:t>
      </w:r>
      <w:r w:rsidR="00534704" w:rsidRPr="008E4DCE">
        <w:rPr>
          <w:sz w:val="24"/>
          <w:szCs w:val="24"/>
          <w:lang w:val="en-US"/>
        </w:rPr>
        <w:t xml:space="preserve"> v </w:t>
      </w:r>
      <w:r w:rsidR="00534704" w:rsidRPr="008E4DCE">
        <w:rPr>
          <w:i/>
          <w:sz w:val="24"/>
          <w:szCs w:val="24"/>
          <w:lang w:val="en-US"/>
        </w:rPr>
        <w:t>Beneficial Ent</w:t>
      </w:r>
      <w:r w:rsidR="006B3721" w:rsidRPr="008E4DCE">
        <w:rPr>
          <w:i/>
          <w:sz w:val="24"/>
          <w:szCs w:val="24"/>
          <w:lang w:val="en-US"/>
        </w:rPr>
        <w:t>erprices</w:t>
      </w:r>
      <w:r w:rsidR="006B3721" w:rsidRPr="008E4DCE">
        <w:rPr>
          <w:sz w:val="24"/>
          <w:szCs w:val="24"/>
          <w:lang w:val="en-US"/>
        </w:rPr>
        <w:t xml:space="preserve"> </w:t>
      </w:r>
      <w:r w:rsidR="006B3721" w:rsidRPr="008E4DCE">
        <w:rPr>
          <w:i/>
          <w:sz w:val="24"/>
          <w:szCs w:val="24"/>
          <w:lang w:val="en-US"/>
        </w:rPr>
        <w:t>(Pvt) Ltd &amp; Anor</w:t>
      </w:r>
      <w:r w:rsidR="006B3721" w:rsidRPr="008E4DCE">
        <w:rPr>
          <w:sz w:val="24"/>
          <w:szCs w:val="24"/>
          <w:lang w:val="en-US"/>
        </w:rPr>
        <w:t xml:space="preserve"> 2008 (2) ZLR 246 (H), the rules of proc</w:t>
      </w:r>
      <w:r w:rsidR="00635F6E" w:rsidRPr="008E4DCE">
        <w:rPr>
          <w:sz w:val="24"/>
          <w:szCs w:val="24"/>
          <w:lang w:val="en-US"/>
        </w:rPr>
        <w:t>e</w:t>
      </w:r>
      <w:r w:rsidR="006B3721" w:rsidRPr="008E4DCE">
        <w:rPr>
          <w:sz w:val="24"/>
          <w:szCs w:val="24"/>
          <w:lang w:val="en-US"/>
        </w:rPr>
        <w:t xml:space="preserve">dure of this court are used for the purposes of administering justice and not of hampering it.  Further, where the rules are deficient, this court can go as far as it can in granting orders which would assist to further the administration of justice.  See </w:t>
      </w:r>
      <w:r w:rsidR="006B3721" w:rsidRPr="008E4DCE">
        <w:rPr>
          <w:i/>
          <w:sz w:val="24"/>
          <w:szCs w:val="24"/>
          <w:lang w:val="en-US"/>
        </w:rPr>
        <w:t>Nkoweni</w:t>
      </w:r>
      <w:r w:rsidR="006B3721" w:rsidRPr="008E4DCE">
        <w:rPr>
          <w:sz w:val="24"/>
          <w:szCs w:val="24"/>
          <w:lang w:val="en-US"/>
        </w:rPr>
        <w:t xml:space="preserve"> v </w:t>
      </w:r>
      <w:r w:rsidR="008216E6" w:rsidRPr="008E4DCE">
        <w:rPr>
          <w:i/>
          <w:sz w:val="24"/>
          <w:szCs w:val="24"/>
          <w:lang w:val="en-US"/>
        </w:rPr>
        <w:t xml:space="preserve">Bezuidnout </w:t>
      </w:r>
      <w:r w:rsidR="008216E6" w:rsidRPr="008E4DCE">
        <w:rPr>
          <w:sz w:val="24"/>
          <w:szCs w:val="24"/>
          <w:lang w:val="en-US"/>
        </w:rPr>
        <w:t xml:space="preserve">1927 CPD 130; </w:t>
      </w:r>
      <w:r w:rsidR="008216E6" w:rsidRPr="008E4DCE">
        <w:rPr>
          <w:i/>
          <w:sz w:val="24"/>
          <w:szCs w:val="24"/>
          <w:lang w:val="en-US"/>
        </w:rPr>
        <w:t>Universal City Studios INC</w:t>
      </w:r>
      <w:r w:rsidR="008216E6" w:rsidRPr="008E4DCE">
        <w:rPr>
          <w:sz w:val="24"/>
          <w:szCs w:val="24"/>
          <w:lang w:val="en-US"/>
        </w:rPr>
        <w:t xml:space="preserve"> v </w:t>
      </w:r>
      <w:r w:rsidR="008216E6" w:rsidRPr="008E4DCE">
        <w:rPr>
          <w:i/>
          <w:sz w:val="24"/>
          <w:szCs w:val="24"/>
          <w:lang w:val="en-US"/>
        </w:rPr>
        <w:t>Network Video (Pty) Ltd</w:t>
      </w:r>
      <w:r w:rsidR="008216E6" w:rsidRPr="008E4DCE">
        <w:rPr>
          <w:sz w:val="24"/>
          <w:szCs w:val="24"/>
          <w:lang w:val="en-US"/>
        </w:rPr>
        <w:t xml:space="preserve"> 1986 (2) SA 734; </w:t>
      </w:r>
      <w:r w:rsidR="008216E6" w:rsidRPr="008E4DCE">
        <w:rPr>
          <w:i/>
          <w:sz w:val="24"/>
          <w:szCs w:val="24"/>
          <w:lang w:val="en-US"/>
        </w:rPr>
        <w:t>Permanent Secretary Dept of Welfare Eastern Cape</w:t>
      </w:r>
      <w:r w:rsidR="008216E6" w:rsidRPr="008E4DCE">
        <w:rPr>
          <w:sz w:val="24"/>
          <w:szCs w:val="24"/>
          <w:lang w:val="en-US"/>
        </w:rPr>
        <w:t xml:space="preserve"> v </w:t>
      </w:r>
      <w:r w:rsidR="008216E6" w:rsidRPr="008E4DCE">
        <w:rPr>
          <w:i/>
          <w:sz w:val="24"/>
          <w:szCs w:val="24"/>
          <w:lang w:val="en-US"/>
        </w:rPr>
        <w:t>Noxmza</w:t>
      </w:r>
      <w:r w:rsidR="008216E6" w:rsidRPr="008E4DCE">
        <w:rPr>
          <w:sz w:val="24"/>
          <w:szCs w:val="24"/>
          <w:lang w:val="en-US"/>
        </w:rPr>
        <w:t xml:space="preserve"> 2001 (4) SA 1184 (SCA).</w:t>
      </w:r>
    </w:p>
    <w:p w:rsidR="008216E6" w:rsidRPr="008E4DCE" w:rsidRDefault="008216E6" w:rsidP="003352C8">
      <w:pPr>
        <w:rPr>
          <w:sz w:val="24"/>
          <w:szCs w:val="24"/>
          <w:lang w:val="en-US"/>
        </w:rPr>
      </w:pPr>
      <w:r w:rsidRPr="008E4DCE">
        <w:rPr>
          <w:sz w:val="24"/>
          <w:szCs w:val="24"/>
          <w:lang w:val="en-US"/>
        </w:rPr>
        <w:lastRenderedPageBreak/>
        <w:tab/>
        <w:t xml:space="preserve">In this jurisdiction, it is now accepted on authority of section 176 of the Constitution and the common law that an application of the present nature is proper and advances the interests of justice – see </w:t>
      </w:r>
      <w:r w:rsidRPr="008E4DCE">
        <w:rPr>
          <w:i/>
          <w:sz w:val="24"/>
          <w:szCs w:val="24"/>
          <w:lang w:val="en-US"/>
        </w:rPr>
        <w:t>Rio Zim Ltd</w:t>
      </w:r>
      <w:r w:rsidRPr="008E4DCE">
        <w:rPr>
          <w:sz w:val="24"/>
          <w:szCs w:val="24"/>
          <w:lang w:val="en-US"/>
        </w:rPr>
        <w:t xml:space="preserve"> v </w:t>
      </w:r>
      <w:r w:rsidRPr="008E4DCE">
        <w:rPr>
          <w:i/>
          <w:sz w:val="24"/>
          <w:szCs w:val="24"/>
          <w:lang w:val="en-US"/>
        </w:rPr>
        <w:t>Nigel Dixon Warren N. O</w:t>
      </w:r>
      <w:r w:rsidRPr="008E4DCE">
        <w:rPr>
          <w:sz w:val="24"/>
          <w:szCs w:val="24"/>
          <w:lang w:val="en-US"/>
        </w:rPr>
        <w:t xml:space="preserve"> HH-192-20 where this court per DUBE-BANDA J remarked; </w:t>
      </w:r>
    </w:p>
    <w:p w:rsidR="008216E6" w:rsidRPr="008E4DCE" w:rsidRDefault="008216E6" w:rsidP="00635F6E">
      <w:pPr>
        <w:pStyle w:val="NoSpacing"/>
        <w:jc w:val="both"/>
        <w:rPr>
          <w:sz w:val="24"/>
          <w:szCs w:val="24"/>
          <w:lang w:val="en-US"/>
        </w:rPr>
      </w:pPr>
    </w:p>
    <w:p w:rsidR="008216E6" w:rsidRPr="008E4DCE" w:rsidRDefault="003352C8" w:rsidP="003352C8">
      <w:pPr>
        <w:pStyle w:val="NoSpacing"/>
        <w:ind w:left="720"/>
        <w:jc w:val="both"/>
        <w:rPr>
          <w:sz w:val="24"/>
          <w:szCs w:val="24"/>
          <w:lang w:val="en-US"/>
        </w:rPr>
      </w:pPr>
      <w:r w:rsidRPr="008E4DCE">
        <w:rPr>
          <w:sz w:val="24"/>
          <w:szCs w:val="24"/>
          <w:lang w:val="en-US"/>
        </w:rPr>
        <w:t>“</w:t>
      </w:r>
      <w:r w:rsidR="008216E6" w:rsidRPr="008E4DCE">
        <w:rPr>
          <w:sz w:val="24"/>
          <w:szCs w:val="24"/>
          <w:lang w:val="en-US"/>
        </w:rPr>
        <w:t xml:space="preserve">The High Court has the inherent power, both at common </w:t>
      </w:r>
      <w:r w:rsidR="00123516" w:rsidRPr="008E4DCE">
        <w:rPr>
          <w:sz w:val="24"/>
          <w:szCs w:val="24"/>
          <w:lang w:val="en-US"/>
        </w:rPr>
        <w:t>l</w:t>
      </w:r>
      <w:r w:rsidR="008216E6" w:rsidRPr="008E4DCE">
        <w:rPr>
          <w:sz w:val="24"/>
          <w:szCs w:val="24"/>
          <w:lang w:val="en-US"/>
        </w:rPr>
        <w:t>aw and in terms of section 176 of the Constitution to protect and regulate its own process.  This power includes the right to prevent</w:t>
      </w:r>
      <w:r w:rsidR="00635F6E" w:rsidRPr="008E4DCE">
        <w:rPr>
          <w:sz w:val="24"/>
          <w:szCs w:val="24"/>
          <w:lang w:val="en-US"/>
        </w:rPr>
        <w:t xml:space="preserve"> an</w:t>
      </w:r>
      <w:r w:rsidR="003F4D48" w:rsidRPr="008E4DCE">
        <w:rPr>
          <w:sz w:val="24"/>
          <w:szCs w:val="24"/>
          <w:lang w:val="en-US"/>
        </w:rPr>
        <w:t xml:space="preserve"> abuse of its process in the form of frivolous or vexatious litigation.  An inordinate or unreasonable delay in prosecuting an action may constitute an abuse of process and warrant the dismissal of an action.”</w:t>
      </w:r>
    </w:p>
    <w:p w:rsidR="003F4D48" w:rsidRPr="008E4DCE" w:rsidRDefault="003F4D48" w:rsidP="00635F6E">
      <w:pPr>
        <w:jc w:val="both"/>
        <w:rPr>
          <w:sz w:val="24"/>
          <w:szCs w:val="24"/>
          <w:lang w:val="en-US"/>
        </w:rPr>
      </w:pPr>
    </w:p>
    <w:p w:rsidR="003F4D48" w:rsidRPr="008E4DCE" w:rsidRDefault="003F4D48" w:rsidP="00635F6E">
      <w:pPr>
        <w:jc w:val="both"/>
        <w:rPr>
          <w:sz w:val="24"/>
          <w:szCs w:val="24"/>
          <w:lang w:val="en-US"/>
        </w:rPr>
      </w:pPr>
      <w:r w:rsidRPr="008E4DCE">
        <w:rPr>
          <w:sz w:val="24"/>
          <w:szCs w:val="24"/>
          <w:lang w:val="en-US"/>
        </w:rPr>
        <w:tab/>
        <w:t>On the other hand the following legal principles evolve from the decided cases.</w:t>
      </w:r>
    </w:p>
    <w:p w:rsidR="003F4D48" w:rsidRPr="008E4DCE" w:rsidRDefault="003F4D48" w:rsidP="00635F6E">
      <w:pPr>
        <w:pStyle w:val="ListParagraph"/>
        <w:numPr>
          <w:ilvl w:val="0"/>
          <w:numId w:val="5"/>
        </w:numPr>
        <w:jc w:val="both"/>
        <w:rPr>
          <w:sz w:val="24"/>
          <w:szCs w:val="24"/>
          <w:lang w:val="en-US"/>
        </w:rPr>
      </w:pPr>
      <w:r w:rsidRPr="008E4DCE">
        <w:rPr>
          <w:sz w:val="24"/>
          <w:szCs w:val="24"/>
          <w:lang w:val="en-US"/>
        </w:rPr>
        <w:t xml:space="preserve">In </w:t>
      </w:r>
      <w:r w:rsidRPr="008E4DCE">
        <w:rPr>
          <w:i/>
          <w:sz w:val="24"/>
          <w:szCs w:val="24"/>
          <w:lang w:val="en-US"/>
        </w:rPr>
        <w:t>ex parte Millsite Investments Co. (Pty) Ltd</w:t>
      </w:r>
      <w:r w:rsidRPr="008E4DCE">
        <w:rPr>
          <w:sz w:val="24"/>
          <w:szCs w:val="24"/>
          <w:lang w:val="en-US"/>
        </w:rPr>
        <w:t xml:space="preserve"> 1965 (2) SA 582 (&amp;) VIERA J while address</w:t>
      </w:r>
      <w:r w:rsidR="00123516" w:rsidRPr="008E4DCE">
        <w:rPr>
          <w:sz w:val="24"/>
          <w:szCs w:val="24"/>
          <w:lang w:val="en-US"/>
        </w:rPr>
        <w:t>ing</w:t>
      </w:r>
      <w:r w:rsidRPr="008E4DCE">
        <w:rPr>
          <w:sz w:val="24"/>
          <w:szCs w:val="24"/>
          <w:lang w:val="en-US"/>
        </w:rPr>
        <w:t xml:space="preserve"> the inherent power of the court to regula</w:t>
      </w:r>
      <w:r w:rsidR="00123516" w:rsidRPr="008E4DCE">
        <w:rPr>
          <w:sz w:val="24"/>
          <w:szCs w:val="24"/>
          <w:lang w:val="en-US"/>
        </w:rPr>
        <w:t>te</w:t>
      </w:r>
      <w:r w:rsidRPr="008E4DCE">
        <w:rPr>
          <w:sz w:val="24"/>
          <w:szCs w:val="24"/>
          <w:lang w:val="en-US"/>
        </w:rPr>
        <w:t xml:space="preserve"> its process in terms of the Constitution and the common law stipulated that; “The inherent power is not merely one derived from the need to make the court order effective and to control its own procedure, but to hold the scales of justice </w:t>
      </w:r>
      <w:r w:rsidR="00F17EDB" w:rsidRPr="008E4DCE">
        <w:rPr>
          <w:sz w:val="24"/>
          <w:szCs w:val="24"/>
          <w:lang w:val="en-US"/>
        </w:rPr>
        <w:t>where no law provides directly for such a given situation.”(my emphasis)</w:t>
      </w:r>
    </w:p>
    <w:p w:rsidR="00F17EDB" w:rsidRPr="008E4DCE" w:rsidRDefault="00F17EDB" w:rsidP="00635F6E">
      <w:pPr>
        <w:pStyle w:val="ListParagraph"/>
        <w:numPr>
          <w:ilvl w:val="0"/>
          <w:numId w:val="5"/>
        </w:numPr>
        <w:jc w:val="both"/>
        <w:rPr>
          <w:sz w:val="24"/>
          <w:szCs w:val="24"/>
          <w:lang w:val="en-US"/>
        </w:rPr>
      </w:pPr>
      <w:r w:rsidRPr="008E4DCE">
        <w:rPr>
          <w:sz w:val="24"/>
          <w:szCs w:val="24"/>
          <w:lang w:val="en-US"/>
        </w:rPr>
        <w:t xml:space="preserve">In </w:t>
      </w:r>
      <w:r w:rsidRPr="008E4DCE">
        <w:rPr>
          <w:i/>
          <w:sz w:val="24"/>
          <w:szCs w:val="24"/>
          <w:lang w:val="en-US"/>
        </w:rPr>
        <w:t>Osthuizen</w:t>
      </w:r>
      <w:r w:rsidRPr="008E4DCE">
        <w:rPr>
          <w:sz w:val="24"/>
          <w:szCs w:val="24"/>
          <w:lang w:val="en-US"/>
        </w:rPr>
        <w:t xml:space="preserve"> v </w:t>
      </w:r>
      <w:r w:rsidRPr="008E4DCE">
        <w:rPr>
          <w:i/>
          <w:sz w:val="24"/>
          <w:szCs w:val="24"/>
          <w:lang w:val="en-US"/>
        </w:rPr>
        <w:t>Road Accident Fund</w:t>
      </w:r>
      <w:r w:rsidRPr="008E4DCE">
        <w:rPr>
          <w:sz w:val="24"/>
          <w:szCs w:val="24"/>
          <w:lang w:val="en-US"/>
        </w:rPr>
        <w:t xml:space="preserve"> 2011 (6) SA 31 (SCA) the court held that; “the court</w:t>
      </w:r>
      <w:r w:rsidR="00635F6E" w:rsidRPr="008E4DCE">
        <w:rPr>
          <w:sz w:val="24"/>
          <w:szCs w:val="24"/>
          <w:lang w:val="en-US"/>
        </w:rPr>
        <w:t xml:space="preserve"> </w:t>
      </w:r>
      <w:r w:rsidRPr="008E4DCE">
        <w:rPr>
          <w:sz w:val="24"/>
          <w:szCs w:val="24"/>
          <w:lang w:val="en-US"/>
        </w:rPr>
        <w:t>ought to be c</w:t>
      </w:r>
      <w:r w:rsidR="00635F6E" w:rsidRPr="008E4DCE">
        <w:rPr>
          <w:sz w:val="24"/>
          <w:szCs w:val="24"/>
          <w:lang w:val="en-US"/>
        </w:rPr>
        <w:t>autious</w:t>
      </w:r>
      <w:r w:rsidRPr="008E4DCE">
        <w:rPr>
          <w:sz w:val="24"/>
          <w:szCs w:val="24"/>
          <w:lang w:val="en-US"/>
        </w:rPr>
        <w:t xml:space="preserve"> about the exercise of their inherent power to regulate their procedure – that power </w:t>
      </w:r>
      <w:r w:rsidRPr="008E4DCE">
        <w:rPr>
          <w:sz w:val="24"/>
          <w:szCs w:val="24"/>
          <w:u w:val="single"/>
          <w:lang w:val="en-US"/>
        </w:rPr>
        <w:t>should be ex</w:t>
      </w:r>
      <w:r w:rsidR="00635F6E" w:rsidRPr="008E4DCE">
        <w:rPr>
          <w:sz w:val="24"/>
          <w:szCs w:val="24"/>
          <w:u w:val="single"/>
          <w:lang w:val="en-US"/>
        </w:rPr>
        <w:t>e</w:t>
      </w:r>
      <w:r w:rsidRPr="008E4DCE">
        <w:rPr>
          <w:sz w:val="24"/>
          <w:szCs w:val="24"/>
          <w:u w:val="single"/>
          <w:lang w:val="en-US"/>
        </w:rPr>
        <w:t>rcised sparingly and not as a matter of course.  This is be</w:t>
      </w:r>
      <w:r w:rsidR="00635F6E" w:rsidRPr="008E4DCE">
        <w:rPr>
          <w:sz w:val="24"/>
          <w:szCs w:val="24"/>
          <w:u w:val="single"/>
          <w:lang w:val="en-US"/>
        </w:rPr>
        <w:t>c</w:t>
      </w:r>
      <w:r w:rsidRPr="008E4DCE">
        <w:rPr>
          <w:sz w:val="24"/>
          <w:szCs w:val="24"/>
          <w:u w:val="single"/>
          <w:lang w:val="en-US"/>
        </w:rPr>
        <w:t>ause the Rules are there to regulate the practice and procedure of the courts</w:t>
      </w:r>
      <w:r w:rsidR="00635F6E" w:rsidRPr="008E4DCE">
        <w:rPr>
          <w:sz w:val="24"/>
          <w:szCs w:val="24"/>
          <w:u w:val="single"/>
          <w:lang w:val="en-US"/>
        </w:rPr>
        <w:t xml:space="preserve"> </w:t>
      </w:r>
      <w:r w:rsidRPr="008E4DCE">
        <w:rPr>
          <w:sz w:val="24"/>
          <w:szCs w:val="24"/>
          <w:u w:val="single"/>
          <w:lang w:val="en-US"/>
        </w:rPr>
        <w:t>in general terms</w:t>
      </w:r>
      <w:r w:rsidRPr="008E4DCE">
        <w:rPr>
          <w:sz w:val="24"/>
          <w:szCs w:val="24"/>
          <w:lang w:val="en-US"/>
        </w:rPr>
        <w:t xml:space="preserve"> and </w:t>
      </w:r>
      <w:r w:rsidRPr="008E4DCE">
        <w:rPr>
          <w:sz w:val="24"/>
          <w:szCs w:val="24"/>
          <w:u w:val="single"/>
          <w:lang w:val="en-US"/>
        </w:rPr>
        <w:t>strong grounds would have to be advanced to persuade the court to act outside the powers specifically provided for in the Rules.”</w:t>
      </w:r>
      <w:r w:rsidRPr="008E4DCE">
        <w:rPr>
          <w:sz w:val="24"/>
          <w:szCs w:val="24"/>
          <w:lang w:val="en-US"/>
        </w:rPr>
        <w:t>(my emphasis)</w:t>
      </w:r>
    </w:p>
    <w:p w:rsidR="00F17EDB" w:rsidRPr="008E4DCE" w:rsidRDefault="008A6CB0" w:rsidP="00635F6E">
      <w:pPr>
        <w:pStyle w:val="ListParagraph"/>
        <w:numPr>
          <w:ilvl w:val="0"/>
          <w:numId w:val="5"/>
        </w:numPr>
        <w:jc w:val="both"/>
        <w:rPr>
          <w:sz w:val="24"/>
          <w:szCs w:val="24"/>
          <w:lang w:val="en-US"/>
        </w:rPr>
      </w:pPr>
      <w:r w:rsidRPr="008E4DCE">
        <w:rPr>
          <w:sz w:val="24"/>
          <w:szCs w:val="24"/>
          <w:lang w:val="en-US"/>
        </w:rPr>
        <w:lastRenderedPageBreak/>
        <w:t xml:space="preserve">In </w:t>
      </w:r>
      <w:r w:rsidRPr="008E4DCE">
        <w:rPr>
          <w:i/>
          <w:sz w:val="24"/>
          <w:szCs w:val="24"/>
          <w:u w:val="single"/>
          <w:lang w:val="en-US"/>
        </w:rPr>
        <w:t>NEDBANK Ltd</w:t>
      </w:r>
      <w:r w:rsidR="00635F6E" w:rsidRPr="008E4DCE">
        <w:rPr>
          <w:sz w:val="24"/>
          <w:szCs w:val="24"/>
          <w:u w:val="single"/>
          <w:lang w:val="en-US"/>
        </w:rPr>
        <w:t xml:space="preserve"> and</w:t>
      </w:r>
      <w:r w:rsidRPr="008E4DCE">
        <w:rPr>
          <w:sz w:val="24"/>
          <w:szCs w:val="24"/>
          <w:u w:val="single"/>
          <w:lang w:val="en-US"/>
        </w:rPr>
        <w:t xml:space="preserve"> </w:t>
      </w:r>
      <w:r w:rsidRPr="008E4DCE">
        <w:rPr>
          <w:i/>
          <w:sz w:val="24"/>
          <w:szCs w:val="24"/>
          <w:u w:val="single"/>
          <w:lang w:val="en-US"/>
        </w:rPr>
        <w:t>V. W</w:t>
      </w:r>
      <w:r w:rsidRPr="008E4DCE">
        <w:rPr>
          <w:i/>
          <w:sz w:val="24"/>
          <w:szCs w:val="24"/>
          <w:lang w:val="en-US"/>
        </w:rPr>
        <w:t>. Sqirana</w:t>
      </w:r>
      <w:r w:rsidR="00F17EDB" w:rsidRPr="008E4DCE">
        <w:rPr>
          <w:i/>
          <w:sz w:val="24"/>
          <w:szCs w:val="24"/>
          <w:lang w:val="en-US"/>
        </w:rPr>
        <w:t xml:space="preserve"> N. O.</w:t>
      </w:r>
      <w:r w:rsidR="00F17EDB" w:rsidRPr="008E4DCE">
        <w:rPr>
          <w:sz w:val="24"/>
          <w:szCs w:val="24"/>
          <w:lang w:val="en-US"/>
        </w:rPr>
        <w:t xml:space="preserve"> HC-1203-2018, the court outlined the principles thus;</w:t>
      </w:r>
    </w:p>
    <w:p w:rsidR="00F17EDB" w:rsidRPr="008E4DCE" w:rsidRDefault="00F17EDB" w:rsidP="001B4B0D">
      <w:pPr>
        <w:pStyle w:val="NoSpacing"/>
        <w:ind w:left="720"/>
        <w:rPr>
          <w:sz w:val="24"/>
          <w:szCs w:val="24"/>
          <w:lang w:val="en-US"/>
        </w:rPr>
      </w:pPr>
      <w:r w:rsidRPr="008E4DCE">
        <w:rPr>
          <w:sz w:val="24"/>
          <w:szCs w:val="24"/>
          <w:lang w:val="en-US"/>
        </w:rPr>
        <w:t xml:space="preserve">“… </w:t>
      </w:r>
      <w:proofErr w:type="gramStart"/>
      <w:r w:rsidRPr="008E4DCE">
        <w:rPr>
          <w:sz w:val="24"/>
          <w:szCs w:val="24"/>
          <w:lang w:val="en-US"/>
        </w:rPr>
        <w:t>the</w:t>
      </w:r>
      <w:proofErr w:type="gramEnd"/>
      <w:r w:rsidRPr="008E4DCE">
        <w:rPr>
          <w:sz w:val="24"/>
          <w:szCs w:val="24"/>
          <w:lang w:val="en-US"/>
        </w:rPr>
        <w:t xml:space="preserve"> c</w:t>
      </w:r>
      <w:r w:rsidR="00635F6E" w:rsidRPr="008E4DCE">
        <w:rPr>
          <w:sz w:val="24"/>
          <w:szCs w:val="24"/>
          <w:lang w:val="en-US"/>
        </w:rPr>
        <w:t>o</w:t>
      </w:r>
      <w:r w:rsidRPr="008E4DCE">
        <w:rPr>
          <w:sz w:val="24"/>
          <w:szCs w:val="24"/>
          <w:lang w:val="en-US"/>
        </w:rPr>
        <w:t xml:space="preserve">urts can only do so when confronted with procedures and rules of court that do not provide a mechanism to deal with a particular </w:t>
      </w:r>
      <w:r w:rsidR="008A6CB0" w:rsidRPr="008E4DCE">
        <w:rPr>
          <w:sz w:val="24"/>
          <w:szCs w:val="24"/>
          <w:lang w:val="en-US"/>
        </w:rPr>
        <w:t>problem.  The court will, in that case be entitled to fashion the means to deal with the problem in order to enable it to do justice</w:t>
      </w:r>
      <w:r w:rsidR="001B4B0D" w:rsidRPr="008E4DCE">
        <w:rPr>
          <w:sz w:val="24"/>
          <w:szCs w:val="24"/>
          <w:lang w:val="en-US"/>
        </w:rPr>
        <w:t xml:space="preserve"> b</w:t>
      </w:r>
      <w:r w:rsidR="002D71DA" w:rsidRPr="008E4DCE">
        <w:rPr>
          <w:sz w:val="24"/>
          <w:szCs w:val="24"/>
          <w:lang w:val="en-US"/>
        </w:rPr>
        <w:t xml:space="preserve">etween the parties.  </w:t>
      </w:r>
      <w:r w:rsidR="002D71DA" w:rsidRPr="008E4DCE">
        <w:rPr>
          <w:sz w:val="24"/>
          <w:szCs w:val="24"/>
          <w:u w:val="single"/>
          <w:lang w:val="en-US"/>
        </w:rPr>
        <w:t>Where there is a mechanism or alternative remedy available to a party, it is not in the interests of justice for the High Court to exercise its inherent jurisdiction.</w:t>
      </w:r>
      <w:r w:rsidR="002D71DA" w:rsidRPr="008E4DCE">
        <w:rPr>
          <w:sz w:val="24"/>
          <w:szCs w:val="24"/>
          <w:lang w:val="en-US"/>
        </w:rPr>
        <w:t xml:space="preserve">  In other words, there must be a lacuna in the law.”</w:t>
      </w:r>
      <w:r w:rsidR="001B4B0D" w:rsidRPr="008E4DCE">
        <w:rPr>
          <w:sz w:val="24"/>
          <w:szCs w:val="24"/>
          <w:lang w:val="en-US"/>
        </w:rPr>
        <w:t xml:space="preserve">  (</w:t>
      </w:r>
      <w:proofErr w:type="gramStart"/>
      <w:r w:rsidR="001B4B0D" w:rsidRPr="008E4DCE">
        <w:rPr>
          <w:sz w:val="24"/>
          <w:szCs w:val="24"/>
          <w:lang w:val="en-US"/>
        </w:rPr>
        <w:t>my</w:t>
      </w:r>
      <w:proofErr w:type="gramEnd"/>
      <w:r w:rsidR="001B4B0D" w:rsidRPr="008E4DCE">
        <w:rPr>
          <w:sz w:val="24"/>
          <w:szCs w:val="24"/>
          <w:lang w:val="en-US"/>
        </w:rPr>
        <w:t xml:space="preserve"> emphasis)</w:t>
      </w:r>
    </w:p>
    <w:p w:rsidR="001B4B0D" w:rsidRPr="008E4DCE" w:rsidRDefault="001B4B0D" w:rsidP="001B4B0D">
      <w:pPr>
        <w:pStyle w:val="NoSpacing"/>
        <w:ind w:left="720"/>
        <w:rPr>
          <w:sz w:val="24"/>
          <w:szCs w:val="24"/>
          <w:lang w:val="en-US"/>
        </w:rPr>
      </w:pPr>
    </w:p>
    <w:p w:rsidR="002D71DA" w:rsidRPr="008E4DCE" w:rsidRDefault="002D71DA" w:rsidP="00635F6E">
      <w:pPr>
        <w:jc w:val="both"/>
        <w:rPr>
          <w:sz w:val="24"/>
          <w:szCs w:val="24"/>
          <w:lang w:val="en-US"/>
        </w:rPr>
      </w:pPr>
      <w:r w:rsidRPr="008E4DCE">
        <w:rPr>
          <w:sz w:val="24"/>
          <w:szCs w:val="24"/>
          <w:lang w:val="en-US"/>
        </w:rPr>
        <w:tab/>
        <w:t>The provisions of r47 (10) and (11) are also relevant to the question of whether or not this application is properly</w:t>
      </w:r>
      <w:r w:rsidR="00777D81" w:rsidRPr="008E4DCE">
        <w:rPr>
          <w:sz w:val="24"/>
          <w:szCs w:val="24"/>
          <w:lang w:val="en-US"/>
        </w:rPr>
        <w:t xml:space="preserve"> before the court.</w:t>
      </w:r>
    </w:p>
    <w:p w:rsidR="00777D81" w:rsidRPr="008E4DCE" w:rsidRDefault="00777D81" w:rsidP="00635F6E">
      <w:pPr>
        <w:jc w:val="both"/>
        <w:rPr>
          <w:sz w:val="24"/>
          <w:szCs w:val="24"/>
          <w:lang w:val="en-US"/>
        </w:rPr>
      </w:pPr>
      <w:r w:rsidRPr="008E4DCE">
        <w:rPr>
          <w:sz w:val="24"/>
          <w:szCs w:val="24"/>
          <w:lang w:val="en-US"/>
        </w:rPr>
        <w:tab/>
        <w:t>Sub</w:t>
      </w:r>
      <w:r w:rsidR="00635F6E" w:rsidRPr="008E4DCE">
        <w:rPr>
          <w:sz w:val="24"/>
          <w:szCs w:val="24"/>
          <w:lang w:val="en-US"/>
        </w:rPr>
        <w:t>-</w:t>
      </w:r>
      <w:r w:rsidRPr="008E4DCE">
        <w:rPr>
          <w:sz w:val="24"/>
          <w:szCs w:val="24"/>
          <w:lang w:val="en-US"/>
        </w:rPr>
        <w:t>rule (10) states;</w:t>
      </w:r>
    </w:p>
    <w:p w:rsidR="00777D81" w:rsidRPr="008E4DCE" w:rsidRDefault="00777D81" w:rsidP="001B4B0D">
      <w:pPr>
        <w:pStyle w:val="NoSpacing"/>
        <w:ind w:left="720"/>
        <w:rPr>
          <w:sz w:val="24"/>
          <w:szCs w:val="24"/>
          <w:lang w:val="en-US"/>
        </w:rPr>
      </w:pPr>
      <w:r w:rsidRPr="008E4DCE">
        <w:rPr>
          <w:sz w:val="24"/>
          <w:szCs w:val="24"/>
          <w:lang w:val="en-US"/>
        </w:rPr>
        <w:t>“(10)</w:t>
      </w:r>
      <w:r w:rsidRPr="008E4DCE">
        <w:rPr>
          <w:sz w:val="24"/>
          <w:szCs w:val="24"/>
          <w:lang w:val="en-US"/>
        </w:rPr>
        <w:tab/>
        <w:t>If a party fails to make discovery under this rule or having been served with a notice under sub</w:t>
      </w:r>
      <w:r w:rsidR="00635F6E" w:rsidRPr="008E4DCE">
        <w:rPr>
          <w:sz w:val="24"/>
          <w:szCs w:val="24"/>
          <w:lang w:val="en-US"/>
        </w:rPr>
        <w:t>-</w:t>
      </w:r>
      <w:r w:rsidRPr="008E4DCE">
        <w:rPr>
          <w:sz w:val="24"/>
          <w:szCs w:val="24"/>
          <w:lang w:val="en-US"/>
        </w:rPr>
        <w:t>rule (5) fails to give notice of a time for inspection or fails to permit inspection as required by that sub</w:t>
      </w:r>
      <w:r w:rsidR="00635F6E" w:rsidRPr="008E4DCE">
        <w:rPr>
          <w:sz w:val="24"/>
          <w:szCs w:val="24"/>
          <w:lang w:val="en-US"/>
        </w:rPr>
        <w:t>-</w:t>
      </w:r>
      <w:r w:rsidRPr="008E4DCE">
        <w:rPr>
          <w:sz w:val="24"/>
          <w:szCs w:val="24"/>
          <w:lang w:val="en-US"/>
        </w:rPr>
        <w:t xml:space="preserve">rule, the party desiring discovery or inspection </w:t>
      </w:r>
      <w:r w:rsidRPr="008E4DCE">
        <w:rPr>
          <w:sz w:val="24"/>
          <w:szCs w:val="24"/>
          <w:u w:val="single"/>
          <w:lang w:val="en-US"/>
        </w:rPr>
        <w:t>may make a chamber application for an order compelling such discovery</w:t>
      </w:r>
      <w:r w:rsidRPr="008E4DCE">
        <w:rPr>
          <w:sz w:val="24"/>
          <w:szCs w:val="24"/>
          <w:lang w:val="en-US"/>
        </w:rPr>
        <w:t xml:space="preserve"> or inspection and the judge may grant or refuse the order as he considers appropriate.</w:t>
      </w:r>
    </w:p>
    <w:p w:rsidR="001B4B0D" w:rsidRPr="008E4DCE" w:rsidRDefault="001B4B0D" w:rsidP="001B4B0D">
      <w:pPr>
        <w:pStyle w:val="NoSpacing"/>
        <w:ind w:left="720"/>
        <w:rPr>
          <w:sz w:val="24"/>
          <w:szCs w:val="24"/>
          <w:lang w:val="en-US"/>
        </w:rPr>
      </w:pPr>
    </w:p>
    <w:p w:rsidR="00777D81" w:rsidRPr="008E4DCE" w:rsidRDefault="00777D81" w:rsidP="001B4B0D">
      <w:pPr>
        <w:pStyle w:val="NoSpacing"/>
        <w:ind w:left="720"/>
        <w:rPr>
          <w:sz w:val="24"/>
          <w:szCs w:val="24"/>
          <w:lang w:val="en-US"/>
        </w:rPr>
      </w:pPr>
      <w:r w:rsidRPr="008E4DCE">
        <w:rPr>
          <w:sz w:val="24"/>
          <w:szCs w:val="24"/>
          <w:lang w:val="en-US"/>
        </w:rPr>
        <w:t>(11)</w:t>
      </w:r>
      <w:r w:rsidRPr="008E4DCE">
        <w:rPr>
          <w:sz w:val="24"/>
          <w:szCs w:val="24"/>
          <w:lang w:val="en-US"/>
        </w:rPr>
        <w:tab/>
      </w:r>
      <w:r w:rsidR="00607CA4" w:rsidRPr="008E4DCE">
        <w:rPr>
          <w:sz w:val="24"/>
          <w:szCs w:val="24"/>
          <w:lang w:val="en-US"/>
        </w:rPr>
        <w:t>If a party fails to comply with an order made in terms of sub</w:t>
      </w:r>
      <w:r w:rsidR="00635F6E" w:rsidRPr="008E4DCE">
        <w:rPr>
          <w:sz w:val="24"/>
          <w:szCs w:val="24"/>
          <w:lang w:val="en-US"/>
        </w:rPr>
        <w:t>-</w:t>
      </w:r>
      <w:r w:rsidR="00607CA4" w:rsidRPr="008E4DCE">
        <w:rPr>
          <w:sz w:val="24"/>
          <w:szCs w:val="24"/>
          <w:lang w:val="en-US"/>
        </w:rPr>
        <w:t xml:space="preserve">rule (10), the party </w:t>
      </w:r>
      <w:r w:rsidR="00607CA4" w:rsidRPr="008E4DCE">
        <w:rPr>
          <w:sz w:val="24"/>
          <w:szCs w:val="24"/>
          <w:u w:val="single"/>
          <w:lang w:val="en-US"/>
        </w:rPr>
        <w:t xml:space="preserve">in whose </w:t>
      </w:r>
      <w:proofErr w:type="spellStart"/>
      <w:r w:rsidR="00607CA4" w:rsidRPr="008E4DCE">
        <w:rPr>
          <w:sz w:val="24"/>
          <w:szCs w:val="24"/>
          <w:u w:val="single"/>
          <w:lang w:val="en-US"/>
        </w:rPr>
        <w:t>favour</w:t>
      </w:r>
      <w:proofErr w:type="spellEnd"/>
      <w:r w:rsidR="00607CA4" w:rsidRPr="008E4DCE">
        <w:rPr>
          <w:sz w:val="24"/>
          <w:szCs w:val="24"/>
          <w:u w:val="single"/>
          <w:lang w:val="en-US"/>
        </w:rPr>
        <w:t xml:space="preserve"> the order was made may make a further chamber application for the dismissal of the party’s claim or the striking out of his or her </w:t>
      </w:r>
      <w:proofErr w:type="spellStart"/>
      <w:r w:rsidR="00607CA4" w:rsidRPr="008E4DCE">
        <w:rPr>
          <w:sz w:val="24"/>
          <w:szCs w:val="24"/>
          <w:u w:val="single"/>
          <w:lang w:val="en-US"/>
        </w:rPr>
        <w:t>defence</w:t>
      </w:r>
      <w:proofErr w:type="spellEnd"/>
      <w:r w:rsidR="00607CA4" w:rsidRPr="008E4DCE">
        <w:rPr>
          <w:sz w:val="24"/>
          <w:szCs w:val="24"/>
          <w:u w:val="single"/>
          <w:lang w:val="en-US"/>
        </w:rPr>
        <w:t>, as the case may be, and the judge may give judgment in default against the defau</w:t>
      </w:r>
      <w:r w:rsidR="00635F6E" w:rsidRPr="008E4DCE">
        <w:rPr>
          <w:sz w:val="24"/>
          <w:szCs w:val="24"/>
          <w:u w:val="single"/>
          <w:lang w:val="en-US"/>
        </w:rPr>
        <w:t>l</w:t>
      </w:r>
      <w:r w:rsidR="00607CA4" w:rsidRPr="008E4DCE">
        <w:rPr>
          <w:sz w:val="24"/>
          <w:szCs w:val="24"/>
          <w:u w:val="single"/>
          <w:lang w:val="en-US"/>
        </w:rPr>
        <w:t>ting</w:t>
      </w:r>
      <w:r w:rsidR="001B4B0D" w:rsidRPr="008E4DCE">
        <w:rPr>
          <w:sz w:val="24"/>
          <w:szCs w:val="24"/>
          <w:u w:val="single"/>
          <w:lang w:val="en-US"/>
        </w:rPr>
        <w:t xml:space="preserve"> party</w:t>
      </w:r>
      <w:r w:rsidR="00607CA4" w:rsidRPr="008E4DCE">
        <w:rPr>
          <w:sz w:val="24"/>
          <w:szCs w:val="24"/>
          <w:u w:val="single"/>
          <w:lang w:val="en-US"/>
        </w:rPr>
        <w:t>.”</w:t>
      </w:r>
      <w:r w:rsidR="00635F6E" w:rsidRPr="008E4DCE">
        <w:rPr>
          <w:sz w:val="24"/>
          <w:szCs w:val="24"/>
          <w:u w:val="single"/>
          <w:lang w:val="en-US"/>
        </w:rPr>
        <w:t xml:space="preserve"> </w:t>
      </w:r>
      <w:r w:rsidR="00607CA4" w:rsidRPr="008E4DCE">
        <w:rPr>
          <w:sz w:val="24"/>
          <w:szCs w:val="24"/>
          <w:lang w:val="en-US"/>
        </w:rPr>
        <w:t>(</w:t>
      </w:r>
      <w:proofErr w:type="gramStart"/>
      <w:r w:rsidR="00607CA4" w:rsidRPr="008E4DCE">
        <w:rPr>
          <w:sz w:val="24"/>
          <w:szCs w:val="24"/>
          <w:lang w:val="en-US"/>
        </w:rPr>
        <w:t>my</w:t>
      </w:r>
      <w:proofErr w:type="gramEnd"/>
      <w:r w:rsidR="00607CA4" w:rsidRPr="008E4DCE">
        <w:rPr>
          <w:sz w:val="24"/>
          <w:szCs w:val="24"/>
          <w:lang w:val="en-US"/>
        </w:rPr>
        <w:t xml:space="preserve"> emphasis)</w:t>
      </w:r>
    </w:p>
    <w:p w:rsidR="00E24A9F" w:rsidRPr="008E4DCE" w:rsidRDefault="00E24A9F" w:rsidP="00635F6E">
      <w:pPr>
        <w:jc w:val="both"/>
        <w:rPr>
          <w:sz w:val="24"/>
          <w:szCs w:val="24"/>
          <w:lang w:val="en-US"/>
        </w:rPr>
      </w:pPr>
    </w:p>
    <w:p w:rsidR="00607CA4" w:rsidRPr="008E4DCE" w:rsidRDefault="00607CA4" w:rsidP="00635F6E">
      <w:pPr>
        <w:jc w:val="both"/>
        <w:rPr>
          <w:sz w:val="24"/>
          <w:szCs w:val="24"/>
          <w:lang w:val="en-US"/>
        </w:rPr>
      </w:pPr>
      <w:r w:rsidRPr="008E4DCE">
        <w:rPr>
          <w:sz w:val="24"/>
          <w:szCs w:val="24"/>
          <w:lang w:val="en-US"/>
        </w:rPr>
        <w:tab/>
        <w:t>Applying the law to the facts, it appears to m</w:t>
      </w:r>
      <w:r w:rsidR="00635F6E" w:rsidRPr="008E4DCE">
        <w:rPr>
          <w:sz w:val="24"/>
          <w:szCs w:val="24"/>
          <w:lang w:val="en-US"/>
        </w:rPr>
        <w:t>e</w:t>
      </w:r>
      <w:r w:rsidRPr="008E4DCE">
        <w:rPr>
          <w:sz w:val="24"/>
          <w:szCs w:val="24"/>
          <w:lang w:val="en-US"/>
        </w:rPr>
        <w:t xml:space="preserve"> th</w:t>
      </w:r>
      <w:r w:rsidR="00635F6E" w:rsidRPr="008E4DCE">
        <w:rPr>
          <w:sz w:val="24"/>
          <w:szCs w:val="24"/>
          <w:lang w:val="en-US"/>
        </w:rPr>
        <w:t>a</w:t>
      </w:r>
      <w:r w:rsidRPr="008E4DCE">
        <w:rPr>
          <w:sz w:val="24"/>
          <w:szCs w:val="24"/>
          <w:lang w:val="en-US"/>
        </w:rPr>
        <w:t>t;</w:t>
      </w:r>
    </w:p>
    <w:p w:rsidR="00607CA4" w:rsidRPr="008E4DCE" w:rsidRDefault="00607CA4" w:rsidP="001B4B0D">
      <w:pPr>
        <w:pStyle w:val="ListParagraph"/>
        <w:numPr>
          <w:ilvl w:val="0"/>
          <w:numId w:val="6"/>
        </w:numPr>
        <w:jc w:val="both"/>
        <w:rPr>
          <w:sz w:val="24"/>
          <w:szCs w:val="24"/>
          <w:lang w:val="en-US"/>
        </w:rPr>
      </w:pPr>
      <w:r w:rsidRPr="008E4DCE">
        <w:rPr>
          <w:sz w:val="24"/>
          <w:szCs w:val="24"/>
          <w:lang w:val="en-US"/>
        </w:rPr>
        <w:t>Inherent jurisdiction should be invoked where no law provides directly for a given situation.  Put differently, it is only whe</w:t>
      </w:r>
      <w:r w:rsidR="001B4B0D" w:rsidRPr="008E4DCE">
        <w:rPr>
          <w:sz w:val="24"/>
          <w:szCs w:val="24"/>
          <w:lang w:val="en-US"/>
        </w:rPr>
        <w:t>re</w:t>
      </w:r>
      <w:r w:rsidRPr="008E4DCE">
        <w:rPr>
          <w:sz w:val="24"/>
          <w:szCs w:val="24"/>
          <w:lang w:val="en-US"/>
        </w:rPr>
        <w:t xml:space="preserve"> there is no remedy provided in the rules or Act that one looks outside these rules and Act for a remedy.</w:t>
      </w:r>
    </w:p>
    <w:p w:rsidR="00607CA4" w:rsidRPr="008E4DCE" w:rsidRDefault="00607CA4" w:rsidP="00635F6E">
      <w:pPr>
        <w:pStyle w:val="ListParagraph"/>
        <w:numPr>
          <w:ilvl w:val="0"/>
          <w:numId w:val="6"/>
        </w:numPr>
        <w:jc w:val="both"/>
        <w:rPr>
          <w:sz w:val="24"/>
          <w:szCs w:val="24"/>
          <w:lang w:val="en-US"/>
        </w:rPr>
      </w:pPr>
      <w:r w:rsidRPr="008E4DCE">
        <w:rPr>
          <w:sz w:val="24"/>
          <w:szCs w:val="24"/>
          <w:lang w:val="en-US"/>
        </w:rPr>
        <w:t>The court ought to exercise caution when invoking its inherent power to regulate its procedure.</w:t>
      </w:r>
    </w:p>
    <w:p w:rsidR="00607CA4" w:rsidRPr="008E4DCE" w:rsidRDefault="00607CA4" w:rsidP="00635F6E">
      <w:pPr>
        <w:pStyle w:val="ListParagraph"/>
        <w:numPr>
          <w:ilvl w:val="0"/>
          <w:numId w:val="6"/>
        </w:numPr>
        <w:jc w:val="both"/>
        <w:rPr>
          <w:sz w:val="24"/>
          <w:szCs w:val="24"/>
          <w:lang w:val="en-US"/>
        </w:rPr>
      </w:pPr>
      <w:r w:rsidRPr="008E4DCE">
        <w:rPr>
          <w:sz w:val="24"/>
          <w:szCs w:val="24"/>
          <w:lang w:val="en-US"/>
        </w:rPr>
        <w:lastRenderedPageBreak/>
        <w:t xml:space="preserve">That </w:t>
      </w:r>
      <w:r w:rsidR="001B4B0D" w:rsidRPr="008E4DCE">
        <w:rPr>
          <w:sz w:val="24"/>
          <w:szCs w:val="24"/>
          <w:lang w:val="en-US"/>
        </w:rPr>
        <w:t>power</w:t>
      </w:r>
      <w:r w:rsidRPr="008E4DCE">
        <w:rPr>
          <w:sz w:val="24"/>
          <w:szCs w:val="24"/>
          <w:lang w:val="en-US"/>
        </w:rPr>
        <w:t xml:space="preserve"> must be exercised sparingly because it is the role of the rules to regulate the practice and procedure of the courts.</w:t>
      </w:r>
    </w:p>
    <w:p w:rsidR="00607CA4" w:rsidRPr="008E4DCE" w:rsidRDefault="00607CA4" w:rsidP="001B4B0D">
      <w:pPr>
        <w:pStyle w:val="ListParagraph"/>
        <w:numPr>
          <w:ilvl w:val="0"/>
          <w:numId w:val="6"/>
        </w:numPr>
        <w:jc w:val="both"/>
        <w:rPr>
          <w:sz w:val="24"/>
          <w:szCs w:val="24"/>
          <w:lang w:val="en-US"/>
        </w:rPr>
      </w:pPr>
      <w:r w:rsidRPr="008E4DCE">
        <w:rPr>
          <w:sz w:val="24"/>
          <w:szCs w:val="24"/>
          <w:lang w:val="en-US"/>
        </w:rPr>
        <w:t>Cogent grounds would have to be presented to persuade the court to act outside the powers specifically provided for in the rules.</w:t>
      </w:r>
    </w:p>
    <w:p w:rsidR="00607CA4" w:rsidRPr="008E4DCE" w:rsidRDefault="00607CA4" w:rsidP="001B4B0D">
      <w:pPr>
        <w:ind w:firstLine="720"/>
        <w:jc w:val="both"/>
        <w:rPr>
          <w:sz w:val="24"/>
          <w:szCs w:val="24"/>
          <w:lang w:val="en-US"/>
        </w:rPr>
      </w:pPr>
      <w:r w:rsidRPr="008E4DCE">
        <w:rPr>
          <w:sz w:val="24"/>
          <w:szCs w:val="24"/>
          <w:lang w:val="en-US"/>
        </w:rPr>
        <w:t xml:space="preserve">Where there is a mechanism available to a party it is not in the interests of justice for this court to exercise its inherent jurisdiction.  </w:t>
      </w:r>
      <w:r w:rsidR="001B4B0D" w:rsidRPr="008E4DCE">
        <w:rPr>
          <w:sz w:val="24"/>
          <w:szCs w:val="24"/>
          <w:lang w:val="en-US"/>
        </w:rPr>
        <w:t>As indicated before, t</w:t>
      </w:r>
      <w:r w:rsidRPr="008E4DCE">
        <w:rPr>
          <w:sz w:val="24"/>
          <w:szCs w:val="24"/>
          <w:lang w:val="en-US"/>
        </w:rPr>
        <w:t xml:space="preserve">here has to be a </w:t>
      </w:r>
      <w:r w:rsidRPr="008E4DCE">
        <w:rPr>
          <w:i/>
          <w:sz w:val="24"/>
          <w:szCs w:val="24"/>
          <w:lang w:val="en-US"/>
        </w:rPr>
        <w:t>lacuna</w:t>
      </w:r>
      <w:r w:rsidRPr="008E4DCE">
        <w:rPr>
          <w:sz w:val="24"/>
          <w:szCs w:val="24"/>
          <w:lang w:val="en-US"/>
        </w:rPr>
        <w:t xml:space="preserve"> in the law.</w:t>
      </w:r>
    </w:p>
    <w:p w:rsidR="007C58E4" w:rsidRPr="008E4DCE" w:rsidRDefault="007C58E4" w:rsidP="00635F6E">
      <w:pPr>
        <w:jc w:val="both"/>
        <w:rPr>
          <w:sz w:val="24"/>
          <w:szCs w:val="24"/>
          <w:lang w:val="en-US"/>
        </w:rPr>
      </w:pPr>
      <w:r w:rsidRPr="008E4DCE">
        <w:rPr>
          <w:sz w:val="24"/>
          <w:szCs w:val="24"/>
          <w:lang w:val="en-US"/>
        </w:rPr>
        <w:tab/>
        <w:t>In the present case, the 1</w:t>
      </w:r>
      <w:r w:rsidRPr="008E4DCE">
        <w:rPr>
          <w:sz w:val="24"/>
          <w:szCs w:val="24"/>
          <w:vertAlign w:val="superscript"/>
          <w:lang w:val="en-US"/>
        </w:rPr>
        <w:t>st</w:t>
      </w:r>
      <w:r w:rsidRPr="008E4DCE">
        <w:rPr>
          <w:sz w:val="24"/>
          <w:szCs w:val="24"/>
          <w:lang w:val="en-US"/>
        </w:rPr>
        <w:t xml:space="preserve"> applicant had recourse in terms of rule 47 (10) and (11).  Unfortunately, it also waited for 4 years doing nothing when it could have acted to move the matter forward as stipulated in the rules.  Either party could have caused this matter to be dismissed for want of prosecution in terms of sub</w:t>
      </w:r>
      <w:r w:rsidR="00635F6E" w:rsidRPr="008E4DCE">
        <w:rPr>
          <w:sz w:val="24"/>
          <w:szCs w:val="24"/>
          <w:lang w:val="en-US"/>
        </w:rPr>
        <w:t>-</w:t>
      </w:r>
      <w:r w:rsidRPr="008E4DCE">
        <w:rPr>
          <w:sz w:val="24"/>
          <w:szCs w:val="24"/>
          <w:lang w:val="en-US"/>
        </w:rPr>
        <w:t>rule (11).  As such 1</w:t>
      </w:r>
      <w:r w:rsidRPr="008E4DCE">
        <w:rPr>
          <w:sz w:val="24"/>
          <w:szCs w:val="24"/>
          <w:vertAlign w:val="superscript"/>
          <w:lang w:val="en-US"/>
        </w:rPr>
        <w:t>st</w:t>
      </w:r>
      <w:r w:rsidRPr="008E4DCE">
        <w:rPr>
          <w:sz w:val="24"/>
          <w:szCs w:val="24"/>
          <w:lang w:val="en-US"/>
        </w:rPr>
        <w:t xml:space="preserve"> applicant should have exhausted other remedies available in the rules in order to </w:t>
      </w:r>
      <w:proofErr w:type="spellStart"/>
      <w:r w:rsidRPr="008E4DCE">
        <w:rPr>
          <w:sz w:val="24"/>
          <w:szCs w:val="24"/>
          <w:lang w:val="en-US"/>
        </w:rPr>
        <w:t>f</w:t>
      </w:r>
      <w:r w:rsidR="001B4B0D" w:rsidRPr="008E4DCE">
        <w:rPr>
          <w:sz w:val="24"/>
          <w:szCs w:val="24"/>
          <w:lang w:val="en-US"/>
        </w:rPr>
        <w:t>inalise</w:t>
      </w:r>
      <w:proofErr w:type="spellEnd"/>
      <w:r w:rsidRPr="008E4DCE">
        <w:rPr>
          <w:sz w:val="24"/>
          <w:szCs w:val="24"/>
          <w:lang w:val="en-US"/>
        </w:rPr>
        <w:t xml:space="preserve"> the matter.  Quite clearly, there was no lacuna that warranted its resort to the Constitution or common law.  The Constitution only provides a remedy where there is no other remedy in the rules.</w:t>
      </w:r>
    </w:p>
    <w:p w:rsidR="007C58E4" w:rsidRPr="008E4DCE" w:rsidRDefault="007C58E4" w:rsidP="00635F6E">
      <w:pPr>
        <w:jc w:val="both"/>
        <w:rPr>
          <w:sz w:val="24"/>
          <w:szCs w:val="24"/>
          <w:lang w:val="en-US"/>
        </w:rPr>
      </w:pPr>
      <w:r w:rsidRPr="008E4DCE">
        <w:rPr>
          <w:sz w:val="24"/>
          <w:szCs w:val="24"/>
          <w:lang w:val="en-US"/>
        </w:rPr>
        <w:tab/>
        <w:t xml:space="preserve">In my view r47 has nothing to do with which party is </w:t>
      </w:r>
      <w:r w:rsidRPr="008E4DCE">
        <w:rPr>
          <w:i/>
          <w:sz w:val="24"/>
          <w:szCs w:val="24"/>
          <w:lang w:val="en-US"/>
        </w:rPr>
        <w:t>dominus litis</w:t>
      </w:r>
      <w:r w:rsidRPr="008E4DCE">
        <w:rPr>
          <w:sz w:val="24"/>
          <w:szCs w:val="24"/>
          <w:lang w:val="en-US"/>
        </w:rPr>
        <w:t xml:space="preserve"> in that it says “A party to a cause or matter </w:t>
      </w:r>
      <w:r w:rsidRPr="008E4DCE">
        <w:rPr>
          <w:sz w:val="24"/>
          <w:szCs w:val="24"/>
          <w:u w:val="single"/>
          <w:lang w:val="en-US"/>
        </w:rPr>
        <w:t>may require any other party thereto, by notice in writing to make discovery on oath</w:t>
      </w:r>
      <w:r w:rsidRPr="008E4DCE">
        <w:rPr>
          <w:sz w:val="24"/>
          <w:szCs w:val="24"/>
          <w:lang w:val="en-US"/>
        </w:rPr>
        <w:t xml:space="preserve"> within ten days of all documents …” (my emphasi</w:t>
      </w:r>
      <w:r w:rsidR="00635F6E" w:rsidRPr="008E4DCE">
        <w:rPr>
          <w:sz w:val="24"/>
          <w:szCs w:val="24"/>
          <w:lang w:val="en-US"/>
        </w:rPr>
        <w:t>s</w:t>
      </w:r>
      <w:r w:rsidRPr="008E4DCE">
        <w:rPr>
          <w:sz w:val="24"/>
          <w:szCs w:val="24"/>
          <w:lang w:val="en-US"/>
        </w:rPr>
        <w:t>)</w:t>
      </w:r>
      <w:r w:rsidR="00635F6E" w:rsidRPr="008E4DCE">
        <w:rPr>
          <w:sz w:val="24"/>
          <w:szCs w:val="24"/>
          <w:lang w:val="en-US"/>
        </w:rPr>
        <w:t>.</w:t>
      </w:r>
      <w:r w:rsidRPr="008E4DCE">
        <w:rPr>
          <w:sz w:val="24"/>
          <w:szCs w:val="24"/>
          <w:lang w:val="en-US"/>
        </w:rPr>
        <w:t xml:space="preserve">  This must b</w:t>
      </w:r>
      <w:r w:rsidR="00635F6E" w:rsidRPr="008E4DCE">
        <w:rPr>
          <w:sz w:val="24"/>
          <w:szCs w:val="24"/>
          <w:lang w:val="en-US"/>
        </w:rPr>
        <w:t>e</w:t>
      </w:r>
      <w:r w:rsidRPr="008E4DCE">
        <w:rPr>
          <w:sz w:val="24"/>
          <w:szCs w:val="24"/>
          <w:lang w:val="en-US"/>
        </w:rPr>
        <w:t xml:space="preserve"> done at the close of pleadings un</w:t>
      </w:r>
      <w:r w:rsidR="00635F6E" w:rsidRPr="008E4DCE">
        <w:rPr>
          <w:sz w:val="24"/>
          <w:szCs w:val="24"/>
          <w:lang w:val="en-US"/>
        </w:rPr>
        <w:t>l</w:t>
      </w:r>
      <w:r w:rsidRPr="008E4DCE">
        <w:rPr>
          <w:sz w:val="24"/>
          <w:szCs w:val="24"/>
          <w:lang w:val="en-US"/>
        </w:rPr>
        <w:t xml:space="preserve">ess a judge directs otherwise.  </w:t>
      </w:r>
      <w:r w:rsidRPr="008E4DCE">
        <w:rPr>
          <w:i/>
          <w:sz w:val="24"/>
          <w:szCs w:val="24"/>
          <w:lang w:val="en-US"/>
        </w:rPr>
        <w:t>In casu</w:t>
      </w:r>
      <w:r w:rsidRPr="008E4DCE">
        <w:rPr>
          <w:sz w:val="24"/>
          <w:szCs w:val="24"/>
          <w:lang w:val="en-US"/>
        </w:rPr>
        <w:t xml:space="preserve"> therefore any party could have served the required notice to the other thereby trig</w:t>
      </w:r>
      <w:r w:rsidR="00635F6E" w:rsidRPr="008E4DCE">
        <w:rPr>
          <w:sz w:val="24"/>
          <w:szCs w:val="24"/>
          <w:lang w:val="en-US"/>
        </w:rPr>
        <w:t>g</w:t>
      </w:r>
      <w:r w:rsidRPr="008E4DCE">
        <w:rPr>
          <w:sz w:val="24"/>
          <w:szCs w:val="24"/>
          <w:lang w:val="en-US"/>
        </w:rPr>
        <w:t>ering the procedure in sub</w:t>
      </w:r>
      <w:r w:rsidR="00635F6E" w:rsidRPr="008E4DCE">
        <w:rPr>
          <w:sz w:val="24"/>
          <w:szCs w:val="24"/>
          <w:lang w:val="en-US"/>
        </w:rPr>
        <w:t>-</w:t>
      </w:r>
      <w:r w:rsidRPr="008E4DCE">
        <w:rPr>
          <w:sz w:val="24"/>
          <w:szCs w:val="24"/>
          <w:lang w:val="en-US"/>
        </w:rPr>
        <w:t>rules (10) and (11).  I am not convi</w:t>
      </w:r>
      <w:r w:rsidR="004A25DF" w:rsidRPr="008E4DCE">
        <w:rPr>
          <w:sz w:val="24"/>
          <w:szCs w:val="24"/>
          <w:lang w:val="en-US"/>
        </w:rPr>
        <w:t>n</w:t>
      </w:r>
      <w:r w:rsidRPr="008E4DCE">
        <w:rPr>
          <w:sz w:val="24"/>
          <w:szCs w:val="24"/>
          <w:lang w:val="en-US"/>
        </w:rPr>
        <w:t>ced that the 1</w:t>
      </w:r>
      <w:r w:rsidRPr="008E4DCE">
        <w:rPr>
          <w:sz w:val="24"/>
          <w:szCs w:val="24"/>
          <w:vertAlign w:val="superscript"/>
          <w:lang w:val="en-US"/>
        </w:rPr>
        <w:t>st</w:t>
      </w:r>
      <w:r w:rsidRPr="008E4DCE">
        <w:rPr>
          <w:sz w:val="24"/>
          <w:szCs w:val="24"/>
          <w:lang w:val="en-US"/>
        </w:rPr>
        <w:t xml:space="preserve"> applicant acted on its part in seeing the matter to final</w:t>
      </w:r>
      <w:r w:rsidR="004A25DF" w:rsidRPr="008E4DCE">
        <w:rPr>
          <w:sz w:val="24"/>
          <w:szCs w:val="24"/>
          <w:lang w:val="en-US"/>
        </w:rPr>
        <w:t>i</w:t>
      </w:r>
      <w:r w:rsidRPr="008E4DCE">
        <w:rPr>
          <w:sz w:val="24"/>
          <w:szCs w:val="24"/>
          <w:lang w:val="en-US"/>
        </w:rPr>
        <w:t>ty.  These remarks also apply to the 1</w:t>
      </w:r>
      <w:r w:rsidRPr="008E4DCE">
        <w:rPr>
          <w:sz w:val="24"/>
          <w:szCs w:val="24"/>
          <w:vertAlign w:val="superscript"/>
          <w:lang w:val="en-US"/>
        </w:rPr>
        <w:t>st</w:t>
      </w:r>
      <w:r w:rsidR="003C7307" w:rsidRPr="008E4DCE">
        <w:rPr>
          <w:sz w:val="24"/>
          <w:szCs w:val="24"/>
          <w:lang w:val="en-US"/>
        </w:rPr>
        <w:t xml:space="preserve"> respondent which failed to prosecute its case within a reasonable time.  While this may be common cause, the question is what should have followed </w:t>
      </w:r>
      <w:r w:rsidR="003C7307" w:rsidRPr="008E4DCE">
        <w:rPr>
          <w:sz w:val="24"/>
          <w:szCs w:val="24"/>
          <w:lang w:val="en-US"/>
        </w:rPr>
        <w:lastRenderedPageBreak/>
        <w:t>upon this failure?  The answer, it seems to me is that 1</w:t>
      </w:r>
      <w:r w:rsidR="003C7307" w:rsidRPr="008E4DCE">
        <w:rPr>
          <w:sz w:val="24"/>
          <w:szCs w:val="24"/>
          <w:vertAlign w:val="superscript"/>
          <w:lang w:val="en-US"/>
        </w:rPr>
        <w:t>st</w:t>
      </w:r>
      <w:r w:rsidR="003C7307" w:rsidRPr="008E4DCE">
        <w:rPr>
          <w:sz w:val="24"/>
          <w:szCs w:val="24"/>
          <w:lang w:val="en-US"/>
        </w:rPr>
        <w:t xml:space="preserve"> applicant should have res</w:t>
      </w:r>
      <w:r w:rsidR="004A25DF" w:rsidRPr="008E4DCE">
        <w:rPr>
          <w:sz w:val="24"/>
          <w:szCs w:val="24"/>
          <w:lang w:val="en-US"/>
        </w:rPr>
        <w:t>o</w:t>
      </w:r>
      <w:r w:rsidR="003C7307" w:rsidRPr="008E4DCE">
        <w:rPr>
          <w:sz w:val="24"/>
          <w:szCs w:val="24"/>
          <w:lang w:val="en-US"/>
        </w:rPr>
        <w:t>rted to the provisions of r47 (10) and (11) of the rules of this court.</w:t>
      </w:r>
    </w:p>
    <w:p w:rsidR="003C7307" w:rsidRPr="008E4DCE" w:rsidRDefault="003C7307" w:rsidP="00635F6E">
      <w:pPr>
        <w:jc w:val="both"/>
        <w:rPr>
          <w:sz w:val="24"/>
          <w:szCs w:val="24"/>
          <w:lang w:val="en-US"/>
        </w:rPr>
      </w:pPr>
      <w:r w:rsidRPr="008E4DCE">
        <w:rPr>
          <w:sz w:val="24"/>
          <w:szCs w:val="24"/>
          <w:lang w:val="en-US"/>
        </w:rPr>
        <w:tab/>
        <w:t>Result</w:t>
      </w:r>
      <w:r w:rsidR="004A25DF" w:rsidRPr="008E4DCE">
        <w:rPr>
          <w:sz w:val="24"/>
          <w:szCs w:val="24"/>
          <w:lang w:val="en-US"/>
        </w:rPr>
        <w:t>a</w:t>
      </w:r>
      <w:r w:rsidRPr="008E4DCE">
        <w:rPr>
          <w:sz w:val="24"/>
          <w:szCs w:val="24"/>
          <w:lang w:val="en-US"/>
        </w:rPr>
        <w:t>ntly, I am not persuaded that the 1</w:t>
      </w:r>
      <w:r w:rsidRPr="008E4DCE">
        <w:rPr>
          <w:sz w:val="24"/>
          <w:szCs w:val="24"/>
          <w:vertAlign w:val="superscript"/>
          <w:lang w:val="en-US"/>
        </w:rPr>
        <w:t>st</w:t>
      </w:r>
      <w:r w:rsidRPr="008E4DCE">
        <w:rPr>
          <w:sz w:val="24"/>
          <w:szCs w:val="24"/>
          <w:lang w:val="en-US"/>
        </w:rPr>
        <w:t xml:space="preserve"> applicant adopted the correct procedure in seeking dismissal of an </w:t>
      </w:r>
      <w:r w:rsidR="004A25DF" w:rsidRPr="008E4DCE">
        <w:rPr>
          <w:sz w:val="24"/>
          <w:szCs w:val="24"/>
          <w:lang w:val="en-US"/>
        </w:rPr>
        <w:t>a</w:t>
      </w:r>
      <w:r w:rsidRPr="008E4DCE">
        <w:rPr>
          <w:sz w:val="24"/>
          <w:szCs w:val="24"/>
          <w:lang w:val="en-US"/>
        </w:rPr>
        <w:t>ction for want of prosecution in terms of s176 of the Constitution and the c</w:t>
      </w:r>
      <w:r w:rsidR="004A25DF" w:rsidRPr="008E4DCE">
        <w:rPr>
          <w:sz w:val="24"/>
          <w:szCs w:val="24"/>
          <w:lang w:val="en-US"/>
        </w:rPr>
        <w:t>o</w:t>
      </w:r>
      <w:r w:rsidRPr="008E4DCE">
        <w:rPr>
          <w:sz w:val="24"/>
          <w:szCs w:val="24"/>
          <w:lang w:val="en-US"/>
        </w:rPr>
        <w:t>mmon law.  In view of this finding, I do not consider it necessary to venture into an examination of the rest of the requ</w:t>
      </w:r>
      <w:r w:rsidR="004A25DF" w:rsidRPr="008E4DCE">
        <w:rPr>
          <w:sz w:val="24"/>
          <w:szCs w:val="24"/>
          <w:lang w:val="en-US"/>
        </w:rPr>
        <w:t>i</w:t>
      </w:r>
      <w:r w:rsidRPr="008E4DCE">
        <w:rPr>
          <w:sz w:val="24"/>
          <w:szCs w:val="24"/>
          <w:lang w:val="en-US"/>
        </w:rPr>
        <w:t>rements that applicants have to sat</w:t>
      </w:r>
      <w:r w:rsidR="004A25DF" w:rsidRPr="008E4DCE">
        <w:rPr>
          <w:sz w:val="24"/>
          <w:szCs w:val="24"/>
          <w:lang w:val="en-US"/>
        </w:rPr>
        <w:t>i</w:t>
      </w:r>
      <w:r w:rsidRPr="008E4DCE">
        <w:rPr>
          <w:sz w:val="24"/>
          <w:szCs w:val="24"/>
          <w:lang w:val="en-US"/>
        </w:rPr>
        <w:t>sfy, for doing so will simply be an academic exercise.</w:t>
      </w:r>
    </w:p>
    <w:p w:rsidR="003C7307" w:rsidRPr="008E4DCE" w:rsidRDefault="003C7307" w:rsidP="00635F6E">
      <w:pPr>
        <w:jc w:val="both"/>
        <w:rPr>
          <w:sz w:val="24"/>
          <w:szCs w:val="24"/>
          <w:lang w:val="en-US"/>
        </w:rPr>
      </w:pPr>
      <w:r w:rsidRPr="008E4DCE">
        <w:rPr>
          <w:sz w:val="24"/>
          <w:szCs w:val="24"/>
          <w:lang w:val="en-US"/>
        </w:rPr>
        <w:tab/>
        <w:t>As regards costs, I do not believe that it is fair and just to order applicants to pay 1</w:t>
      </w:r>
      <w:r w:rsidRPr="008E4DCE">
        <w:rPr>
          <w:sz w:val="24"/>
          <w:szCs w:val="24"/>
          <w:vertAlign w:val="superscript"/>
          <w:lang w:val="en-US"/>
        </w:rPr>
        <w:t>st</w:t>
      </w:r>
      <w:r w:rsidRPr="008E4DCE">
        <w:rPr>
          <w:sz w:val="24"/>
          <w:szCs w:val="24"/>
          <w:lang w:val="en-US"/>
        </w:rPr>
        <w:t xml:space="preserve"> respondent’s costs in light of its conduct.</w:t>
      </w:r>
    </w:p>
    <w:p w:rsidR="003C7307" w:rsidRPr="008E4DCE" w:rsidRDefault="003C7307" w:rsidP="00635F6E">
      <w:pPr>
        <w:jc w:val="both"/>
        <w:rPr>
          <w:sz w:val="24"/>
          <w:szCs w:val="24"/>
          <w:lang w:val="en-US"/>
        </w:rPr>
      </w:pPr>
      <w:r w:rsidRPr="008E4DCE">
        <w:rPr>
          <w:sz w:val="24"/>
          <w:szCs w:val="24"/>
          <w:lang w:val="en-US"/>
        </w:rPr>
        <w:tab/>
        <w:t>Accordingly, it is ordered that;</w:t>
      </w:r>
    </w:p>
    <w:p w:rsidR="003C7307" w:rsidRPr="008E4DCE" w:rsidRDefault="003C7307" w:rsidP="00635F6E">
      <w:pPr>
        <w:pStyle w:val="ListParagraph"/>
        <w:numPr>
          <w:ilvl w:val="0"/>
          <w:numId w:val="7"/>
        </w:numPr>
        <w:jc w:val="both"/>
        <w:rPr>
          <w:sz w:val="24"/>
          <w:szCs w:val="24"/>
          <w:lang w:val="en-US"/>
        </w:rPr>
      </w:pPr>
      <w:r w:rsidRPr="008E4DCE">
        <w:rPr>
          <w:sz w:val="24"/>
          <w:szCs w:val="24"/>
          <w:lang w:val="en-US"/>
        </w:rPr>
        <w:t>The application for dismissal of an action for want of prosecution is hereby dismissed.</w:t>
      </w:r>
    </w:p>
    <w:p w:rsidR="003C7307" w:rsidRPr="008E4DCE" w:rsidRDefault="003C7307" w:rsidP="00635F6E">
      <w:pPr>
        <w:pStyle w:val="ListParagraph"/>
        <w:numPr>
          <w:ilvl w:val="0"/>
          <w:numId w:val="7"/>
        </w:numPr>
        <w:jc w:val="both"/>
        <w:rPr>
          <w:sz w:val="24"/>
          <w:szCs w:val="24"/>
          <w:lang w:val="en-US"/>
        </w:rPr>
      </w:pPr>
      <w:r w:rsidRPr="008E4DCE">
        <w:rPr>
          <w:sz w:val="24"/>
          <w:szCs w:val="24"/>
          <w:lang w:val="en-US"/>
        </w:rPr>
        <w:t>Each party is to bear its own costs.</w:t>
      </w:r>
    </w:p>
    <w:p w:rsidR="003352C8" w:rsidRPr="008E4DCE" w:rsidRDefault="003352C8" w:rsidP="00635F6E">
      <w:pPr>
        <w:pStyle w:val="NoSpacing"/>
        <w:jc w:val="both"/>
        <w:rPr>
          <w:i/>
          <w:sz w:val="24"/>
          <w:szCs w:val="24"/>
          <w:lang w:val="en-US"/>
        </w:rPr>
      </w:pPr>
    </w:p>
    <w:p w:rsidR="003352C8" w:rsidRDefault="003352C8" w:rsidP="00635F6E">
      <w:pPr>
        <w:pStyle w:val="NoSpacing"/>
        <w:jc w:val="both"/>
        <w:rPr>
          <w:i/>
          <w:sz w:val="24"/>
          <w:szCs w:val="24"/>
          <w:lang w:val="en-US"/>
        </w:rPr>
      </w:pPr>
    </w:p>
    <w:p w:rsidR="008E4DCE" w:rsidRPr="008E4DCE" w:rsidRDefault="008E4DCE" w:rsidP="00635F6E">
      <w:pPr>
        <w:pStyle w:val="NoSpacing"/>
        <w:jc w:val="both"/>
        <w:rPr>
          <w:i/>
          <w:sz w:val="24"/>
          <w:szCs w:val="24"/>
          <w:lang w:val="en-US"/>
        </w:rPr>
      </w:pPr>
    </w:p>
    <w:p w:rsidR="003352C8" w:rsidRPr="008E4DCE" w:rsidRDefault="003352C8" w:rsidP="00635F6E">
      <w:pPr>
        <w:pStyle w:val="NoSpacing"/>
        <w:jc w:val="both"/>
        <w:rPr>
          <w:i/>
          <w:sz w:val="24"/>
          <w:szCs w:val="24"/>
          <w:lang w:val="en-US"/>
        </w:rPr>
      </w:pPr>
    </w:p>
    <w:p w:rsidR="003352C8" w:rsidRPr="008E4DCE" w:rsidRDefault="003352C8" w:rsidP="00635F6E">
      <w:pPr>
        <w:pStyle w:val="NoSpacing"/>
        <w:jc w:val="both"/>
        <w:rPr>
          <w:i/>
          <w:sz w:val="24"/>
          <w:szCs w:val="24"/>
          <w:lang w:val="en-US"/>
        </w:rPr>
      </w:pPr>
    </w:p>
    <w:p w:rsidR="003C7307" w:rsidRPr="008E4DCE" w:rsidRDefault="003C7307" w:rsidP="00635F6E">
      <w:pPr>
        <w:pStyle w:val="NoSpacing"/>
        <w:jc w:val="both"/>
        <w:rPr>
          <w:sz w:val="24"/>
          <w:szCs w:val="24"/>
          <w:lang w:val="en-US"/>
        </w:rPr>
      </w:pPr>
      <w:r w:rsidRPr="008E4DCE">
        <w:rPr>
          <w:i/>
          <w:sz w:val="24"/>
          <w:szCs w:val="24"/>
          <w:lang w:val="en-US"/>
        </w:rPr>
        <w:t>Honey &amp; Blankenberg c/o Tanaka Law Chambers</w:t>
      </w:r>
      <w:r w:rsidRPr="008E4DCE">
        <w:rPr>
          <w:sz w:val="24"/>
          <w:szCs w:val="24"/>
          <w:lang w:val="en-US"/>
        </w:rPr>
        <w:t>, applicant’s legal practitioners</w:t>
      </w:r>
    </w:p>
    <w:p w:rsidR="003C7307" w:rsidRPr="008E4DCE" w:rsidRDefault="003C7307" w:rsidP="00635F6E">
      <w:pPr>
        <w:pStyle w:val="NoSpacing"/>
        <w:jc w:val="both"/>
        <w:rPr>
          <w:sz w:val="24"/>
          <w:szCs w:val="24"/>
          <w:lang w:val="en-US"/>
        </w:rPr>
      </w:pPr>
      <w:r w:rsidRPr="008E4DCE">
        <w:rPr>
          <w:i/>
          <w:sz w:val="24"/>
          <w:szCs w:val="24"/>
          <w:lang w:val="en-US"/>
        </w:rPr>
        <w:t>Mutatu &amp; Partners, c/o Mutatu, Masamvu &amp; Da Silva Gustavto Law Chambers,</w:t>
      </w:r>
      <w:r w:rsidRPr="008E4DCE">
        <w:rPr>
          <w:sz w:val="24"/>
          <w:szCs w:val="24"/>
          <w:lang w:val="en-US"/>
        </w:rPr>
        <w:t xml:space="preserve"> respondents’ legal practitioners</w:t>
      </w:r>
    </w:p>
    <w:sectPr w:rsidR="003C7307" w:rsidRPr="008E4D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66B" w:rsidRDefault="00C7566B" w:rsidP="00635F6E">
      <w:pPr>
        <w:spacing w:after="0" w:line="240" w:lineRule="auto"/>
      </w:pPr>
      <w:r>
        <w:separator/>
      </w:r>
    </w:p>
  </w:endnote>
  <w:endnote w:type="continuationSeparator" w:id="0">
    <w:p w:rsidR="00C7566B" w:rsidRDefault="00C7566B" w:rsidP="00635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66B" w:rsidRDefault="00C7566B" w:rsidP="00635F6E">
      <w:pPr>
        <w:spacing w:after="0" w:line="240" w:lineRule="auto"/>
      </w:pPr>
      <w:r>
        <w:separator/>
      </w:r>
    </w:p>
  </w:footnote>
  <w:footnote w:type="continuationSeparator" w:id="0">
    <w:p w:rsidR="00C7566B" w:rsidRDefault="00C7566B" w:rsidP="00635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200988"/>
      <w:docPartObj>
        <w:docPartGallery w:val="Page Numbers (Top of Page)"/>
        <w:docPartUnique/>
      </w:docPartObj>
    </w:sdtPr>
    <w:sdtEndPr>
      <w:rPr>
        <w:noProof/>
      </w:rPr>
    </w:sdtEndPr>
    <w:sdtContent>
      <w:p w:rsidR="00635F6E" w:rsidRDefault="00635F6E">
        <w:pPr>
          <w:pStyle w:val="Header"/>
          <w:jc w:val="right"/>
          <w:rPr>
            <w:noProof/>
          </w:rPr>
        </w:pPr>
        <w:r>
          <w:fldChar w:fldCharType="begin"/>
        </w:r>
        <w:r>
          <w:instrText xml:space="preserve"> PAGE   \* MERGEFORMAT </w:instrText>
        </w:r>
        <w:r>
          <w:fldChar w:fldCharType="separate"/>
        </w:r>
        <w:r w:rsidR="008E4DCE">
          <w:rPr>
            <w:noProof/>
          </w:rPr>
          <w:t>8</w:t>
        </w:r>
        <w:r>
          <w:rPr>
            <w:noProof/>
          </w:rPr>
          <w:fldChar w:fldCharType="end"/>
        </w:r>
      </w:p>
      <w:p w:rsidR="00635F6E" w:rsidRDefault="00635F6E">
        <w:pPr>
          <w:pStyle w:val="Header"/>
          <w:jc w:val="right"/>
          <w:rPr>
            <w:noProof/>
          </w:rPr>
        </w:pPr>
        <w:r>
          <w:rPr>
            <w:noProof/>
          </w:rPr>
          <w:t xml:space="preserve">HB </w:t>
        </w:r>
        <w:r w:rsidR="00E24A9F">
          <w:rPr>
            <w:noProof/>
          </w:rPr>
          <w:t>161</w:t>
        </w:r>
        <w:r>
          <w:rPr>
            <w:noProof/>
          </w:rPr>
          <w:t>/22</w:t>
        </w:r>
      </w:p>
      <w:p w:rsidR="00635F6E" w:rsidRDefault="00635F6E">
        <w:pPr>
          <w:pStyle w:val="Header"/>
          <w:jc w:val="right"/>
        </w:pPr>
        <w:r>
          <w:rPr>
            <w:noProof/>
          </w:rPr>
          <w:t>HC 1418/20</w:t>
        </w:r>
      </w:p>
    </w:sdtContent>
  </w:sdt>
  <w:p w:rsidR="00635F6E" w:rsidRDefault="00635F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67C2"/>
    <w:multiLevelType w:val="hybridMultilevel"/>
    <w:tmpl w:val="898684FC"/>
    <w:lvl w:ilvl="0" w:tplc="3F58A0C6">
      <w:start w:val="1"/>
      <w:numFmt w:val="decimal"/>
      <w:lvlText w:val="(%1)"/>
      <w:lvlJc w:val="left"/>
      <w:pPr>
        <w:ind w:left="720" w:hanging="360"/>
      </w:pPr>
      <w:rPr>
        <w:rFonts w:ascii="Times New Roman" w:eastAsiaTheme="minorHAnsi" w:hAnsi="Times New Roman"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EAE5699"/>
    <w:multiLevelType w:val="hybridMultilevel"/>
    <w:tmpl w:val="DF80C1CE"/>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09359B5"/>
    <w:multiLevelType w:val="hybridMultilevel"/>
    <w:tmpl w:val="B796AA4C"/>
    <w:lvl w:ilvl="0" w:tplc="92380C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045DD2"/>
    <w:multiLevelType w:val="hybridMultilevel"/>
    <w:tmpl w:val="AAC83C1E"/>
    <w:lvl w:ilvl="0" w:tplc="B2C22F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1652C87"/>
    <w:multiLevelType w:val="hybridMultilevel"/>
    <w:tmpl w:val="76C83D26"/>
    <w:lvl w:ilvl="0" w:tplc="28DAC23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1151F53"/>
    <w:multiLevelType w:val="hybridMultilevel"/>
    <w:tmpl w:val="A802C578"/>
    <w:lvl w:ilvl="0" w:tplc="9DD232F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6BCD7198"/>
    <w:multiLevelType w:val="hybridMultilevel"/>
    <w:tmpl w:val="1BFE3FF2"/>
    <w:lvl w:ilvl="0" w:tplc="055E20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5"/>
  </w:num>
  <w:num w:numId="3">
    <w:abstractNumId w:val="2"/>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E3"/>
    <w:rsid w:val="00011826"/>
    <w:rsid w:val="000A1D8A"/>
    <w:rsid w:val="00123516"/>
    <w:rsid w:val="001B4B0D"/>
    <w:rsid w:val="002D71DA"/>
    <w:rsid w:val="003352C8"/>
    <w:rsid w:val="003C7307"/>
    <w:rsid w:val="003C74A2"/>
    <w:rsid w:val="003F4D48"/>
    <w:rsid w:val="00491B86"/>
    <w:rsid w:val="004A25DF"/>
    <w:rsid w:val="004D41B1"/>
    <w:rsid w:val="004D6CF9"/>
    <w:rsid w:val="0051246F"/>
    <w:rsid w:val="00534704"/>
    <w:rsid w:val="00545B8F"/>
    <w:rsid w:val="00546DB5"/>
    <w:rsid w:val="00607CA4"/>
    <w:rsid w:val="00635F6E"/>
    <w:rsid w:val="006A329D"/>
    <w:rsid w:val="006B3721"/>
    <w:rsid w:val="007070D1"/>
    <w:rsid w:val="00737C1B"/>
    <w:rsid w:val="00747130"/>
    <w:rsid w:val="00777D81"/>
    <w:rsid w:val="007C58E4"/>
    <w:rsid w:val="007E64A4"/>
    <w:rsid w:val="008211B3"/>
    <w:rsid w:val="008216E6"/>
    <w:rsid w:val="008A6CB0"/>
    <w:rsid w:val="008C0206"/>
    <w:rsid w:val="008E4DCE"/>
    <w:rsid w:val="009C204E"/>
    <w:rsid w:val="009E4939"/>
    <w:rsid w:val="00AF4B5C"/>
    <w:rsid w:val="00BB0EAA"/>
    <w:rsid w:val="00C4769B"/>
    <w:rsid w:val="00C47CF9"/>
    <w:rsid w:val="00C7566B"/>
    <w:rsid w:val="00DF2E37"/>
    <w:rsid w:val="00E0516F"/>
    <w:rsid w:val="00E24A9F"/>
    <w:rsid w:val="00E33FB5"/>
    <w:rsid w:val="00E56433"/>
    <w:rsid w:val="00EC62A3"/>
    <w:rsid w:val="00F02CD0"/>
    <w:rsid w:val="00F13AE3"/>
    <w:rsid w:val="00F1663D"/>
    <w:rsid w:val="00F17E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8C296-F86E-4468-9385-BA704A0D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AE3"/>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AE3"/>
    <w:pPr>
      <w:spacing w:after="0" w:line="240" w:lineRule="auto"/>
    </w:pPr>
    <w:rPr>
      <w:rFonts w:ascii="Times New Roman" w:hAnsi="Times New Roman"/>
      <w:sz w:val="28"/>
    </w:rPr>
  </w:style>
  <w:style w:type="paragraph" w:styleId="ListParagraph">
    <w:name w:val="List Paragraph"/>
    <w:basedOn w:val="Normal"/>
    <w:uiPriority w:val="34"/>
    <w:qFormat/>
    <w:rsid w:val="007070D1"/>
    <w:pPr>
      <w:ind w:left="720"/>
      <w:contextualSpacing/>
    </w:pPr>
  </w:style>
  <w:style w:type="paragraph" w:styleId="Header">
    <w:name w:val="header"/>
    <w:basedOn w:val="Normal"/>
    <w:link w:val="HeaderChar"/>
    <w:uiPriority w:val="99"/>
    <w:unhideWhenUsed/>
    <w:rsid w:val="00635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F6E"/>
    <w:rPr>
      <w:rFonts w:ascii="Times New Roman" w:hAnsi="Times New Roman"/>
      <w:sz w:val="28"/>
    </w:rPr>
  </w:style>
  <w:style w:type="paragraph" w:styleId="Footer">
    <w:name w:val="footer"/>
    <w:basedOn w:val="Normal"/>
    <w:link w:val="FooterChar"/>
    <w:uiPriority w:val="99"/>
    <w:unhideWhenUsed/>
    <w:rsid w:val="00635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F6E"/>
    <w:rPr>
      <w:rFonts w:ascii="Times New Roman" w:hAnsi="Times New Roman"/>
      <w:sz w:val="28"/>
    </w:rPr>
  </w:style>
  <w:style w:type="paragraph" w:styleId="BalloonText">
    <w:name w:val="Balloon Text"/>
    <w:basedOn w:val="Normal"/>
    <w:link w:val="BalloonTextChar"/>
    <w:uiPriority w:val="99"/>
    <w:semiHidden/>
    <w:unhideWhenUsed/>
    <w:rsid w:val="00335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24</cp:revision>
  <cp:lastPrinted>2022-06-22T07:04:00Z</cp:lastPrinted>
  <dcterms:created xsi:type="dcterms:W3CDTF">2022-06-16T08:15:00Z</dcterms:created>
  <dcterms:modified xsi:type="dcterms:W3CDTF">2022-06-22T07:05:00Z</dcterms:modified>
</cp:coreProperties>
</file>