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D743A3" w:rsidP="00037D40">
      <w:pPr>
        <w:spacing w:line="240" w:lineRule="auto"/>
        <w:rPr>
          <w:rFonts w:ascii="Tahoma" w:hAnsi="Tahoma" w:cs="Tahoma"/>
          <w:b/>
          <w:sz w:val="24"/>
          <w:szCs w:val="24"/>
        </w:rPr>
      </w:pPr>
      <w:bookmarkStart w:id="0" w:name="_GoBack"/>
      <w:bookmarkEnd w:id="0"/>
      <w:r>
        <w:rPr>
          <w:rFonts w:ascii="Tahoma" w:hAnsi="Tahoma" w:cs="Tahoma"/>
          <w:b/>
          <w:sz w:val="24"/>
          <w:szCs w:val="24"/>
        </w:rPr>
        <w:t xml:space="preserve"> </w:t>
      </w:r>
      <w:r w:rsidR="00446DC5" w:rsidRPr="004708FE">
        <w:rPr>
          <w:rFonts w:ascii="Tahoma" w:hAnsi="Tahoma" w:cs="Tahoma"/>
          <w:b/>
          <w:sz w:val="24"/>
          <w:szCs w:val="24"/>
        </w:rPr>
        <w:t xml:space="preserve">IN THE LABOUR COURT OF </w:t>
      </w:r>
      <w:r w:rsidR="002F10D6">
        <w:rPr>
          <w:rFonts w:ascii="Tahoma" w:hAnsi="Tahoma" w:cs="Tahoma"/>
          <w:b/>
          <w:sz w:val="24"/>
          <w:szCs w:val="24"/>
        </w:rPr>
        <w:t>ZIMBABWE</w:t>
      </w:r>
      <w:r w:rsidR="0099394C">
        <w:rPr>
          <w:rFonts w:ascii="Tahoma" w:hAnsi="Tahoma" w:cs="Tahoma"/>
          <w:b/>
          <w:sz w:val="24"/>
          <w:szCs w:val="24"/>
        </w:rPr>
        <w:t xml:space="preserve"> </w:t>
      </w:r>
      <w:r w:rsidR="00BA1F25">
        <w:rPr>
          <w:rFonts w:ascii="Tahoma" w:hAnsi="Tahoma" w:cs="Tahoma"/>
          <w:b/>
          <w:sz w:val="24"/>
          <w:szCs w:val="24"/>
        </w:rPr>
        <w:t xml:space="preserve">    </w:t>
      </w:r>
      <w:r w:rsidR="005C3632">
        <w:rPr>
          <w:rFonts w:ascii="Tahoma" w:hAnsi="Tahoma" w:cs="Tahoma"/>
          <w:b/>
          <w:sz w:val="24"/>
          <w:szCs w:val="24"/>
        </w:rPr>
        <w:t xml:space="preserve"> </w:t>
      </w:r>
      <w:r w:rsidR="0099394C">
        <w:rPr>
          <w:rFonts w:ascii="Tahoma" w:hAnsi="Tahoma" w:cs="Tahoma"/>
          <w:b/>
          <w:sz w:val="24"/>
          <w:szCs w:val="24"/>
        </w:rPr>
        <w:t>JUDGMENT NO.</w:t>
      </w:r>
      <w:r w:rsidR="002F10D6">
        <w:rPr>
          <w:rFonts w:ascii="Tahoma" w:hAnsi="Tahoma" w:cs="Tahoma"/>
          <w:b/>
          <w:sz w:val="24"/>
          <w:szCs w:val="24"/>
        </w:rPr>
        <w:t>LC/H/</w:t>
      </w:r>
      <w:r w:rsidR="00516E20">
        <w:rPr>
          <w:rFonts w:ascii="Tahoma" w:hAnsi="Tahoma" w:cs="Tahoma"/>
          <w:b/>
          <w:sz w:val="24"/>
          <w:szCs w:val="24"/>
        </w:rPr>
        <w:t>16</w:t>
      </w:r>
      <w:r w:rsidR="007612FA">
        <w:rPr>
          <w:rFonts w:ascii="Tahoma" w:hAnsi="Tahoma" w:cs="Tahoma"/>
          <w:b/>
          <w:sz w:val="24"/>
          <w:szCs w:val="24"/>
        </w:rPr>
        <w:t>/</w:t>
      </w:r>
      <w:r w:rsidR="008B1EE6">
        <w:rPr>
          <w:rFonts w:ascii="Tahoma" w:hAnsi="Tahoma" w:cs="Tahoma"/>
          <w:b/>
          <w:sz w:val="24"/>
          <w:szCs w:val="24"/>
        </w:rPr>
        <w:t>20</w:t>
      </w:r>
      <w:r w:rsidR="00516E20">
        <w:rPr>
          <w:rFonts w:ascii="Tahoma" w:hAnsi="Tahoma" w:cs="Tahoma"/>
          <w:b/>
          <w:sz w:val="24"/>
          <w:szCs w:val="24"/>
        </w:rPr>
        <w:t>22</w:t>
      </w:r>
    </w:p>
    <w:p w:rsidR="003A6EEC"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8A1C8C">
        <w:rPr>
          <w:rFonts w:ascii="Tahoma" w:hAnsi="Tahoma" w:cs="Tahoma"/>
          <w:b/>
          <w:sz w:val="24"/>
          <w:szCs w:val="24"/>
        </w:rPr>
        <w:t xml:space="preserve">11 JANUARY 2022,  </w:t>
      </w:r>
      <w:r w:rsidR="00BA1F25">
        <w:rPr>
          <w:rFonts w:ascii="Tahoma" w:hAnsi="Tahoma" w:cs="Tahoma"/>
          <w:b/>
          <w:sz w:val="24"/>
          <w:szCs w:val="24"/>
        </w:rPr>
        <w:t xml:space="preserve"> </w:t>
      </w:r>
      <w:r w:rsidR="003A6EEC">
        <w:rPr>
          <w:rFonts w:ascii="Tahoma" w:hAnsi="Tahoma" w:cs="Tahoma"/>
          <w:b/>
          <w:sz w:val="24"/>
          <w:szCs w:val="24"/>
        </w:rPr>
        <w:t>AND</w:t>
      </w:r>
    </w:p>
    <w:p w:rsidR="00446DC5" w:rsidRPr="004708FE" w:rsidRDefault="00516E20" w:rsidP="00037D40">
      <w:pPr>
        <w:spacing w:line="240" w:lineRule="auto"/>
        <w:jc w:val="both"/>
        <w:rPr>
          <w:rFonts w:ascii="Tahoma" w:hAnsi="Tahoma" w:cs="Tahoma"/>
          <w:b/>
          <w:sz w:val="24"/>
          <w:szCs w:val="24"/>
        </w:rPr>
      </w:pPr>
      <w:r>
        <w:rPr>
          <w:rFonts w:ascii="Tahoma" w:hAnsi="Tahoma" w:cs="Tahoma"/>
          <w:b/>
          <w:sz w:val="24"/>
          <w:szCs w:val="24"/>
        </w:rPr>
        <w:t>28 JANUARY, 2022</w:t>
      </w:r>
      <w:r w:rsidR="003A6EEC">
        <w:rPr>
          <w:rFonts w:ascii="Tahoma" w:hAnsi="Tahoma" w:cs="Tahoma"/>
          <w:b/>
          <w:sz w:val="24"/>
          <w:szCs w:val="24"/>
        </w:rPr>
        <w:t xml:space="preserve">               </w:t>
      </w:r>
      <w:r w:rsidR="00BA1F25">
        <w:rPr>
          <w:rFonts w:ascii="Tahoma" w:hAnsi="Tahoma" w:cs="Tahoma"/>
          <w:b/>
          <w:sz w:val="24"/>
          <w:szCs w:val="24"/>
        </w:rPr>
        <w:t xml:space="preserve">  </w:t>
      </w:r>
      <w:r w:rsidR="006438AB">
        <w:rPr>
          <w:rFonts w:ascii="Tahoma" w:hAnsi="Tahoma" w:cs="Tahoma"/>
          <w:b/>
          <w:sz w:val="24"/>
          <w:szCs w:val="24"/>
        </w:rPr>
        <w:t xml:space="preserve">                 </w:t>
      </w:r>
      <w:r>
        <w:rPr>
          <w:rFonts w:ascii="Tahoma" w:hAnsi="Tahoma" w:cs="Tahoma"/>
          <w:b/>
          <w:sz w:val="24"/>
          <w:szCs w:val="24"/>
        </w:rPr>
        <w:t xml:space="preserve">        CASE NO.</w:t>
      </w:r>
      <w:r w:rsidR="00446DC5" w:rsidRPr="004708FE">
        <w:rPr>
          <w:rFonts w:ascii="Tahoma" w:hAnsi="Tahoma" w:cs="Tahoma"/>
          <w:b/>
          <w:sz w:val="24"/>
          <w:szCs w:val="24"/>
        </w:rPr>
        <w:t>LC/H/</w:t>
      </w:r>
      <w:r w:rsidR="007612FA">
        <w:rPr>
          <w:rFonts w:ascii="Tahoma" w:hAnsi="Tahoma" w:cs="Tahoma"/>
          <w:b/>
          <w:sz w:val="24"/>
          <w:szCs w:val="24"/>
        </w:rPr>
        <w:t>REV/76/20</w:t>
      </w:r>
      <w:r w:rsidR="005B56E6">
        <w:rPr>
          <w:rFonts w:ascii="Tahoma" w:hAnsi="Tahoma" w:cs="Tahoma"/>
          <w:b/>
          <w:sz w:val="24"/>
          <w:szCs w:val="24"/>
        </w:rPr>
        <w:t xml:space="preserve"> </w:t>
      </w:r>
    </w:p>
    <w:p w:rsidR="00BA1F25" w:rsidRDefault="00BA1F25" w:rsidP="00446DC5">
      <w:pPr>
        <w:jc w:val="both"/>
        <w:rPr>
          <w:rFonts w:ascii="Tahoma" w:hAnsi="Tahoma" w:cs="Tahoma"/>
          <w:sz w:val="24"/>
          <w:szCs w:val="24"/>
        </w:rPr>
      </w:pPr>
    </w:p>
    <w:p w:rsidR="00446DC5" w:rsidRDefault="007612FA" w:rsidP="00037D40">
      <w:pPr>
        <w:spacing w:line="240" w:lineRule="auto"/>
        <w:jc w:val="both"/>
        <w:rPr>
          <w:rFonts w:ascii="Tahoma" w:hAnsi="Tahoma" w:cs="Tahoma"/>
          <w:b/>
          <w:sz w:val="24"/>
          <w:szCs w:val="24"/>
        </w:rPr>
      </w:pPr>
      <w:r>
        <w:rPr>
          <w:rFonts w:ascii="Tahoma" w:hAnsi="Tahoma" w:cs="Tahoma"/>
          <w:b/>
          <w:sz w:val="24"/>
          <w:szCs w:val="24"/>
        </w:rPr>
        <w:t>FUNGAI MUCHADENYIKA</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b/>
      </w:r>
    </w:p>
    <w:p w:rsidR="00446DC5" w:rsidRDefault="007612FA" w:rsidP="00906CB1">
      <w:pPr>
        <w:spacing w:line="240" w:lineRule="auto"/>
        <w:jc w:val="both"/>
        <w:rPr>
          <w:rFonts w:ascii="Tahoma" w:hAnsi="Tahoma" w:cs="Tahoma"/>
          <w:b/>
          <w:sz w:val="24"/>
          <w:szCs w:val="24"/>
        </w:rPr>
      </w:pPr>
      <w:r>
        <w:rPr>
          <w:rFonts w:ascii="Tahoma" w:hAnsi="Tahoma" w:cs="Tahoma"/>
          <w:b/>
          <w:sz w:val="24"/>
          <w:szCs w:val="24"/>
        </w:rPr>
        <w:t>COLCOM FOODS LIMITED</w:t>
      </w:r>
      <w:r w:rsidR="00054830">
        <w:rPr>
          <w:rFonts w:ascii="Tahoma" w:hAnsi="Tahoma" w:cs="Tahoma"/>
          <w:b/>
          <w:sz w:val="24"/>
          <w:szCs w:val="24"/>
        </w:rPr>
        <w:t xml:space="preserve">     </w:t>
      </w:r>
      <w:r w:rsidR="00B57477">
        <w:rPr>
          <w:rFonts w:ascii="Tahoma" w:hAnsi="Tahoma" w:cs="Tahoma"/>
          <w:b/>
          <w:sz w:val="24"/>
          <w:szCs w:val="24"/>
        </w:rPr>
        <w:tab/>
      </w:r>
      <w:r w:rsidR="00BA1F25">
        <w:rPr>
          <w:rFonts w:ascii="Tahoma" w:hAnsi="Tahoma" w:cs="Tahoma"/>
          <w:b/>
          <w:sz w:val="24"/>
          <w:szCs w:val="24"/>
        </w:rPr>
        <w:tab/>
      </w:r>
      <w:r w:rsidR="00054830">
        <w:rPr>
          <w:rFonts w:ascii="Tahoma" w:hAnsi="Tahoma" w:cs="Tahoma"/>
          <w:b/>
          <w:sz w:val="24"/>
          <w:szCs w:val="24"/>
        </w:rPr>
        <w:t xml:space="preserve">                  </w:t>
      </w:r>
      <w:r>
        <w:rPr>
          <w:rFonts w:ascii="Tahoma" w:hAnsi="Tahoma" w:cs="Tahoma"/>
          <w:b/>
          <w:sz w:val="24"/>
          <w:szCs w:val="24"/>
        </w:rPr>
        <w:t xml:space="preserve">                    </w:t>
      </w:r>
      <w:r w:rsidR="009F4121">
        <w:rPr>
          <w:rFonts w:ascii="Tahoma" w:hAnsi="Tahoma" w:cs="Tahoma"/>
          <w:b/>
          <w:sz w:val="24"/>
          <w:szCs w:val="24"/>
        </w:rPr>
        <w:t xml:space="preserve"> </w:t>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w:t>
      </w:r>
      <w:r w:rsidR="0029084A">
        <w:rPr>
          <w:rFonts w:ascii="Tahoma" w:hAnsi="Tahoma" w:cs="Tahoma"/>
          <w:sz w:val="24"/>
          <w:szCs w:val="24"/>
        </w:rPr>
        <w:t xml:space="preserve">the </w:t>
      </w:r>
      <w:r w:rsidRPr="004708FE">
        <w:rPr>
          <w:rFonts w:ascii="Tahoma" w:hAnsi="Tahoma" w:cs="Tahoma"/>
          <w:sz w:val="24"/>
          <w:szCs w:val="24"/>
        </w:rPr>
        <w:t xml:space="preserve">Honourable </w:t>
      </w:r>
      <w:r w:rsidR="0029084A">
        <w:rPr>
          <w:rFonts w:ascii="Tahoma" w:hAnsi="Tahoma" w:cs="Tahoma"/>
          <w:sz w:val="24"/>
          <w:szCs w:val="24"/>
        </w:rPr>
        <w:t xml:space="preserve">G. </w:t>
      </w:r>
      <w:proofErr w:type="spellStart"/>
      <w:r w:rsidR="00E82F40">
        <w:rPr>
          <w:rFonts w:ascii="Tahoma" w:hAnsi="Tahoma" w:cs="Tahoma"/>
          <w:sz w:val="24"/>
          <w:szCs w:val="24"/>
        </w:rPr>
        <w:t>Musariri</w:t>
      </w:r>
      <w:proofErr w:type="spellEnd"/>
      <w:r w:rsidRPr="004708FE">
        <w:rPr>
          <w:rFonts w:ascii="Tahoma" w:hAnsi="Tahoma" w:cs="Tahoma"/>
          <w:sz w:val="24"/>
          <w:szCs w:val="24"/>
        </w:rPr>
        <w:t>, Judge</w:t>
      </w:r>
      <w:r w:rsidR="00054830">
        <w:rPr>
          <w:rFonts w:ascii="Tahoma" w:hAnsi="Tahoma" w:cs="Tahoma"/>
          <w:sz w:val="24"/>
          <w:szCs w:val="24"/>
        </w:rPr>
        <w:t>;</w:t>
      </w:r>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152ADE">
        <w:rPr>
          <w:rFonts w:ascii="Tahoma" w:hAnsi="Tahoma" w:cs="Tahoma"/>
          <w:b/>
          <w:sz w:val="24"/>
          <w:szCs w:val="24"/>
        </w:rPr>
        <w:t>ellant</w:t>
      </w:r>
      <w:r w:rsidR="00B57477">
        <w:rPr>
          <w:rFonts w:ascii="Tahoma" w:hAnsi="Tahoma" w:cs="Tahoma"/>
          <w:b/>
          <w:sz w:val="24"/>
          <w:szCs w:val="24"/>
        </w:rPr>
        <w:tab/>
      </w:r>
      <w:r w:rsidR="00B57477">
        <w:rPr>
          <w:rFonts w:ascii="Tahoma" w:hAnsi="Tahoma" w:cs="Tahoma"/>
          <w:b/>
          <w:sz w:val="24"/>
          <w:szCs w:val="24"/>
        </w:rPr>
        <w:tab/>
      </w:r>
      <w:r w:rsidR="00152ADE">
        <w:rPr>
          <w:rFonts w:ascii="Tahoma" w:hAnsi="Tahoma" w:cs="Tahoma"/>
          <w:b/>
          <w:sz w:val="24"/>
          <w:szCs w:val="24"/>
        </w:rPr>
        <w:t xml:space="preserve">-Mr A. </w:t>
      </w:r>
      <w:proofErr w:type="spellStart"/>
      <w:r w:rsidR="00152ADE">
        <w:rPr>
          <w:rFonts w:ascii="Tahoma" w:hAnsi="Tahoma" w:cs="Tahoma"/>
          <w:b/>
          <w:sz w:val="24"/>
          <w:szCs w:val="24"/>
        </w:rPr>
        <w:t>Windimani</w:t>
      </w:r>
      <w:proofErr w:type="spellEnd"/>
      <w:r w:rsidR="00152ADE">
        <w:rPr>
          <w:rFonts w:ascii="Tahoma" w:hAnsi="Tahoma" w:cs="Tahoma"/>
          <w:b/>
          <w:sz w:val="24"/>
          <w:szCs w:val="24"/>
        </w:rPr>
        <w:t>, Unionist</w:t>
      </w:r>
    </w:p>
    <w:p w:rsidR="008712EF" w:rsidRDefault="008712EF" w:rsidP="00446DC5">
      <w:pPr>
        <w:pStyle w:val="NoSpacing"/>
        <w:spacing w:line="360" w:lineRule="auto"/>
        <w:rPr>
          <w:rFonts w:ascii="Tahoma" w:hAnsi="Tahoma" w:cs="Tahoma"/>
          <w:b/>
          <w:sz w:val="24"/>
          <w:szCs w:val="24"/>
        </w:rPr>
      </w:pPr>
    </w:p>
    <w:p w:rsidR="00152ADE" w:rsidRDefault="00152ADE" w:rsidP="00446DC5">
      <w:pPr>
        <w:pStyle w:val="NoSpacing"/>
        <w:spacing w:line="360" w:lineRule="auto"/>
        <w:rPr>
          <w:rFonts w:ascii="Tahoma" w:hAnsi="Tahoma" w:cs="Tahoma"/>
          <w:b/>
          <w:sz w:val="24"/>
          <w:szCs w:val="24"/>
        </w:rPr>
      </w:pPr>
    </w:p>
    <w:p w:rsidR="00446DC5"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B56AFC">
        <w:rPr>
          <w:rFonts w:ascii="Tahoma" w:hAnsi="Tahoma" w:cs="Tahoma"/>
          <w:b/>
          <w:sz w:val="24"/>
          <w:szCs w:val="24"/>
        </w:rPr>
        <w:tab/>
      </w:r>
      <w:r w:rsidR="00B56AFC">
        <w:rPr>
          <w:rFonts w:ascii="Tahoma" w:hAnsi="Tahoma" w:cs="Tahoma"/>
          <w:b/>
          <w:sz w:val="24"/>
          <w:szCs w:val="24"/>
        </w:rPr>
        <w:tab/>
      </w:r>
      <w:r w:rsidR="00152ADE">
        <w:rPr>
          <w:rFonts w:ascii="Tahoma" w:hAnsi="Tahoma" w:cs="Tahoma"/>
          <w:b/>
          <w:sz w:val="24"/>
          <w:szCs w:val="24"/>
        </w:rPr>
        <w:t>-Mr T</w:t>
      </w:r>
      <w:r w:rsidR="008712EF">
        <w:rPr>
          <w:rFonts w:ascii="Tahoma" w:hAnsi="Tahoma" w:cs="Tahoma"/>
          <w:b/>
          <w:sz w:val="24"/>
          <w:szCs w:val="24"/>
        </w:rPr>
        <w:t xml:space="preserve"> </w:t>
      </w:r>
      <w:r w:rsidR="00152ADE">
        <w:rPr>
          <w:rFonts w:ascii="Tahoma" w:hAnsi="Tahoma" w:cs="Tahoma"/>
          <w:b/>
          <w:sz w:val="24"/>
          <w:szCs w:val="24"/>
        </w:rPr>
        <w:t xml:space="preserve">E. </w:t>
      </w:r>
      <w:proofErr w:type="spellStart"/>
      <w:r w:rsidR="00152ADE">
        <w:rPr>
          <w:rFonts w:ascii="Tahoma" w:hAnsi="Tahoma" w:cs="Tahoma"/>
          <w:b/>
          <w:sz w:val="24"/>
          <w:szCs w:val="24"/>
        </w:rPr>
        <w:t>Gimbo</w:t>
      </w:r>
      <w:proofErr w:type="spellEnd"/>
      <w:r w:rsidR="00054830">
        <w:rPr>
          <w:rFonts w:ascii="Tahoma" w:hAnsi="Tahoma" w:cs="Tahoma"/>
          <w:b/>
          <w:sz w:val="24"/>
          <w:szCs w:val="24"/>
        </w:rPr>
        <w:t>,</w:t>
      </w:r>
      <w:r w:rsidR="00E82F40">
        <w:rPr>
          <w:rFonts w:ascii="Tahoma" w:hAnsi="Tahoma" w:cs="Tahoma"/>
          <w:b/>
          <w:sz w:val="24"/>
          <w:szCs w:val="24"/>
        </w:rPr>
        <w:t xml:space="preserve"> Attorney</w:t>
      </w:r>
      <w:r w:rsidR="00987FE3">
        <w:rPr>
          <w:rFonts w:ascii="Tahoma" w:hAnsi="Tahoma" w:cs="Tahoma"/>
          <w:b/>
          <w:sz w:val="24"/>
          <w:szCs w:val="24"/>
        </w:rPr>
        <w:tab/>
      </w:r>
    </w:p>
    <w:p w:rsidR="003047D5" w:rsidRDefault="003047D5" w:rsidP="00446DC5">
      <w:pPr>
        <w:pStyle w:val="NoSpacing"/>
        <w:spacing w:line="360" w:lineRule="auto"/>
        <w:rPr>
          <w:rFonts w:ascii="Tahoma" w:hAnsi="Tahoma" w:cs="Tahoma"/>
          <w:b/>
          <w:sz w:val="24"/>
          <w:szCs w:val="24"/>
        </w:rPr>
      </w:pPr>
    </w:p>
    <w:p w:rsidR="003047D5" w:rsidRPr="008C4120" w:rsidRDefault="003047D5" w:rsidP="00446DC5">
      <w:pPr>
        <w:pStyle w:val="NoSpacing"/>
        <w:spacing w:line="360" w:lineRule="auto"/>
        <w:rPr>
          <w:rFonts w:ascii="Tahoma" w:hAnsi="Tahoma" w:cs="Tahoma"/>
          <w:b/>
          <w:sz w:val="24"/>
          <w:szCs w:val="24"/>
        </w:rPr>
      </w:pPr>
    </w:p>
    <w:p w:rsidR="00446DC5" w:rsidRDefault="00E82F40" w:rsidP="00446DC5">
      <w:pPr>
        <w:spacing w:line="360" w:lineRule="auto"/>
        <w:jc w:val="both"/>
        <w:rPr>
          <w:rFonts w:ascii="Tahoma" w:hAnsi="Tahoma" w:cs="Tahoma"/>
          <w:b/>
          <w:sz w:val="24"/>
          <w:szCs w:val="24"/>
        </w:rPr>
      </w:pPr>
      <w:r>
        <w:rPr>
          <w:rFonts w:ascii="Tahoma" w:hAnsi="Tahoma" w:cs="Tahoma"/>
          <w:b/>
          <w:sz w:val="24"/>
          <w:szCs w:val="24"/>
        </w:rPr>
        <w:t>MUSARIRI</w:t>
      </w:r>
      <w:r w:rsidR="00446DC5" w:rsidRPr="004708FE">
        <w:rPr>
          <w:rFonts w:ascii="Tahoma" w:hAnsi="Tahoma" w:cs="Tahoma"/>
          <w:b/>
          <w:sz w:val="24"/>
          <w:szCs w:val="24"/>
        </w:rPr>
        <w:t>, J:</w:t>
      </w:r>
    </w:p>
    <w:p w:rsidR="000532B6" w:rsidRDefault="00152ADE" w:rsidP="008C5317">
      <w:pPr>
        <w:spacing w:line="360" w:lineRule="auto"/>
        <w:jc w:val="both"/>
        <w:rPr>
          <w:rFonts w:ascii="Tahoma" w:hAnsi="Tahoma" w:cs="Tahoma"/>
          <w:sz w:val="24"/>
          <w:szCs w:val="24"/>
        </w:rPr>
      </w:pPr>
      <w:r>
        <w:rPr>
          <w:rFonts w:ascii="Tahoma" w:hAnsi="Tahoma" w:cs="Tahoma"/>
          <w:sz w:val="24"/>
          <w:szCs w:val="24"/>
        </w:rPr>
        <w:t xml:space="preserve">Applicant applied to this Court for the review of the termination of her employment by Respondent.  The application was made in terms of Section 92 EE of the </w:t>
      </w:r>
      <w:r>
        <w:rPr>
          <w:rFonts w:ascii="Tahoma" w:hAnsi="Tahoma" w:cs="Tahoma"/>
          <w:sz w:val="24"/>
          <w:szCs w:val="24"/>
          <w:u w:val="single"/>
        </w:rPr>
        <w:t>Labour Act</w:t>
      </w:r>
      <w:r>
        <w:rPr>
          <w:rFonts w:ascii="Tahoma" w:hAnsi="Tahoma" w:cs="Tahoma"/>
          <w:sz w:val="24"/>
          <w:szCs w:val="24"/>
        </w:rPr>
        <w:t xml:space="preserve"> Chapter 28:01 (hereafter called the Act).  Respondent opposed the application.</w:t>
      </w:r>
    </w:p>
    <w:p w:rsidR="00152ADE" w:rsidRDefault="00494357" w:rsidP="008C5317">
      <w:pPr>
        <w:spacing w:line="360" w:lineRule="auto"/>
        <w:jc w:val="both"/>
        <w:rPr>
          <w:rFonts w:ascii="Tahoma" w:hAnsi="Tahoma" w:cs="Tahoma"/>
          <w:sz w:val="24"/>
          <w:szCs w:val="24"/>
        </w:rPr>
      </w:pPr>
      <w:r>
        <w:rPr>
          <w:rFonts w:ascii="Tahoma" w:hAnsi="Tahoma" w:cs="Tahoma"/>
          <w:sz w:val="24"/>
          <w:szCs w:val="24"/>
        </w:rPr>
        <w:t>The ground for review</w:t>
      </w:r>
      <w:r w:rsidR="00152ADE">
        <w:rPr>
          <w:rFonts w:ascii="Tahoma" w:hAnsi="Tahoma" w:cs="Tahoma"/>
          <w:sz w:val="24"/>
          <w:szCs w:val="24"/>
        </w:rPr>
        <w:t xml:space="preserve"> was summarised as follows</w:t>
      </w:r>
    </w:p>
    <w:p w:rsidR="00152ADE" w:rsidRPr="00D850E4" w:rsidRDefault="007051A6" w:rsidP="00494357">
      <w:pPr>
        <w:spacing w:line="240" w:lineRule="auto"/>
        <w:ind w:left="1440" w:hanging="720"/>
        <w:rPr>
          <w:rFonts w:ascii="Tahoma" w:hAnsi="Tahoma" w:cs="Tahoma"/>
        </w:rPr>
      </w:pPr>
      <w:r>
        <w:rPr>
          <w:rFonts w:ascii="Tahoma" w:hAnsi="Tahoma" w:cs="Tahoma"/>
          <w:sz w:val="24"/>
          <w:szCs w:val="24"/>
        </w:rPr>
        <w:t>“</w:t>
      </w:r>
      <w:r w:rsidR="00494357">
        <w:rPr>
          <w:rFonts w:ascii="Tahoma" w:hAnsi="Tahoma" w:cs="Tahoma"/>
          <w:sz w:val="24"/>
          <w:szCs w:val="24"/>
        </w:rPr>
        <w:t>1.</w:t>
      </w:r>
      <w:r w:rsidR="00494357">
        <w:rPr>
          <w:rFonts w:ascii="Tahoma" w:hAnsi="Tahoma" w:cs="Tahoma"/>
          <w:sz w:val="24"/>
          <w:szCs w:val="24"/>
        </w:rPr>
        <w:tab/>
      </w:r>
      <w:r w:rsidRPr="00D850E4">
        <w:rPr>
          <w:rFonts w:ascii="Tahoma" w:hAnsi="Tahoma" w:cs="Tahoma"/>
        </w:rPr>
        <w:t>The Respondent erred at law when it unfairly terminated the</w:t>
      </w:r>
      <w:r w:rsidR="00D850E4">
        <w:rPr>
          <w:rFonts w:ascii="Tahoma" w:hAnsi="Tahoma" w:cs="Tahoma"/>
        </w:rPr>
        <w:t xml:space="preserve"> Applicant(s)</w:t>
      </w:r>
      <w:r w:rsidRPr="00D850E4">
        <w:rPr>
          <w:rFonts w:ascii="Tahoma" w:hAnsi="Tahoma" w:cs="Tahoma"/>
        </w:rPr>
        <w:t xml:space="preserve"> </w:t>
      </w:r>
      <w:r w:rsidR="00494357">
        <w:rPr>
          <w:rFonts w:ascii="Tahoma" w:hAnsi="Tahoma" w:cs="Tahoma"/>
        </w:rPr>
        <w:t xml:space="preserve">     </w:t>
      </w:r>
      <w:r w:rsidRPr="00D850E4">
        <w:rPr>
          <w:rFonts w:ascii="Tahoma" w:hAnsi="Tahoma" w:cs="Tahoma"/>
        </w:rPr>
        <w:t>Contract of employment on 30 November</w:t>
      </w:r>
      <w:r w:rsidR="00D850E4">
        <w:rPr>
          <w:rFonts w:ascii="Tahoma" w:hAnsi="Tahoma" w:cs="Tahoma"/>
        </w:rPr>
        <w:t xml:space="preserve"> 2020 without the application of </w:t>
      </w:r>
      <w:r w:rsidRPr="00D850E4">
        <w:rPr>
          <w:rFonts w:ascii="Tahoma" w:hAnsi="Tahoma" w:cs="Tahoma"/>
        </w:rPr>
        <w:t>a code of conduct and the law.”</w:t>
      </w:r>
    </w:p>
    <w:p w:rsidR="00D850E4" w:rsidRDefault="007051A6" w:rsidP="007051A6">
      <w:pPr>
        <w:spacing w:line="360" w:lineRule="auto"/>
        <w:jc w:val="both"/>
        <w:rPr>
          <w:rFonts w:ascii="Tahoma" w:hAnsi="Tahoma" w:cs="Tahoma"/>
          <w:sz w:val="24"/>
          <w:szCs w:val="24"/>
        </w:rPr>
      </w:pPr>
      <w:r>
        <w:rPr>
          <w:rFonts w:ascii="Tahoma" w:hAnsi="Tahoma" w:cs="Tahoma"/>
          <w:sz w:val="24"/>
          <w:szCs w:val="24"/>
        </w:rPr>
        <w:t xml:space="preserve">The application was supported by a founding affidavit which is 34 paragraphs long.  Most of the contents of affidavit were argumentative and repetitious.  In argument before this Court Applicant stated she was given conflicting reasons for her termination.  Firstly she was told she had worked for more than 10 years without break and was terminated for that reason.  Then she was told she was being </w:t>
      </w:r>
    </w:p>
    <w:p w:rsidR="00D850E4" w:rsidRDefault="00D850E4" w:rsidP="007051A6">
      <w:pPr>
        <w:spacing w:line="360" w:lineRule="auto"/>
        <w:jc w:val="both"/>
        <w:rPr>
          <w:rFonts w:ascii="Tahoma" w:hAnsi="Tahoma" w:cs="Tahoma"/>
          <w:sz w:val="24"/>
          <w:szCs w:val="24"/>
        </w:rPr>
      </w:pPr>
    </w:p>
    <w:p w:rsidR="001352B8" w:rsidRDefault="001352B8" w:rsidP="007051A6">
      <w:pPr>
        <w:spacing w:line="360" w:lineRule="auto"/>
        <w:jc w:val="both"/>
        <w:rPr>
          <w:rFonts w:ascii="Tahoma" w:hAnsi="Tahoma" w:cs="Tahoma"/>
          <w:sz w:val="24"/>
          <w:szCs w:val="24"/>
        </w:rPr>
      </w:pPr>
    </w:p>
    <w:p w:rsidR="007051A6" w:rsidRDefault="008712EF" w:rsidP="007051A6">
      <w:pPr>
        <w:spacing w:line="360" w:lineRule="auto"/>
        <w:jc w:val="both"/>
        <w:rPr>
          <w:rFonts w:ascii="Tahoma" w:hAnsi="Tahoma" w:cs="Tahoma"/>
          <w:sz w:val="24"/>
          <w:szCs w:val="24"/>
        </w:rPr>
      </w:pPr>
      <w:proofErr w:type="gramStart"/>
      <w:r>
        <w:rPr>
          <w:rFonts w:ascii="Tahoma" w:hAnsi="Tahoma" w:cs="Tahoma"/>
          <w:sz w:val="24"/>
          <w:szCs w:val="24"/>
        </w:rPr>
        <w:t>terminated</w:t>
      </w:r>
      <w:proofErr w:type="gramEnd"/>
      <w:r>
        <w:rPr>
          <w:rFonts w:ascii="Tahoma" w:hAnsi="Tahoma" w:cs="Tahoma"/>
          <w:sz w:val="24"/>
          <w:szCs w:val="24"/>
        </w:rPr>
        <w:t xml:space="preserve"> </w:t>
      </w:r>
      <w:r w:rsidR="007051A6">
        <w:rPr>
          <w:rFonts w:ascii="Tahoma" w:hAnsi="Tahoma" w:cs="Tahoma"/>
          <w:sz w:val="24"/>
          <w:szCs w:val="24"/>
        </w:rPr>
        <w:t>because of non-availability of</w:t>
      </w:r>
      <w:r w:rsidR="001352B8">
        <w:rPr>
          <w:rFonts w:ascii="Tahoma" w:hAnsi="Tahoma" w:cs="Tahoma"/>
          <w:sz w:val="24"/>
          <w:szCs w:val="24"/>
        </w:rPr>
        <w:t xml:space="preserve"> work.  She submitted that both </w:t>
      </w:r>
      <w:proofErr w:type="gramStart"/>
      <w:r w:rsidR="007051A6">
        <w:rPr>
          <w:rFonts w:ascii="Tahoma" w:hAnsi="Tahoma" w:cs="Tahoma"/>
          <w:sz w:val="24"/>
          <w:szCs w:val="24"/>
        </w:rPr>
        <w:t>reasons  were</w:t>
      </w:r>
      <w:proofErr w:type="gramEnd"/>
      <w:r w:rsidR="007051A6">
        <w:rPr>
          <w:rFonts w:ascii="Tahoma" w:hAnsi="Tahoma" w:cs="Tahoma"/>
          <w:sz w:val="24"/>
          <w:szCs w:val="24"/>
        </w:rPr>
        <w:t xml:space="preserve"> wrongful and unlawful.</w:t>
      </w:r>
    </w:p>
    <w:p w:rsidR="007051A6" w:rsidRDefault="00CE2B82" w:rsidP="007051A6">
      <w:pPr>
        <w:spacing w:line="360" w:lineRule="auto"/>
        <w:jc w:val="both"/>
        <w:rPr>
          <w:rFonts w:ascii="Tahoma" w:hAnsi="Tahoma" w:cs="Tahoma"/>
          <w:sz w:val="24"/>
          <w:szCs w:val="24"/>
        </w:rPr>
      </w:pPr>
      <w:r>
        <w:rPr>
          <w:rFonts w:ascii="Tahoma" w:hAnsi="Tahoma" w:cs="Tahoma"/>
          <w:sz w:val="24"/>
          <w:szCs w:val="24"/>
        </w:rPr>
        <w:t>Respondent filed an opposing affidavit.  It declaimed as followed,</w:t>
      </w:r>
    </w:p>
    <w:p w:rsidR="00CE2B82" w:rsidRPr="001352B8" w:rsidRDefault="00CE2B82" w:rsidP="001352B8">
      <w:pPr>
        <w:spacing w:line="240" w:lineRule="auto"/>
        <w:ind w:left="1440" w:hanging="720"/>
        <w:jc w:val="both"/>
        <w:rPr>
          <w:rFonts w:ascii="Tahoma" w:hAnsi="Tahoma" w:cs="Tahoma"/>
        </w:rPr>
      </w:pPr>
      <w:r w:rsidRPr="001352B8">
        <w:rPr>
          <w:rFonts w:ascii="Tahoma" w:hAnsi="Tahoma" w:cs="Tahoma"/>
        </w:rPr>
        <w:t>“</w:t>
      </w:r>
      <w:r w:rsidR="001352B8" w:rsidRPr="001352B8">
        <w:rPr>
          <w:rFonts w:ascii="Tahoma" w:hAnsi="Tahoma" w:cs="Tahoma"/>
        </w:rPr>
        <w:t>11.</w:t>
      </w:r>
      <w:r w:rsidR="001352B8" w:rsidRPr="001352B8">
        <w:rPr>
          <w:rFonts w:ascii="Tahoma" w:hAnsi="Tahoma" w:cs="Tahoma"/>
        </w:rPr>
        <w:tab/>
      </w:r>
      <w:r w:rsidRPr="001352B8">
        <w:rPr>
          <w:rFonts w:ascii="Tahoma" w:hAnsi="Tahoma" w:cs="Tahoma"/>
        </w:rPr>
        <w:t>I aver that the Applicant is mistaken in her belief that she was dismissed</w:t>
      </w:r>
      <w:r w:rsidR="001352B8" w:rsidRPr="001352B8">
        <w:rPr>
          <w:rFonts w:ascii="Tahoma" w:hAnsi="Tahoma" w:cs="Tahoma"/>
        </w:rPr>
        <w:t xml:space="preserve"> </w:t>
      </w:r>
      <w:r w:rsidRPr="001352B8">
        <w:rPr>
          <w:rFonts w:ascii="Tahoma" w:hAnsi="Tahoma" w:cs="Tahoma"/>
        </w:rPr>
        <w:t>and that such termination of employment ought to have been in terms of a Code of Conduct.</w:t>
      </w:r>
    </w:p>
    <w:p w:rsidR="00CE2B82" w:rsidRPr="001352B8" w:rsidRDefault="001352B8" w:rsidP="001352B8">
      <w:pPr>
        <w:spacing w:line="240" w:lineRule="auto"/>
        <w:ind w:left="1440" w:hanging="720"/>
        <w:jc w:val="both"/>
        <w:rPr>
          <w:rFonts w:ascii="Tahoma" w:hAnsi="Tahoma" w:cs="Tahoma"/>
        </w:rPr>
      </w:pPr>
      <w:r w:rsidRPr="001352B8">
        <w:rPr>
          <w:rFonts w:ascii="Tahoma" w:hAnsi="Tahoma" w:cs="Tahoma"/>
        </w:rPr>
        <w:t>12.</w:t>
      </w:r>
      <w:r w:rsidRPr="001352B8">
        <w:rPr>
          <w:rFonts w:ascii="Tahoma" w:hAnsi="Tahoma" w:cs="Tahoma"/>
        </w:rPr>
        <w:tab/>
      </w:r>
      <w:r w:rsidR="00CE2B82" w:rsidRPr="001352B8">
        <w:rPr>
          <w:rFonts w:ascii="Tahoma" w:hAnsi="Tahoma" w:cs="Tahoma"/>
        </w:rPr>
        <w:t>I admit that the Applicant’s contract was terminated by effluxion of time.</w:t>
      </w:r>
      <w:r w:rsidRPr="001352B8">
        <w:rPr>
          <w:rFonts w:ascii="Tahoma" w:hAnsi="Tahoma" w:cs="Tahoma"/>
        </w:rPr>
        <w:t xml:space="preserve">  </w:t>
      </w:r>
      <w:r w:rsidR="00CE2B82" w:rsidRPr="001352B8">
        <w:rPr>
          <w:rFonts w:ascii="Tahoma" w:hAnsi="Tahoma" w:cs="Tahoma"/>
        </w:rPr>
        <w:t>This however was not a dismissal.  It required no application of a Code of Conduct</w:t>
      </w:r>
      <w:r w:rsidRPr="001352B8">
        <w:rPr>
          <w:rFonts w:ascii="Tahoma" w:hAnsi="Tahoma" w:cs="Tahoma"/>
        </w:rPr>
        <w:t>.</w:t>
      </w:r>
    </w:p>
    <w:p w:rsidR="00CE2B82" w:rsidRPr="001352B8" w:rsidRDefault="001352B8" w:rsidP="001352B8">
      <w:pPr>
        <w:spacing w:line="240" w:lineRule="auto"/>
        <w:ind w:left="1440" w:hanging="720"/>
        <w:jc w:val="both"/>
        <w:rPr>
          <w:rFonts w:ascii="Tahoma" w:hAnsi="Tahoma" w:cs="Tahoma"/>
        </w:rPr>
      </w:pPr>
      <w:r w:rsidRPr="001352B8">
        <w:rPr>
          <w:rFonts w:ascii="Tahoma" w:hAnsi="Tahoma" w:cs="Tahoma"/>
        </w:rPr>
        <w:t>13.</w:t>
      </w:r>
      <w:r w:rsidRPr="001352B8">
        <w:rPr>
          <w:rFonts w:ascii="Tahoma" w:hAnsi="Tahoma" w:cs="Tahoma"/>
        </w:rPr>
        <w:tab/>
      </w:r>
      <w:r w:rsidR="00CE2B82" w:rsidRPr="001352B8">
        <w:rPr>
          <w:rFonts w:ascii="Tahoma" w:hAnsi="Tahoma" w:cs="Tahoma"/>
        </w:rPr>
        <w:t xml:space="preserve">I attach her contract as </w:t>
      </w:r>
      <w:proofErr w:type="spellStart"/>
      <w:r w:rsidR="00CE2B82" w:rsidRPr="001352B8">
        <w:rPr>
          <w:rFonts w:ascii="Tahoma" w:hAnsi="Tahoma" w:cs="Tahoma"/>
        </w:rPr>
        <w:t>Annexture</w:t>
      </w:r>
      <w:proofErr w:type="spellEnd"/>
      <w:r w:rsidR="00CE2B82" w:rsidRPr="001352B8">
        <w:rPr>
          <w:rFonts w:ascii="Tahoma" w:hAnsi="Tahoma" w:cs="Tahoma"/>
        </w:rPr>
        <w:t xml:space="preserve"> A.  It is clear that Applicant was on a fixed term contract as stipulated in clause 1 of the contract.  The contract was with effect from 1 November 2020 to 30 November 2020 (clause 2).</w:t>
      </w:r>
    </w:p>
    <w:p w:rsidR="00CE2B82" w:rsidRPr="001352B8" w:rsidRDefault="001352B8" w:rsidP="001352B8">
      <w:pPr>
        <w:spacing w:line="240" w:lineRule="auto"/>
        <w:ind w:left="1440" w:hanging="720"/>
        <w:jc w:val="both"/>
        <w:rPr>
          <w:rFonts w:ascii="Tahoma" w:hAnsi="Tahoma" w:cs="Tahoma"/>
        </w:rPr>
      </w:pPr>
      <w:r w:rsidRPr="001352B8">
        <w:rPr>
          <w:rFonts w:ascii="Tahoma" w:hAnsi="Tahoma" w:cs="Tahoma"/>
        </w:rPr>
        <w:t>14.</w:t>
      </w:r>
      <w:r w:rsidRPr="001352B8">
        <w:rPr>
          <w:rFonts w:ascii="Tahoma" w:hAnsi="Tahoma" w:cs="Tahoma"/>
        </w:rPr>
        <w:tab/>
      </w:r>
      <w:r w:rsidR="00CE2B82" w:rsidRPr="001352B8">
        <w:rPr>
          <w:rFonts w:ascii="Tahoma" w:hAnsi="Tahoma" w:cs="Tahoma"/>
        </w:rPr>
        <w:t>Applicant accepted the terms of the contract offer without protest.  She is bound by the same.  One such material term is the absence of any legitimate expectation of further renewal.”</w:t>
      </w:r>
    </w:p>
    <w:p w:rsidR="0085745F" w:rsidRDefault="00CE2B82" w:rsidP="00CE2B82">
      <w:pPr>
        <w:spacing w:line="360" w:lineRule="auto"/>
        <w:jc w:val="both"/>
        <w:rPr>
          <w:rFonts w:ascii="Tahoma" w:hAnsi="Tahoma" w:cs="Tahoma"/>
          <w:sz w:val="24"/>
          <w:szCs w:val="24"/>
        </w:rPr>
      </w:pPr>
      <w:r>
        <w:rPr>
          <w:rFonts w:ascii="Tahoma" w:hAnsi="Tahoma" w:cs="Tahoma"/>
          <w:sz w:val="24"/>
          <w:szCs w:val="24"/>
        </w:rPr>
        <w:t>The said employment contract is filed of record.  Its clauses 1 &amp; 2 confirm that it was</w:t>
      </w:r>
      <w:r w:rsidR="0085745F">
        <w:rPr>
          <w:rFonts w:ascii="Tahoma" w:hAnsi="Tahoma" w:cs="Tahoma"/>
          <w:sz w:val="24"/>
          <w:szCs w:val="24"/>
        </w:rPr>
        <w:t xml:space="preserve"> a one-month contract with effect from the 1</w:t>
      </w:r>
      <w:r w:rsidR="0085745F" w:rsidRPr="0085745F">
        <w:rPr>
          <w:rFonts w:ascii="Tahoma" w:hAnsi="Tahoma" w:cs="Tahoma"/>
          <w:sz w:val="24"/>
          <w:szCs w:val="24"/>
          <w:vertAlign w:val="superscript"/>
        </w:rPr>
        <w:t>st</w:t>
      </w:r>
      <w:r w:rsidR="0085745F">
        <w:rPr>
          <w:rFonts w:ascii="Tahoma" w:hAnsi="Tahoma" w:cs="Tahoma"/>
          <w:sz w:val="24"/>
          <w:szCs w:val="24"/>
        </w:rPr>
        <w:t xml:space="preserve"> November 2020 to the 30</w:t>
      </w:r>
      <w:r w:rsidR="0085745F" w:rsidRPr="0085745F">
        <w:rPr>
          <w:rFonts w:ascii="Tahoma" w:hAnsi="Tahoma" w:cs="Tahoma"/>
          <w:sz w:val="24"/>
          <w:szCs w:val="24"/>
          <w:vertAlign w:val="superscript"/>
        </w:rPr>
        <w:t>th</w:t>
      </w:r>
      <w:r w:rsidR="0085745F">
        <w:rPr>
          <w:rFonts w:ascii="Tahoma" w:hAnsi="Tahoma" w:cs="Tahoma"/>
          <w:sz w:val="24"/>
          <w:szCs w:val="24"/>
        </w:rPr>
        <w:t xml:space="preserve"> November 2020.  Its clause 1 ends as follows </w:t>
      </w:r>
    </w:p>
    <w:p w:rsidR="0085745F" w:rsidRPr="001352B8" w:rsidRDefault="0085745F" w:rsidP="001352B8">
      <w:pPr>
        <w:spacing w:line="240" w:lineRule="auto"/>
        <w:ind w:left="720"/>
        <w:jc w:val="both"/>
        <w:rPr>
          <w:rFonts w:ascii="Tahoma" w:hAnsi="Tahoma" w:cs="Tahoma"/>
        </w:rPr>
      </w:pPr>
      <w:proofErr w:type="gramStart"/>
      <w:r w:rsidRPr="001352B8">
        <w:rPr>
          <w:rFonts w:ascii="Tahoma" w:hAnsi="Tahoma" w:cs="Tahoma"/>
        </w:rPr>
        <w:t>“</w:t>
      </w:r>
      <w:r w:rsidR="001352B8">
        <w:rPr>
          <w:rFonts w:ascii="Tahoma" w:hAnsi="Tahoma" w:cs="Tahoma"/>
        </w:rPr>
        <w:t xml:space="preserve"> Accordingly</w:t>
      </w:r>
      <w:proofErr w:type="gramEnd"/>
      <w:r w:rsidR="001352B8">
        <w:rPr>
          <w:rFonts w:ascii="Tahoma" w:hAnsi="Tahoma" w:cs="Tahoma"/>
        </w:rPr>
        <w:t xml:space="preserve">, </w:t>
      </w:r>
      <w:r w:rsidRPr="001352B8">
        <w:rPr>
          <w:rFonts w:ascii="Tahoma" w:hAnsi="Tahoma" w:cs="Tahoma"/>
        </w:rPr>
        <w:t>this renewal should not by any means create a right to or       legitimate expectation of any further renewals.”</w:t>
      </w:r>
    </w:p>
    <w:p w:rsidR="0085745F" w:rsidRDefault="0085745F" w:rsidP="0085745F">
      <w:pPr>
        <w:spacing w:line="360" w:lineRule="auto"/>
        <w:jc w:val="both"/>
        <w:rPr>
          <w:rFonts w:ascii="Tahoma" w:hAnsi="Tahoma" w:cs="Tahoma"/>
          <w:sz w:val="24"/>
          <w:szCs w:val="24"/>
        </w:rPr>
      </w:pPr>
      <w:r>
        <w:rPr>
          <w:rFonts w:ascii="Tahoma" w:hAnsi="Tahoma" w:cs="Tahoma"/>
          <w:sz w:val="24"/>
          <w:szCs w:val="24"/>
        </w:rPr>
        <w:t>Thus Applicant renounced any expectation of renewal.  Apparently her termination with effect from the 30</w:t>
      </w:r>
      <w:r w:rsidRPr="0085745F">
        <w:rPr>
          <w:rFonts w:ascii="Tahoma" w:hAnsi="Tahoma" w:cs="Tahoma"/>
          <w:sz w:val="24"/>
          <w:szCs w:val="24"/>
          <w:vertAlign w:val="superscript"/>
        </w:rPr>
        <w:t>th</w:t>
      </w:r>
      <w:r>
        <w:rPr>
          <w:rFonts w:ascii="Tahoma" w:hAnsi="Tahoma" w:cs="Tahoma"/>
          <w:sz w:val="24"/>
          <w:szCs w:val="24"/>
        </w:rPr>
        <w:t xml:space="preserve"> November 2020 was consistent with the employment contract.</w:t>
      </w:r>
    </w:p>
    <w:p w:rsidR="00573DD8" w:rsidRDefault="0085745F" w:rsidP="0085745F">
      <w:pPr>
        <w:spacing w:line="360" w:lineRule="auto"/>
        <w:jc w:val="both"/>
        <w:rPr>
          <w:rFonts w:ascii="Tahoma" w:hAnsi="Tahoma" w:cs="Tahoma"/>
          <w:sz w:val="24"/>
          <w:szCs w:val="24"/>
        </w:rPr>
      </w:pPr>
      <w:r>
        <w:rPr>
          <w:rFonts w:ascii="Tahoma" w:hAnsi="Tahoma" w:cs="Tahoma"/>
          <w:sz w:val="24"/>
          <w:szCs w:val="24"/>
        </w:rPr>
        <w:t>Applicant sought to get around her apparent difficulty by reliance on the Collective Bargaining Agreement:  Food and Allied Industries dated the 13</w:t>
      </w:r>
      <w:r w:rsidRPr="0085745F">
        <w:rPr>
          <w:rFonts w:ascii="Tahoma" w:hAnsi="Tahoma" w:cs="Tahoma"/>
          <w:sz w:val="24"/>
          <w:szCs w:val="24"/>
          <w:vertAlign w:val="superscript"/>
        </w:rPr>
        <w:t>th</w:t>
      </w:r>
      <w:r>
        <w:rPr>
          <w:rFonts w:ascii="Tahoma" w:hAnsi="Tahoma" w:cs="Tahoma"/>
          <w:sz w:val="24"/>
          <w:szCs w:val="24"/>
        </w:rPr>
        <w:t xml:space="preserve"> July 2018.  The CBA provides that an employee on a fixed term contract for a continuous </w:t>
      </w:r>
      <w:r w:rsidR="008712EF">
        <w:rPr>
          <w:rFonts w:ascii="Tahoma" w:hAnsi="Tahoma" w:cs="Tahoma"/>
          <w:sz w:val="24"/>
          <w:szCs w:val="24"/>
        </w:rPr>
        <w:t xml:space="preserve">period of 5 years becomes </w:t>
      </w:r>
      <w:r>
        <w:rPr>
          <w:rFonts w:ascii="Tahoma" w:hAnsi="Tahoma" w:cs="Tahoma"/>
          <w:sz w:val="24"/>
          <w:szCs w:val="24"/>
        </w:rPr>
        <w:t>a permanent employee.  For those already in employment the CBA took effect from the 1</w:t>
      </w:r>
      <w:r w:rsidRPr="0085745F">
        <w:rPr>
          <w:rFonts w:ascii="Tahoma" w:hAnsi="Tahoma" w:cs="Tahoma"/>
          <w:sz w:val="24"/>
          <w:szCs w:val="24"/>
          <w:vertAlign w:val="superscript"/>
        </w:rPr>
        <w:t>st</w:t>
      </w:r>
      <w:r>
        <w:rPr>
          <w:rFonts w:ascii="Tahoma" w:hAnsi="Tahoma" w:cs="Tahoma"/>
          <w:sz w:val="24"/>
          <w:szCs w:val="24"/>
        </w:rPr>
        <w:t xml:space="preserve"> January 2016.  Assuming Applicant was already in employment she would gain permanency upon the expiry of 5 years on the 1</w:t>
      </w:r>
      <w:r w:rsidRPr="0085745F">
        <w:rPr>
          <w:rFonts w:ascii="Tahoma" w:hAnsi="Tahoma" w:cs="Tahoma"/>
          <w:sz w:val="24"/>
          <w:szCs w:val="24"/>
          <w:vertAlign w:val="superscript"/>
        </w:rPr>
        <w:t>st</w:t>
      </w:r>
      <w:r>
        <w:rPr>
          <w:rFonts w:ascii="Tahoma" w:hAnsi="Tahoma" w:cs="Tahoma"/>
          <w:sz w:val="24"/>
          <w:szCs w:val="24"/>
        </w:rPr>
        <w:t xml:space="preserve"> </w:t>
      </w:r>
    </w:p>
    <w:p w:rsidR="00573DD8" w:rsidRDefault="00573DD8" w:rsidP="0085745F">
      <w:pPr>
        <w:spacing w:line="360" w:lineRule="auto"/>
        <w:jc w:val="both"/>
        <w:rPr>
          <w:rFonts w:ascii="Tahoma" w:hAnsi="Tahoma" w:cs="Tahoma"/>
          <w:sz w:val="24"/>
          <w:szCs w:val="24"/>
        </w:rPr>
      </w:pPr>
    </w:p>
    <w:p w:rsidR="00573DD8" w:rsidRDefault="00573DD8" w:rsidP="0085745F">
      <w:pPr>
        <w:spacing w:line="360" w:lineRule="auto"/>
        <w:jc w:val="both"/>
        <w:rPr>
          <w:rFonts w:ascii="Tahoma" w:hAnsi="Tahoma" w:cs="Tahoma"/>
          <w:sz w:val="24"/>
          <w:szCs w:val="24"/>
        </w:rPr>
      </w:pPr>
    </w:p>
    <w:p w:rsidR="008712EF" w:rsidRDefault="0085745F" w:rsidP="0085745F">
      <w:pPr>
        <w:spacing w:line="360" w:lineRule="auto"/>
        <w:jc w:val="both"/>
        <w:rPr>
          <w:rFonts w:ascii="Tahoma" w:hAnsi="Tahoma" w:cs="Tahoma"/>
          <w:sz w:val="24"/>
          <w:szCs w:val="24"/>
        </w:rPr>
      </w:pPr>
      <w:r>
        <w:rPr>
          <w:rFonts w:ascii="Tahoma" w:hAnsi="Tahoma" w:cs="Tahoma"/>
          <w:sz w:val="24"/>
          <w:szCs w:val="24"/>
        </w:rPr>
        <w:t>January 2021.  Alas for her she was terminated 2 months before due date.  Unfair or unfortunate thought the termination might appear</w:t>
      </w:r>
      <w:r w:rsidR="00E730AF">
        <w:rPr>
          <w:rFonts w:ascii="Tahoma" w:hAnsi="Tahoma" w:cs="Tahoma"/>
          <w:sz w:val="24"/>
          <w:szCs w:val="24"/>
        </w:rPr>
        <w:t>, the court</w:t>
      </w:r>
      <w:r w:rsidR="00DC0F78">
        <w:rPr>
          <w:rFonts w:ascii="Tahoma" w:hAnsi="Tahoma" w:cs="Tahoma"/>
          <w:sz w:val="24"/>
          <w:szCs w:val="24"/>
        </w:rPr>
        <w:t xml:space="preserve"> cannot rewrite the </w:t>
      </w:r>
    </w:p>
    <w:p w:rsidR="008712EF" w:rsidRDefault="008712EF" w:rsidP="0085745F">
      <w:pPr>
        <w:spacing w:line="360" w:lineRule="auto"/>
        <w:jc w:val="both"/>
        <w:rPr>
          <w:rFonts w:ascii="Tahoma" w:hAnsi="Tahoma" w:cs="Tahoma"/>
          <w:sz w:val="24"/>
          <w:szCs w:val="24"/>
        </w:rPr>
      </w:pPr>
    </w:p>
    <w:p w:rsidR="00DC0F78" w:rsidRDefault="008712EF" w:rsidP="0085745F">
      <w:pPr>
        <w:spacing w:line="360" w:lineRule="auto"/>
        <w:jc w:val="both"/>
        <w:rPr>
          <w:rFonts w:ascii="Tahoma" w:hAnsi="Tahoma" w:cs="Tahoma"/>
          <w:sz w:val="24"/>
          <w:szCs w:val="24"/>
        </w:rPr>
      </w:pPr>
      <w:proofErr w:type="gramStart"/>
      <w:r>
        <w:rPr>
          <w:rFonts w:ascii="Tahoma" w:hAnsi="Tahoma" w:cs="Tahoma"/>
          <w:sz w:val="24"/>
          <w:szCs w:val="24"/>
        </w:rPr>
        <w:t>parties</w:t>
      </w:r>
      <w:proofErr w:type="gramEnd"/>
      <w:r>
        <w:rPr>
          <w:rFonts w:ascii="Tahoma" w:hAnsi="Tahoma" w:cs="Tahoma"/>
          <w:sz w:val="24"/>
          <w:szCs w:val="24"/>
        </w:rPr>
        <w:t xml:space="preserve"> </w:t>
      </w:r>
      <w:r w:rsidR="00DC0F78">
        <w:rPr>
          <w:rFonts w:ascii="Tahoma" w:hAnsi="Tahoma" w:cs="Tahoma"/>
          <w:sz w:val="24"/>
          <w:szCs w:val="24"/>
        </w:rPr>
        <w:t xml:space="preserve">contract(s) to excuse any of them </w:t>
      </w:r>
      <w:r w:rsidR="002D6EB7">
        <w:rPr>
          <w:rFonts w:ascii="Tahoma" w:hAnsi="Tahoma" w:cs="Tahoma"/>
          <w:sz w:val="24"/>
          <w:szCs w:val="24"/>
        </w:rPr>
        <w:t>from the consequences of the contract</w:t>
      </w:r>
      <w:r w:rsidR="00DC0F78">
        <w:rPr>
          <w:rFonts w:ascii="Tahoma" w:hAnsi="Tahoma" w:cs="Tahoma"/>
          <w:sz w:val="24"/>
          <w:szCs w:val="24"/>
        </w:rPr>
        <w:t>.  The poi</w:t>
      </w:r>
      <w:r>
        <w:rPr>
          <w:rFonts w:ascii="Tahoma" w:hAnsi="Tahoma" w:cs="Tahoma"/>
          <w:sz w:val="24"/>
          <w:szCs w:val="24"/>
        </w:rPr>
        <w:t>nt</w:t>
      </w:r>
      <w:r w:rsidR="00DC0F78">
        <w:rPr>
          <w:rFonts w:ascii="Tahoma" w:hAnsi="Tahoma" w:cs="Tahoma"/>
          <w:sz w:val="24"/>
          <w:szCs w:val="24"/>
        </w:rPr>
        <w:t xml:space="preserve"> was well-made by Patel JA (as he then was) in the matter </w:t>
      </w:r>
      <w:proofErr w:type="gramStart"/>
      <w:r w:rsidR="00DC0F78">
        <w:rPr>
          <w:rFonts w:ascii="Tahoma" w:hAnsi="Tahoma" w:cs="Tahoma"/>
          <w:sz w:val="24"/>
          <w:szCs w:val="24"/>
        </w:rPr>
        <w:t>of</w:t>
      </w:r>
      <w:r w:rsidR="00311D98">
        <w:rPr>
          <w:rFonts w:ascii="Tahoma" w:hAnsi="Tahoma" w:cs="Tahoma"/>
          <w:sz w:val="24"/>
          <w:szCs w:val="24"/>
        </w:rPr>
        <w:t xml:space="preserve"> </w:t>
      </w:r>
      <w:r w:rsidR="00262B22">
        <w:rPr>
          <w:rFonts w:ascii="Tahoma" w:hAnsi="Tahoma" w:cs="Tahoma"/>
          <w:sz w:val="24"/>
          <w:szCs w:val="24"/>
        </w:rPr>
        <w:t xml:space="preserve"> </w:t>
      </w:r>
      <w:proofErr w:type="spellStart"/>
      <w:r w:rsidR="00262B22">
        <w:rPr>
          <w:rFonts w:ascii="Tahoma" w:hAnsi="Tahoma" w:cs="Tahoma"/>
          <w:i/>
          <w:sz w:val="24"/>
          <w:szCs w:val="24"/>
          <w:u w:val="single"/>
        </w:rPr>
        <w:t>Magodora</w:t>
      </w:r>
      <w:proofErr w:type="spellEnd"/>
      <w:proofErr w:type="gramEnd"/>
      <w:r w:rsidR="00262B22">
        <w:rPr>
          <w:rFonts w:ascii="Tahoma" w:hAnsi="Tahoma" w:cs="Tahoma"/>
          <w:i/>
          <w:sz w:val="24"/>
          <w:szCs w:val="24"/>
          <w:u w:val="single"/>
        </w:rPr>
        <w:t xml:space="preserve">  v </w:t>
      </w:r>
      <w:r w:rsidR="00DC0F78" w:rsidRPr="008712EF">
        <w:rPr>
          <w:rFonts w:ascii="Tahoma" w:hAnsi="Tahoma" w:cs="Tahoma"/>
          <w:i/>
          <w:sz w:val="24"/>
          <w:szCs w:val="24"/>
          <w:u w:val="single"/>
        </w:rPr>
        <w:t>Care International</w:t>
      </w:r>
      <w:r w:rsidR="00CE2B82" w:rsidRPr="00DC0F78">
        <w:rPr>
          <w:rFonts w:ascii="Tahoma" w:hAnsi="Tahoma" w:cs="Tahoma"/>
          <w:sz w:val="24"/>
          <w:szCs w:val="24"/>
          <w:u w:val="single"/>
        </w:rPr>
        <w:t xml:space="preserve"> </w:t>
      </w:r>
      <w:r w:rsidR="00DC0F78">
        <w:rPr>
          <w:rFonts w:ascii="Tahoma" w:hAnsi="Tahoma" w:cs="Tahoma"/>
          <w:sz w:val="24"/>
          <w:szCs w:val="24"/>
        </w:rPr>
        <w:t>2014 (1) ZLR 397 where he stated that, at p.403C</w:t>
      </w:r>
    </w:p>
    <w:p w:rsidR="00DC0F78" w:rsidRPr="008712EF" w:rsidRDefault="00DC0F78" w:rsidP="008712EF">
      <w:pPr>
        <w:spacing w:line="240" w:lineRule="auto"/>
        <w:ind w:left="720"/>
        <w:jc w:val="both"/>
        <w:rPr>
          <w:rFonts w:ascii="Tahoma" w:hAnsi="Tahoma" w:cs="Tahoma"/>
        </w:rPr>
      </w:pPr>
      <w:r w:rsidRPr="008712EF">
        <w:rPr>
          <w:rFonts w:ascii="Tahoma" w:hAnsi="Tahoma" w:cs="Tahoma"/>
        </w:rPr>
        <w:t>“In principle it is not open to the courts to rewrite a contract entered into between the parties or to excuse any of them from the consequences of the contract that</w:t>
      </w:r>
      <w:r w:rsidR="002D6EB7">
        <w:rPr>
          <w:rFonts w:ascii="Tahoma" w:hAnsi="Tahoma" w:cs="Tahoma"/>
        </w:rPr>
        <w:t xml:space="preserve"> they</w:t>
      </w:r>
      <w:r w:rsidRPr="008712EF">
        <w:rPr>
          <w:rFonts w:ascii="Tahoma" w:hAnsi="Tahoma" w:cs="Tahoma"/>
        </w:rPr>
        <w:t xml:space="preserve"> have freely and voluntarily accepted, even if they are shown to be onerous or oppressive.  This is so as a matter of public policy.”</w:t>
      </w:r>
    </w:p>
    <w:p w:rsidR="00DC0F78" w:rsidRDefault="00DC0F78" w:rsidP="00DC0F78">
      <w:pPr>
        <w:spacing w:line="360" w:lineRule="auto"/>
        <w:jc w:val="both"/>
        <w:rPr>
          <w:rFonts w:ascii="Tahoma" w:hAnsi="Tahoma" w:cs="Tahoma"/>
          <w:sz w:val="24"/>
          <w:szCs w:val="24"/>
        </w:rPr>
      </w:pPr>
      <w:r>
        <w:rPr>
          <w:rFonts w:ascii="Tahoma" w:hAnsi="Tahoma" w:cs="Tahoma"/>
          <w:sz w:val="24"/>
          <w:szCs w:val="24"/>
        </w:rPr>
        <w:t>In the circumstances I conclude that Applicant failed to substantiate her claim of an unlawful termination of employment.</w:t>
      </w:r>
    </w:p>
    <w:p w:rsidR="00CE2B82" w:rsidRPr="00DC0F78" w:rsidRDefault="00CE2B82" w:rsidP="00DC0F78">
      <w:pPr>
        <w:spacing w:line="360" w:lineRule="auto"/>
        <w:jc w:val="both"/>
        <w:rPr>
          <w:rFonts w:ascii="Tahoma" w:hAnsi="Tahoma" w:cs="Tahoma"/>
          <w:sz w:val="24"/>
          <w:szCs w:val="24"/>
          <w:u w:val="single"/>
        </w:rPr>
      </w:pPr>
      <w:r w:rsidRPr="00DC0F78">
        <w:rPr>
          <w:rFonts w:ascii="Tahoma" w:hAnsi="Tahoma" w:cs="Tahoma"/>
          <w:sz w:val="24"/>
          <w:szCs w:val="24"/>
          <w:u w:val="single"/>
        </w:rPr>
        <w:t xml:space="preserve"> </w:t>
      </w:r>
    </w:p>
    <w:p w:rsidR="007051A6" w:rsidRPr="00DC0F78" w:rsidRDefault="007051A6" w:rsidP="008C5317">
      <w:pPr>
        <w:spacing w:line="360" w:lineRule="auto"/>
        <w:jc w:val="both"/>
        <w:rPr>
          <w:rFonts w:ascii="Tahoma" w:hAnsi="Tahoma" w:cs="Tahoma"/>
          <w:sz w:val="24"/>
          <w:szCs w:val="24"/>
          <w:u w:val="single"/>
        </w:rPr>
      </w:pPr>
    </w:p>
    <w:p w:rsidR="00C31C91" w:rsidRDefault="00C3739F" w:rsidP="00C3739F">
      <w:pPr>
        <w:spacing w:line="360" w:lineRule="auto"/>
        <w:jc w:val="both"/>
        <w:rPr>
          <w:rFonts w:ascii="Tahoma" w:hAnsi="Tahoma" w:cs="Tahoma"/>
          <w:b/>
          <w:sz w:val="24"/>
          <w:szCs w:val="24"/>
        </w:rPr>
      </w:pPr>
      <w:r>
        <w:rPr>
          <w:rFonts w:ascii="Tahoma" w:hAnsi="Tahoma" w:cs="Tahoma"/>
          <w:sz w:val="24"/>
          <w:szCs w:val="24"/>
        </w:rPr>
        <w:t xml:space="preserve"> </w:t>
      </w:r>
      <w:r w:rsidR="00C31C91" w:rsidRPr="00C31C91">
        <w:rPr>
          <w:rFonts w:ascii="Tahoma" w:hAnsi="Tahoma" w:cs="Tahoma"/>
          <w:b/>
          <w:sz w:val="24"/>
          <w:szCs w:val="24"/>
        </w:rPr>
        <w:t>Wherefore it is ordered that:</w:t>
      </w:r>
    </w:p>
    <w:p w:rsidR="006438AB" w:rsidRDefault="006438AB" w:rsidP="00C3739F">
      <w:pPr>
        <w:spacing w:line="360" w:lineRule="auto"/>
        <w:jc w:val="both"/>
        <w:rPr>
          <w:rFonts w:ascii="Tahoma" w:hAnsi="Tahoma" w:cs="Tahoma"/>
          <w:b/>
          <w:sz w:val="24"/>
          <w:szCs w:val="24"/>
        </w:rPr>
      </w:pPr>
    </w:p>
    <w:p w:rsidR="00C3739F" w:rsidRDefault="00C3739F" w:rsidP="00C3739F">
      <w:pPr>
        <w:spacing w:line="360" w:lineRule="auto"/>
        <w:jc w:val="both"/>
        <w:rPr>
          <w:rFonts w:ascii="Tahoma" w:hAnsi="Tahoma" w:cs="Tahoma"/>
          <w:sz w:val="24"/>
          <w:szCs w:val="24"/>
        </w:rPr>
      </w:pPr>
      <w:r>
        <w:rPr>
          <w:rFonts w:ascii="Tahoma" w:hAnsi="Tahoma" w:cs="Tahoma"/>
          <w:b/>
          <w:sz w:val="24"/>
          <w:szCs w:val="24"/>
        </w:rPr>
        <w:tab/>
      </w:r>
      <w:r>
        <w:rPr>
          <w:rFonts w:ascii="Tahoma" w:hAnsi="Tahoma" w:cs="Tahoma"/>
          <w:sz w:val="24"/>
          <w:szCs w:val="24"/>
        </w:rPr>
        <w:t>1</w:t>
      </w:r>
      <w:r w:rsidR="006116B3">
        <w:rPr>
          <w:rFonts w:ascii="Tahoma" w:hAnsi="Tahoma" w:cs="Tahoma"/>
          <w:sz w:val="24"/>
          <w:szCs w:val="24"/>
        </w:rPr>
        <w:t>.</w:t>
      </w:r>
      <w:r w:rsidRPr="00C3739F">
        <w:rPr>
          <w:rFonts w:ascii="Tahoma" w:hAnsi="Tahoma" w:cs="Tahoma"/>
          <w:sz w:val="24"/>
          <w:szCs w:val="24"/>
        </w:rPr>
        <w:t xml:space="preserve"> The </w:t>
      </w:r>
      <w:r w:rsidR="00DC0F78" w:rsidRPr="00C3739F">
        <w:rPr>
          <w:rFonts w:ascii="Tahoma" w:hAnsi="Tahoma" w:cs="Tahoma"/>
          <w:sz w:val="24"/>
          <w:szCs w:val="24"/>
        </w:rPr>
        <w:t>a</w:t>
      </w:r>
      <w:r w:rsidR="00DC0F78">
        <w:rPr>
          <w:rFonts w:ascii="Tahoma" w:hAnsi="Tahoma" w:cs="Tahoma"/>
          <w:sz w:val="24"/>
          <w:szCs w:val="24"/>
        </w:rPr>
        <w:t>pplication for review be and is hereby dismissed; and</w:t>
      </w:r>
      <w:r>
        <w:rPr>
          <w:rFonts w:ascii="Tahoma" w:hAnsi="Tahoma" w:cs="Tahoma"/>
          <w:sz w:val="24"/>
          <w:szCs w:val="24"/>
        </w:rPr>
        <w:t xml:space="preserve"> </w:t>
      </w:r>
    </w:p>
    <w:p w:rsidR="00E730AF" w:rsidRDefault="00E730AF" w:rsidP="00C3739F">
      <w:pPr>
        <w:spacing w:line="360" w:lineRule="auto"/>
        <w:jc w:val="both"/>
        <w:rPr>
          <w:rFonts w:ascii="Tahoma" w:hAnsi="Tahoma" w:cs="Tahoma"/>
          <w:sz w:val="24"/>
          <w:szCs w:val="24"/>
        </w:rPr>
      </w:pPr>
    </w:p>
    <w:p w:rsidR="00C3739F" w:rsidRPr="00C3739F" w:rsidRDefault="00C3739F" w:rsidP="00C3739F">
      <w:pPr>
        <w:spacing w:line="360" w:lineRule="auto"/>
        <w:jc w:val="both"/>
        <w:rPr>
          <w:rFonts w:ascii="Tahoma" w:hAnsi="Tahoma" w:cs="Tahoma"/>
          <w:sz w:val="24"/>
          <w:szCs w:val="24"/>
        </w:rPr>
      </w:pPr>
      <w:r>
        <w:rPr>
          <w:rFonts w:ascii="Tahoma" w:hAnsi="Tahoma" w:cs="Tahoma"/>
          <w:sz w:val="24"/>
          <w:szCs w:val="24"/>
        </w:rPr>
        <w:t xml:space="preserve">          2</w:t>
      </w:r>
      <w:r w:rsidR="006116B3">
        <w:rPr>
          <w:rFonts w:ascii="Tahoma" w:hAnsi="Tahoma" w:cs="Tahoma"/>
          <w:sz w:val="24"/>
          <w:szCs w:val="24"/>
        </w:rPr>
        <w:t>.</w:t>
      </w:r>
      <w:r w:rsidR="00DC0F78">
        <w:rPr>
          <w:rFonts w:ascii="Tahoma" w:hAnsi="Tahoma" w:cs="Tahoma"/>
          <w:sz w:val="24"/>
          <w:szCs w:val="24"/>
        </w:rPr>
        <w:t xml:space="preserve">  Each party shall bear its own costs</w:t>
      </w:r>
      <w:r>
        <w:rPr>
          <w:rFonts w:ascii="Tahoma" w:hAnsi="Tahoma" w:cs="Tahoma"/>
          <w:sz w:val="24"/>
          <w:szCs w:val="24"/>
        </w:rPr>
        <w:t>.</w:t>
      </w:r>
    </w:p>
    <w:p w:rsidR="00C31C91" w:rsidRPr="00C31C91" w:rsidRDefault="00C31C91" w:rsidP="00C31C91">
      <w:pPr>
        <w:spacing w:after="0" w:line="360" w:lineRule="auto"/>
        <w:jc w:val="both"/>
        <w:rPr>
          <w:rFonts w:ascii="Tahoma" w:hAnsi="Tahoma" w:cs="Tahoma"/>
          <w:b/>
          <w:sz w:val="24"/>
          <w:szCs w:val="24"/>
        </w:rPr>
      </w:pPr>
    </w:p>
    <w:p w:rsidR="00FA66AB" w:rsidRDefault="00FA66AB" w:rsidP="00C3707F">
      <w:pPr>
        <w:spacing w:after="0" w:line="360" w:lineRule="auto"/>
        <w:ind w:left="1440" w:hanging="720"/>
        <w:jc w:val="both"/>
        <w:rPr>
          <w:rFonts w:ascii="Tahoma" w:hAnsi="Tahoma" w:cs="Tahoma"/>
          <w:sz w:val="24"/>
          <w:szCs w:val="24"/>
        </w:rPr>
      </w:pPr>
    </w:p>
    <w:p w:rsidR="00742E06" w:rsidRDefault="00742E06" w:rsidP="00E82F40">
      <w:pPr>
        <w:spacing w:after="0" w:line="360" w:lineRule="auto"/>
        <w:jc w:val="both"/>
        <w:rPr>
          <w:rFonts w:ascii="Tahoma" w:hAnsi="Tahoma" w:cs="Tahoma"/>
          <w:sz w:val="24"/>
          <w:szCs w:val="24"/>
        </w:rPr>
      </w:pPr>
    </w:p>
    <w:p w:rsidR="00742E06" w:rsidRDefault="00742E06" w:rsidP="00E82F40">
      <w:pPr>
        <w:spacing w:after="0" w:line="360" w:lineRule="auto"/>
        <w:jc w:val="both"/>
        <w:rPr>
          <w:rFonts w:ascii="Tahoma" w:hAnsi="Tahoma" w:cs="Tahoma"/>
          <w:sz w:val="24"/>
          <w:szCs w:val="24"/>
        </w:rPr>
      </w:pPr>
    </w:p>
    <w:p w:rsidR="00FA66AB" w:rsidRPr="00C31C91" w:rsidRDefault="00C31C91" w:rsidP="00C31C91">
      <w:pPr>
        <w:spacing w:line="240" w:lineRule="auto"/>
        <w:jc w:val="center"/>
        <w:rPr>
          <w:rFonts w:ascii="Tahoma" w:hAnsi="Tahoma" w:cs="Tahoma"/>
          <w:b/>
          <w:sz w:val="24"/>
          <w:szCs w:val="24"/>
        </w:rPr>
      </w:pPr>
      <w:r w:rsidRPr="00C31C91">
        <w:rPr>
          <w:rFonts w:ascii="Tahoma" w:hAnsi="Tahoma" w:cs="Tahoma"/>
          <w:b/>
          <w:sz w:val="24"/>
          <w:szCs w:val="24"/>
        </w:rPr>
        <w:t>G. MUSARIRI</w:t>
      </w:r>
    </w:p>
    <w:p w:rsidR="00C31C91" w:rsidRPr="00C31C91" w:rsidRDefault="00C31C91" w:rsidP="00C31C91">
      <w:pPr>
        <w:spacing w:line="240" w:lineRule="auto"/>
        <w:jc w:val="center"/>
        <w:rPr>
          <w:rFonts w:ascii="Tahoma" w:hAnsi="Tahoma" w:cs="Tahoma"/>
          <w:b/>
          <w:sz w:val="24"/>
          <w:szCs w:val="24"/>
        </w:rPr>
      </w:pPr>
      <w:r w:rsidRPr="00C31C91">
        <w:rPr>
          <w:rFonts w:ascii="Tahoma" w:hAnsi="Tahoma" w:cs="Tahoma"/>
          <w:b/>
          <w:sz w:val="24"/>
          <w:szCs w:val="24"/>
        </w:rPr>
        <w:t>J-U-D-G-E</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3BB" w:rsidRDefault="005173BB" w:rsidP="00CB145F">
      <w:pPr>
        <w:spacing w:after="0" w:line="240" w:lineRule="auto"/>
      </w:pPr>
      <w:r>
        <w:separator/>
      </w:r>
    </w:p>
  </w:endnote>
  <w:endnote w:type="continuationSeparator" w:id="0">
    <w:p w:rsidR="005173BB" w:rsidRDefault="005173BB"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5C3632">
          <w:rPr>
            <w:noProof/>
          </w:rPr>
          <w:t>3</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3BB" w:rsidRDefault="005173BB" w:rsidP="00CB145F">
      <w:pPr>
        <w:spacing w:after="0" w:line="240" w:lineRule="auto"/>
      </w:pPr>
      <w:r>
        <w:separator/>
      </w:r>
    </w:p>
  </w:footnote>
  <w:footnote w:type="continuationSeparator" w:id="0">
    <w:p w:rsidR="005173BB" w:rsidRDefault="005173BB"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516E20">
      <w:rPr>
        <w:rFonts w:ascii="Tahoma" w:hAnsi="Tahoma" w:cs="Tahoma"/>
        <w:sz w:val="24"/>
        <w:szCs w:val="24"/>
      </w:rPr>
      <w:t>16</w:t>
    </w:r>
    <w:r w:rsidR="00E730AF">
      <w:rPr>
        <w:rFonts w:ascii="Tahoma" w:hAnsi="Tahoma" w:cs="Tahoma"/>
        <w:sz w:val="24"/>
        <w:szCs w:val="24"/>
      </w:rPr>
      <w:t>/</w:t>
    </w:r>
    <w:r w:rsidR="008B1EE6">
      <w:rPr>
        <w:rFonts w:ascii="Tahoma" w:hAnsi="Tahoma" w:cs="Tahoma"/>
        <w:sz w:val="24"/>
        <w:szCs w:val="24"/>
      </w:rPr>
      <w:t>20</w:t>
    </w:r>
    <w:r w:rsidR="00516E20">
      <w:rPr>
        <w:rFonts w:ascii="Tahoma" w:hAnsi="Tahoma" w:cs="Tahoma"/>
        <w:sz w:val="24"/>
        <w:szCs w:val="24"/>
      </w:rPr>
      <w:t>22</w:t>
    </w:r>
  </w:p>
  <w:p w:rsidR="00525115" w:rsidRPr="00CB145F" w:rsidRDefault="00E730AF">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LC/H/REV/76/20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4F32"/>
    <w:rsid w:val="00037D40"/>
    <w:rsid w:val="00041E71"/>
    <w:rsid w:val="000532B6"/>
    <w:rsid w:val="00054830"/>
    <w:rsid w:val="00063264"/>
    <w:rsid w:val="00065D2D"/>
    <w:rsid w:val="00097A81"/>
    <w:rsid w:val="000A096C"/>
    <w:rsid w:val="000A2A9E"/>
    <w:rsid w:val="000C2C87"/>
    <w:rsid w:val="000C6221"/>
    <w:rsid w:val="000F08CA"/>
    <w:rsid w:val="001004AC"/>
    <w:rsid w:val="0010711F"/>
    <w:rsid w:val="001352B8"/>
    <w:rsid w:val="00151A29"/>
    <w:rsid w:val="00152ADE"/>
    <w:rsid w:val="00156544"/>
    <w:rsid w:val="00173D10"/>
    <w:rsid w:val="001830E8"/>
    <w:rsid w:val="001929EF"/>
    <w:rsid w:val="001A45C3"/>
    <w:rsid w:val="001B05A4"/>
    <w:rsid w:val="001F5FA3"/>
    <w:rsid w:val="002019F4"/>
    <w:rsid w:val="00220242"/>
    <w:rsid w:val="002223F9"/>
    <w:rsid w:val="002411DC"/>
    <w:rsid w:val="00244498"/>
    <w:rsid w:val="00262B22"/>
    <w:rsid w:val="00274B7B"/>
    <w:rsid w:val="00275981"/>
    <w:rsid w:val="00277C76"/>
    <w:rsid w:val="00286A0B"/>
    <w:rsid w:val="002875B6"/>
    <w:rsid w:val="0029084A"/>
    <w:rsid w:val="002A36A9"/>
    <w:rsid w:val="002A4BC6"/>
    <w:rsid w:val="002D6EB7"/>
    <w:rsid w:val="002F10D6"/>
    <w:rsid w:val="003047D5"/>
    <w:rsid w:val="00311215"/>
    <w:rsid w:val="00311D98"/>
    <w:rsid w:val="003126EA"/>
    <w:rsid w:val="00324C07"/>
    <w:rsid w:val="00332591"/>
    <w:rsid w:val="00344660"/>
    <w:rsid w:val="00367162"/>
    <w:rsid w:val="00375B5D"/>
    <w:rsid w:val="003765C1"/>
    <w:rsid w:val="003A5D5F"/>
    <w:rsid w:val="003A6EEC"/>
    <w:rsid w:val="00403FEA"/>
    <w:rsid w:val="00413059"/>
    <w:rsid w:val="00414B04"/>
    <w:rsid w:val="00444017"/>
    <w:rsid w:val="00446DC5"/>
    <w:rsid w:val="00452ACF"/>
    <w:rsid w:val="00467D1F"/>
    <w:rsid w:val="00471935"/>
    <w:rsid w:val="00473215"/>
    <w:rsid w:val="00473EF5"/>
    <w:rsid w:val="00480FF0"/>
    <w:rsid w:val="00481A27"/>
    <w:rsid w:val="004826FD"/>
    <w:rsid w:val="00485AE7"/>
    <w:rsid w:val="00494357"/>
    <w:rsid w:val="004A6633"/>
    <w:rsid w:val="004B632E"/>
    <w:rsid w:val="004C5E43"/>
    <w:rsid w:val="004D7C05"/>
    <w:rsid w:val="004E4AF9"/>
    <w:rsid w:val="004E63FC"/>
    <w:rsid w:val="004F3805"/>
    <w:rsid w:val="00516E20"/>
    <w:rsid w:val="005173BB"/>
    <w:rsid w:val="00525115"/>
    <w:rsid w:val="00573DD8"/>
    <w:rsid w:val="00590F0E"/>
    <w:rsid w:val="005A74B7"/>
    <w:rsid w:val="005B56E6"/>
    <w:rsid w:val="005C3632"/>
    <w:rsid w:val="005C6174"/>
    <w:rsid w:val="005D002D"/>
    <w:rsid w:val="005E6E86"/>
    <w:rsid w:val="005F502F"/>
    <w:rsid w:val="005F7946"/>
    <w:rsid w:val="006034E3"/>
    <w:rsid w:val="0060430A"/>
    <w:rsid w:val="006116B3"/>
    <w:rsid w:val="00612355"/>
    <w:rsid w:val="006438AB"/>
    <w:rsid w:val="00670EB4"/>
    <w:rsid w:val="00694247"/>
    <w:rsid w:val="00695F58"/>
    <w:rsid w:val="006D48EA"/>
    <w:rsid w:val="006E705B"/>
    <w:rsid w:val="00702132"/>
    <w:rsid w:val="00704139"/>
    <w:rsid w:val="007051A6"/>
    <w:rsid w:val="007402C8"/>
    <w:rsid w:val="00742E06"/>
    <w:rsid w:val="0074307F"/>
    <w:rsid w:val="007509A0"/>
    <w:rsid w:val="007612FA"/>
    <w:rsid w:val="00761FA3"/>
    <w:rsid w:val="00763A12"/>
    <w:rsid w:val="00765392"/>
    <w:rsid w:val="00770B2B"/>
    <w:rsid w:val="0077793E"/>
    <w:rsid w:val="007809E1"/>
    <w:rsid w:val="007B068D"/>
    <w:rsid w:val="007C4535"/>
    <w:rsid w:val="007F1CE3"/>
    <w:rsid w:val="00812686"/>
    <w:rsid w:val="00812F76"/>
    <w:rsid w:val="00854C01"/>
    <w:rsid w:val="0085745F"/>
    <w:rsid w:val="00860327"/>
    <w:rsid w:val="008627D8"/>
    <w:rsid w:val="00865CD7"/>
    <w:rsid w:val="008712EF"/>
    <w:rsid w:val="00875054"/>
    <w:rsid w:val="00896729"/>
    <w:rsid w:val="008A1C8C"/>
    <w:rsid w:val="008B1EE6"/>
    <w:rsid w:val="008C3229"/>
    <w:rsid w:val="008C474B"/>
    <w:rsid w:val="008C5317"/>
    <w:rsid w:val="008E4A44"/>
    <w:rsid w:val="00906CB1"/>
    <w:rsid w:val="009335BC"/>
    <w:rsid w:val="0093740D"/>
    <w:rsid w:val="00951A42"/>
    <w:rsid w:val="0095437A"/>
    <w:rsid w:val="00965CF6"/>
    <w:rsid w:val="00983005"/>
    <w:rsid w:val="00987FE3"/>
    <w:rsid w:val="0099394C"/>
    <w:rsid w:val="00995B68"/>
    <w:rsid w:val="009A2932"/>
    <w:rsid w:val="009C2BF9"/>
    <w:rsid w:val="009E56ED"/>
    <w:rsid w:val="009F0B2D"/>
    <w:rsid w:val="009F4121"/>
    <w:rsid w:val="00A0161F"/>
    <w:rsid w:val="00A25045"/>
    <w:rsid w:val="00A27083"/>
    <w:rsid w:val="00A31E59"/>
    <w:rsid w:val="00A43825"/>
    <w:rsid w:val="00A55384"/>
    <w:rsid w:val="00A65F03"/>
    <w:rsid w:val="00A71605"/>
    <w:rsid w:val="00A9014D"/>
    <w:rsid w:val="00A91C6D"/>
    <w:rsid w:val="00A96C8A"/>
    <w:rsid w:val="00AB0179"/>
    <w:rsid w:val="00AC045F"/>
    <w:rsid w:val="00AD2800"/>
    <w:rsid w:val="00AD4092"/>
    <w:rsid w:val="00AF53A9"/>
    <w:rsid w:val="00B01B53"/>
    <w:rsid w:val="00B02893"/>
    <w:rsid w:val="00B56AFC"/>
    <w:rsid w:val="00B57477"/>
    <w:rsid w:val="00B71FD0"/>
    <w:rsid w:val="00BA1F25"/>
    <w:rsid w:val="00BA573B"/>
    <w:rsid w:val="00BA76FA"/>
    <w:rsid w:val="00BB7F81"/>
    <w:rsid w:val="00BC46F6"/>
    <w:rsid w:val="00BF022F"/>
    <w:rsid w:val="00BF76D5"/>
    <w:rsid w:val="00C175B6"/>
    <w:rsid w:val="00C31C91"/>
    <w:rsid w:val="00C3707F"/>
    <w:rsid w:val="00C3739F"/>
    <w:rsid w:val="00C43D12"/>
    <w:rsid w:val="00C4529C"/>
    <w:rsid w:val="00C754FC"/>
    <w:rsid w:val="00C919B2"/>
    <w:rsid w:val="00C964EE"/>
    <w:rsid w:val="00CA52B4"/>
    <w:rsid w:val="00CB145F"/>
    <w:rsid w:val="00CB1766"/>
    <w:rsid w:val="00CC4853"/>
    <w:rsid w:val="00CE0983"/>
    <w:rsid w:val="00CE200B"/>
    <w:rsid w:val="00CE2B82"/>
    <w:rsid w:val="00D214A2"/>
    <w:rsid w:val="00D32166"/>
    <w:rsid w:val="00D61550"/>
    <w:rsid w:val="00D66950"/>
    <w:rsid w:val="00D743A3"/>
    <w:rsid w:val="00D83928"/>
    <w:rsid w:val="00D850E4"/>
    <w:rsid w:val="00D86C8A"/>
    <w:rsid w:val="00DC0F78"/>
    <w:rsid w:val="00DF7301"/>
    <w:rsid w:val="00E25EA0"/>
    <w:rsid w:val="00E427CE"/>
    <w:rsid w:val="00E50F67"/>
    <w:rsid w:val="00E712D3"/>
    <w:rsid w:val="00E730AF"/>
    <w:rsid w:val="00E82F40"/>
    <w:rsid w:val="00EB40ED"/>
    <w:rsid w:val="00EE5830"/>
    <w:rsid w:val="00EF1C31"/>
    <w:rsid w:val="00EF30DD"/>
    <w:rsid w:val="00F02F2E"/>
    <w:rsid w:val="00F03814"/>
    <w:rsid w:val="00F12B2D"/>
    <w:rsid w:val="00F35F0F"/>
    <w:rsid w:val="00F3741E"/>
    <w:rsid w:val="00F50555"/>
    <w:rsid w:val="00F55310"/>
    <w:rsid w:val="00F60AB6"/>
    <w:rsid w:val="00F63036"/>
    <w:rsid w:val="00F71F3E"/>
    <w:rsid w:val="00F76AC1"/>
    <w:rsid w:val="00FA66AB"/>
    <w:rsid w:val="00FB0FE8"/>
    <w:rsid w:val="00FB7C78"/>
    <w:rsid w:val="00FC6DB6"/>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31F2A57-973A-44DA-8087-C1912980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18</cp:revision>
  <cp:lastPrinted>2022-01-20T11:07:00Z</cp:lastPrinted>
  <dcterms:created xsi:type="dcterms:W3CDTF">2022-01-18T06:48:00Z</dcterms:created>
  <dcterms:modified xsi:type="dcterms:W3CDTF">2022-01-26T08:12:00Z</dcterms:modified>
</cp:coreProperties>
</file>