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Default="008563BB" w:rsidP="008563BB">
      <w:pPr>
        <w:pStyle w:val="NoSpacing"/>
        <w:rPr>
          <w:b/>
        </w:rPr>
      </w:pPr>
      <w:r>
        <w:rPr>
          <w:b/>
        </w:rPr>
        <w:t>FUNGAI BANGIDZA</w:t>
      </w:r>
    </w:p>
    <w:p w:rsidR="008563BB" w:rsidRDefault="008563BB" w:rsidP="008563BB">
      <w:pPr>
        <w:pStyle w:val="NoSpacing"/>
        <w:rPr>
          <w:b/>
        </w:rPr>
      </w:pPr>
    </w:p>
    <w:p w:rsidR="008563BB" w:rsidRDefault="008563BB" w:rsidP="008563BB">
      <w:pPr>
        <w:pStyle w:val="NoSpacing"/>
        <w:rPr>
          <w:b/>
        </w:rPr>
      </w:pPr>
      <w:r>
        <w:rPr>
          <w:b/>
        </w:rPr>
        <w:t>And</w:t>
      </w:r>
    </w:p>
    <w:p w:rsidR="008563BB" w:rsidRDefault="008563BB" w:rsidP="008563BB">
      <w:pPr>
        <w:pStyle w:val="NoSpacing"/>
        <w:rPr>
          <w:b/>
        </w:rPr>
      </w:pPr>
    </w:p>
    <w:p w:rsidR="008563BB" w:rsidRDefault="008563BB" w:rsidP="008563BB">
      <w:pPr>
        <w:pStyle w:val="NoSpacing"/>
        <w:rPr>
          <w:b/>
        </w:rPr>
      </w:pPr>
      <w:r>
        <w:rPr>
          <w:b/>
        </w:rPr>
        <w:t>TILFURY ZIMBABWE (PVT) LTD</w:t>
      </w:r>
    </w:p>
    <w:p w:rsidR="008563BB" w:rsidRDefault="008563BB" w:rsidP="008563BB">
      <w:pPr>
        <w:pStyle w:val="NoSpacing"/>
        <w:rPr>
          <w:b/>
        </w:rPr>
      </w:pPr>
    </w:p>
    <w:p w:rsidR="008563BB" w:rsidRDefault="008563BB" w:rsidP="008563BB">
      <w:pPr>
        <w:pStyle w:val="NoSpacing"/>
        <w:rPr>
          <w:b/>
        </w:rPr>
      </w:pPr>
      <w:r>
        <w:rPr>
          <w:b/>
        </w:rPr>
        <w:t>Versus</w:t>
      </w:r>
    </w:p>
    <w:p w:rsidR="008563BB" w:rsidRDefault="008563BB" w:rsidP="008563BB">
      <w:pPr>
        <w:pStyle w:val="NoSpacing"/>
        <w:rPr>
          <w:b/>
        </w:rPr>
      </w:pPr>
    </w:p>
    <w:p w:rsidR="008563BB" w:rsidRDefault="008563BB" w:rsidP="008563BB">
      <w:pPr>
        <w:pStyle w:val="NoSpacing"/>
        <w:rPr>
          <w:b/>
        </w:rPr>
      </w:pPr>
      <w:r>
        <w:rPr>
          <w:b/>
        </w:rPr>
        <w:t>ANFREW KUNAKA</w:t>
      </w:r>
    </w:p>
    <w:p w:rsidR="008563BB" w:rsidRDefault="008563BB" w:rsidP="008563BB">
      <w:pPr>
        <w:pStyle w:val="NoSpacing"/>
        <w:rPr>
          <w:b/>
        </w:rPr>
      </w:pPr>
    </w:p>
    <w:p w:rsidR="008563BB" w:rsidRDefault="008563BB" w:rsidP="008563BB">
      <w:pPr>
        <w:pStyle w:val="NoSpacing"/>
        <w:rPr>
          <w:b/>
        </w:rPr>
      </w:pPr>
      <w:r>
        <w:rPr>
          <w:b/>
        </w:rPr>
        <w:t>And</w:t>
      </w:r>
    </w:p>
    <w:p w:rsidR="008563BB" w:rsidRDefault="008563BB" w:rsidP="008563BB">
      <w:pPr>
        <w:pStyle w:val="NoSpacing"/>
        <w:rPr>
          <w:b/>
        </w:rPr>
      </w:pPr>
    </w:p>
    <w:p w:rsidR="008563BB" w:rsidRDefault="008563BB" w:rsidP="008563BB">
      <w:pPr>
        <w:pStyle w:val="NoSpacing"/>
        <w:rPr>
          <w:b/>
        </w:rPr>
      </w:pPr>
      <w:r>
        <w:rPr>
          <w:b/>
        </w:rPr>
        <w:t>KUDAKWASHE GOVO</w:t>
      </w:r>
    </w:p>
    <w:p w:rsidR="008563BB" w:rsidRDefault="008563BB" w:rsidP="008563BB">
      <w:pPr>
        <w:pStyle w:val="NoSpacing"/>
        <w:rPr>
          <w:b/>
        </w:rPr>
      </w:pPr>
    </w:p>
    <w:p w:rsidR="008563BB" w:rsidRDefault="008563BB" w:rsidP="008563BB">
      <w:pPr>
        <w:pStyle w:val="NoSpacing"/>
        <w:rPr>
          <w:b/>
        </w:rPr>
      </w:pPr>
      <w:r>
        <w:rPr>
          <w:b/>
        </w:rPr>
        <w:t>And</w:t>
      </w:r>
    </w:p>
    <w:p w:rsidR="008563BB" w:rsidRDefault="008563BB" w:rsidP="008563BB">
      <w:pPr>
        <w:pStyle w:val="NoSpacing"/>
        <w:rPr>
          <w:b/>
        </w:rPr>
      </w:pPr>
    </w:p>
    <w:p w:rsidR="008563BB" w:rsidRDefault="008563BB" w:rsidP="008563BB">
      <w:pPr>
        <w:pStyle w:val="NoSpacing"/>
        <w:rPr>
          <w:b/>
        </w:rPr>
      </w:pPr>
      <w:r>
        <w:rPr>
          <w:b/>
        </w:rPr>
        <w:t>THE PROVINCIAL MINING DIRECTOR</w:t>
      </w:r>
    </w:p>
    <w:p w:rsidR="008563BB" w:rsidRDefault="008563BB" w:rsidP="008563BB">
      <w:pPr>
        <w:pStyle w:val="NoSpacing"/>
        <w:rPr>
          <w:b/>
        </w:rPr>
      </w:pPr>
      <w:r>
        <w:rPr>
          <w:b/>
        </w:rPr>
        <w:t>(MIDLANDS NO)</w:t>
      </w:r>
    </w:p>
    <w:p w:rsidR="008563BB" w:rsidRDefault="008563BB" w:rsidP="008563BB">
      <w:pPr>
        <w:pStyle w:val="NoSpacing"/>
        <w:rPr>
          <w:b/>
        </w:rPr>
      </w:pPr>
    </w:p>
    <w:p w:rsidR="008563BB" w:rsidRDefault="008563BB" w:rsidP="008563BB">
      <w:pPr>
        <w:pStyle w:val="NoSpacing"/>
        <w:rPr>
          <w:b/>
        </w:rPr>
      </w:pPr>
      <w:r>
        <w:rPr>
          <w:b/>
        </w:rPr>
        <w:t>And</w:t>
      </w:r>
    </w:p>
    <w:p w:rsidR="008563BB" w:rsidRDefault="008563BB" w:rsidP="008563BB">
      <w:pPr>
        <w:pStyle w:val="NoSpacing"/>
        <w:rPr>
          <w:b/>
        </w:rPr>
      </w:pPr>
    </w:p>
    <w:p w:rsidR="008563BB" w:rsidRDefault="008563BB" w:rsidP="008563BB">
      <w:pPr>
        <w:pStyle w:val="NoSpacing"/>
        <w:rPr>
          <w:b/>
        </w:rPr>
      </w:pPr>
      <w:r>
        <w:rPr>
          <w:b/>
        </w:rPr>
        <w:t>MINISTER OF MINES AND MINING</w:t>
      </w:r>
    </w:p>
    <w:p w:rsidR="008563BB" w:rsidRDefault="008563BB" w:rsidP="008563BB">
      <w:pPr>
        <w:pStyle w:val="NoSpacing"/>
        <w:rPr>
          <w:b/>
        </w:rPr>
      </w:pPr>
      <w:r>
        <w:rPr>
          <w:b/>
        </w:rPr>
        <w:t>DEVELOPMENT (NO)</w:t>
      </w:r>
    </w:p>
    <w:p w:rsidR="008563BB" w:rsidRDefault="008563BB" w:rsidP="008563BB">
      <w:pPr>
        <w:pStyle w:val="NoSpacing"/>
        <w:rPr>
          <w:b/>
        </w:rPr>
      </w:pPr>
    </w:p>
    <w:p w:rsidR="008563BB" w:rsidRDefault="008563BB" w:rsidP="008563BB">
      <w:pPr>
        <w:pStyle w:val="NoSpacing"/>
      </w:pPr>
      <w:r>
        <w:t>IN THE HIGH COURT OF ZIMBABWE</w:t>
      </w:r>
    </w:p>
    <w:p w:rsidR="008563BB" w:rsidRDefault="008563BB" w:rsidP="008563BB">
      <w:pPr>
        <w:pStyle w:val="NoSpacing"/>
      </w:pPr>
      <w:r>
        <w:t>MAKONESE J</w:t>
      </w:r>
    </w:p>
    <w:p w:rsidR="008563BB" w:rsidRDefault="008563BB" w:rsidP="008563BB">
      <w:pPr>
        <w:pStyle w:val="NoSpacing"/>
      </w:pPr>
      <w:r>
        <w:t>BULAWAYO 16 &amp; 2</w:t>
      </w:r>
      <w:r w:rsidR="00C413FC">
        <w:t>0</w:t>
      </w:r>
      <w:r>
        <w:t xml:space="preserve"> JANUARY 2020</w:t>
      </w:r>
    </w:p>
    <w:p w:rsidR="008563BB" w:rsidRDefault="008563BB" w:rsidP="008563BB">
      <w:pPr>
        <w:pStyle w:val="NoSpacing"/>
      </w:pPr>
    </w:p>
    <w:p w:rsidR="008563BB" w:rsidRDefault="008563BB" w:rsidP="008563BB">
      <w:pPr>
        <w:pStyle w:val="NoSpacing"/>
        <w:rPr>
          <w:b/>
        </w:rPr>
      </w:pPr>
      <w:r>
        <w:rPr>
          <w:b/>
        </w:rPr>
        <w:t>Urgent Chamber Application</w:t>
      </w:r>
    </w:p>
    <w:p w:rsidR="008563BB" w:rsidRDefault="008563BB" w:rsidP="008563BB">
      <w:pPr>
        <w:pStyle w:val="NoSpacing"/>
      </w:pPr>
    </w:p>
    <w:p w:rsidR="005C49D7" w:rsidRPr="00497199" w:rsidRDefault="005C49D7" w:rsidP="00497199">
      <w:pPr>
        <w:jc w:val="both"/>
        <w:rPr>
          <w:szCs w:val="24"/>
        </w:rPr>
      </w:pPr>
      <w:r>
        <w:tab/>
      </w:r>
      <w:r w:rsidRPr="00497199">
        <w:rPr>
          <w:b/>
          <w:szCs w:val="24"/>
        </w:rPr>
        <w:t>MAKONESE J:</w:t>
      </w:r>
      <w:r w:rsidRPr="00497199">
        <w:rPr>
          <w:b/>
          <w:szCs w:val="24"/>
        </w:rPr>
        <w:tab/>
      </w:r>
      <w:r w:rsidRPr="00497199">
        <w:rPr>
          <w:szCs w:val="24"/>
        </w:rPr>
        <w:t>The a</w:t>
      </w:r>
      <w:r w:rsidR="0028595B">
        <w:rPr>
          <w:szCs w:val="24"/>
        </w:rPr>
        <w:t>pplicants filed an application</w:t>
      </w:r>
      <w:r w:rsidR="008B5C85" w:rsidRPr="00497199">
        <w:rPr>
          <w:szCs w:val="24"/>
        </w:rPr>
        <w:t xml:space="preserve"> </w:t>
      </w:r>
      <w:r w:rsidRPr="00497199">
        <w:rPr>
          <w:szCs w:val="24"/>
        </w:rPr>
        <w:t>with this court seeking an order on an urgent basis seeking the following relief:</w:t>
      </w:r>
    </w:p>
    <w:p w:rsidR="005C49D7" w:rsidRPr="00497199" w:rsidRDefault="005C49D7" w:rsidP="00497199">
      <w:pPr>
        <w:pStyle w:val="NoSpacing"/>
        <w:jc w:val="both"/>
        <w:rPr>
          <w:b/>
          <w:szCs w:val="24"/>
        </w:rPr>
      </w:pPr>
      <w:r w:rsidRPr="00497199">
        <w:rPr>
          <w:szCs w:val="24"/>
        </w:rPr>
        <w:tab/>
      </w:r>
      <w:r w:rsidRPr="00497199">
        <w:rPr>
          <w:b/>
          <w:szCs w:val="24"/>
        </w:rPr>
        <w:t>“Interim relief</w:t>
      </w:r>
    </w:p>
    <w:p w:rsidR="005C49D7" w:rsidRPr="00497199" w:rsidRDefault="005C49D7" w:rsidP="00497199">
      <w:pPr>
        <w:pStyle w:val="NoSpacing"/>
        <w:jc w:val="both"/>
        <w:rPr>
          <w:szCs w:val="24"/>
        </w:rPr>
      </w:pPr>
    </w:p>
    <w:p w:rsidR="005C49D7" w:rsidRPr="00497199" w:rsidRDefault="005C49D7" w:rsidP="00497199">
      <w:pPr>
        <w:pStyle w:val="NoSpacing"/>
        <w:ind w:left="720"/>
        <w:jc w:val="both"/>
        <w:rPr>
          <w:szCs w:val="24"/>
        </w:rPr>
      </w:pPr>
      <w:r w:rsidRPr="00497199">
        <w:rPr>
          <w:szCs w:val="24"/>
        </w:rPr>
        <w:t>Pending the confirmation or discharge of the order, applicants are granted the following interim relief:</w:t>
      </w:r>
    </w:p>
    <w:p w:rsidR="005C49D7" w:rsidRPr="00497199" w:rsidRDefault="005C49D7" w:rsidP="00497199">
      <w:pPr>
        <w:pStyle w:val="NoSpacing"/>
        <w:jc w:val="both"/>
        <w:rPr>
          <w:szCs w:val="24"/>
        </w:rPr>
      </w:pPr>
    </w:p>
    <w:p w:rsidR="008563BB" w:rsidRPr="00497199" w:rsidRDefault="005C49D7" w:rsidP="00497199">
      <w:pPr>
        <w:pStyle w:val="NoSpacing"/>
        <w:numPr>
          <w:ilvl w:val="0"/>
          <w:numId w:val="2"/>
        </w:numPr>
        <w:jc w:val="both"/>
        <w:rPr>
          <w:b/>
          <w:szCs w:val="24"/>
        </w:rPr>
      </w:pPr>
      <w:r w:rsidRPr="00497199">
        <w:rPr>
          <w:szCs w:val="24"/>
        </w:rPr>
        <w:t>That the certificate of registration issued in favour of 1</w:t>
      </w:r>
      <w:r w:rsidRPr="00497199">
        <w:rPr>
          <w:szCs w:val="24"/>
          <w:vertAlign w:val="superscript"/>
        </w:rPr>
        <w:t>st</w:t>
      </w:r>
      <w:r w:rsidRPr="00497199">
        <w:rPr>
          <w:szCs w:val="24"/>
        </w:rPr>
        <w:t xml:space="preserve"> and 2</w:t>
      </w:r>
      <w:r w:rsidRPr="00497199">
        <w:rPr>
          <w:szCs w:val="24"/>
          <w:vertAlign w:val="superscript"/>
        </w:rPr>
        <w:t>nd</w:t>
      </w:r>
      <w:r w:rsidRPr="00497199">
        <w:rPr>
          <w:szCs w:val="24"/>
        </w:rPr>
        <w:t xml:space="preserve"> respondents under the name AGKK Mining Syndicate registration number 31283 b</w:t>
      </w:r>
      <w:r w:rsidR="002D3C02" w:rsidRPr="00497199">
        <w:rPr>
          <w:szCs w:val="24"/>
        </w:rPr>
        <w:t>e</w:t>
      </w:r>
      <w:r w:rsidRPr="00497199">
        <w:rPr>
          <w:szCs w:val="24"/>
        </w:rPr>
        <w:t xml:space="preserve"> and is hereby suspended in its operation and effectiveness pending the finalisation of the matter.</w:t>
      </w:r>
    </w:p>
    <w:p w:rsidR="005C49D7" w:rsidRPr="00497199" w:rsidRDefault="005C49D7" w:rsidP="00497199">
      <w:pPr>
        <w:pStyle w:val="NoSpacing"/>
        <w:numPr>
          <w:ilvl w:val="0"/>
          <w:numId w:val="2"/>
        </w:numPr>
        <w:jc w:val="both"/>
        <w:rPr>
          <w:b/>
          <w:szCs w:val="24"/>
        </w:rPr>
      </w:pPr>
      <w:r w:rsidRPr="00497199">
        <w:rPr>
          <w:szCs w:val="24"/>
        </w:rPr>
        <w:lastRenderedPageBreak/>
        <w:t>That the 1</w:t>
      </w:r>
      <w:r w:rsidRPr="00497199">
        <w:rPr>
          <w:szCs w:val="24"/>
          <w:vertAlign w:val="superscript"/>
        </w:rPr>
        <w:t>st</w:t>
      </w:r>
      <w:r w:rsidRPr="00497199">
        <w:rPr>
          <w:szCs w:val="24"/>
        </w:rPr>
        <w:t xml:space="preserve"> and 2</w:t>
      </w:r>
      <w:r w:rsidRPr="00497199">
        <w:rPr>
          <w:szCs w:val="24"/>
          <w:vertAlign w:val="superscript"/>
        </w:rPr>
        <w:t>nd</w:t>
      </w:r>
      <w:r w:rsidRPr="00497199">
        <w:rPr>
          <w:szCs w:val="24"/>
        </w:rPr>
        <w:t xml:space="preserve"> respondents, their assignees, agents, workers or representatives either personally or under the  name AGKK be and are hereby interdicted</w:t>
      </w:r>
      <w:r w:rsidR="005B4569" w:rsidRPr="00497199">
        <w:rPr>
          <w:szCs w:val="24"/>
        </w:rPr>
        <w:t xml:space="preserve"> from interfering with mine operations of the 1</w:t>
      </w:r>
      <w:r w:rsidR="005B4569" w:rsidRPr="00497199">
        <w:rPr>
          <w:szCs w:val="24"/>
          <w:vertAlign w:val="superscript"/>
        </w:rPr>
        <w:t>st</w:t>
      </w:r>
      <w:r w:rsidR="005B4569" w:rsidRPr="00497199">
        <w:rPr>
          <w:szCs w:val="24"/>
        </w:rPr>
        <w:t xml:space="preserve"> and 2</w:t>
      </w:r>
      <w:r w:rsidR="005B4569" w:rsidRPr="00497199">
        <w:rPr>
          <w:szCs w:val="24"/>
          <w:vertAlign w:val="superscript"/>
        </w:rPr>
        <w:t>nd</w:t>
      </w:r>
      <w:r w:rsidR="005B4569" w:rsidRPr="00497199">
        <w:rPr>
          <w:szCs w:val="24"/>
        </w:rPr>
        <w:t xml:space="preserve"> applicants  at their mining claims known as Glen </w:t>
      </w:r>
      <w:proofErr w:type="spellStart"/>
      <w:r w:rsidR="005B4569" w:rsidRPr="00497199">
        <w:rPr>
          <w:szCs w:val="24"/>
        </w:rPr>
        <w:t>A</w:t>
      </w:r>
      <w:r w:rsidR="002D3C02" w:rsidRPr="00497199">
        <w:rPr>
          <w:szCs w:val="24"/>
        </w:rPr>
        <w:t>r</w:t>
      </w:r>
      <w:r w:rsidR="005B4569" w:rsidRPr="00497199">
        <w:rPr>
          <w:szCs w:val="24"/>
        </w:rPr>
        <w:t>r</w:t>
      </w:r>
      <w:r w:rsidR="002D3C02" w:rsidRPr="00497199">
        <w:rPr>
          <w:szCs w:val="24"/>
        </w:rPr>
        <w:t>o</w:t>
      </w:r>
      <w:r w:rsidR="005B4569" w:rsidRPr="00497199">
        <w:rPr>
          <w:szCs w:val="24"/>
        </w:rPr>
        <w:t>ch</w:t>
      </w:r>
      <w:proofErr w:type="spellEnd"/>
      <w:r w:rsidR="005B4569" w:rsidRPr="00497199">
        <w:rPr>
          <w:szCs w:val="24"/>
        </w:rPr>
        <w:t xml:space="preserve"> 80, 81, 82 and 83 as lawfully registered.</w:t>
      </w:r>
    </w:p>
    <w:p w:rsidR="005B4569" w:rsidRPr="00497199" w:rsidRDefault="00C97D25" w:rsidP="00497199">
      <w:pPr>
        <w:pStyle w:val="NoSpacing"/>
        <w:numPr>
          <w:ilvl w:val="0"/>
          <w:numId w:val="2"/>
        </w:numPr>
        <w:jc w:val="both"/>
        <w:rPr>
          <w:szCs w:val="24"/>
        </w:rPr>
      </w:pPr>
      <w:r w:rsidRPr="00497199">
        <w:rPr>
          <w:szCs w:val="24"/>
        </w:rPr>
        <w:t>That  the 2</w:t>
      </w:r>
      <w:r w:rsidRPr="00497199">
        <w:rPr>
          <w:szCs w:val="24"/>
          <w:vertAlign w:val="superscript"/>
        </w:rPr>
        <w:t>nd</w:t>
      </w:r>
      <w:r w:rsidRPr="00497199">
        <w:rPr>
          <w:szCs w:val="24"/>
        </w:rPr>
        <w:t xml:space="preserve"> and 4</w:t>
      </w:r>
      <w:r w:rsidRPr="00497199">
        <w:rPr>
          <w:szCs w:val="24"/>
          <w:vertAlign w:val="superscript"/>
        </w:rPr>
        <w:t>th</w:t>
      </w:r>
      <w:r w:rsidRPr="00497199">
        <w:rPr>
          <w:szCs w:val="24"/>
        </w:rPr>
        <w:t xml:space="preserve"> respondents be and are hereby interdicted from aiding the 1</w:t>
      </w:r>
      <w:r w:rsidRPr="00497199">
        <w:rPr>
          <w:szCs w:val="24"/>
          <w:vertAlign w:val="superscript"/>
        </w:rPr>
        <w:t>st</w:t>
      </w:r>
      <w:r w:rsidRPr="00497199">
        <w:rPr>
          <w:szCs w:val="24"/>
        </w:rPr>
        <w:t xml:space="preserve"> and 2</w:t>
      </w:r>
      <w:r w:rsidRPr="00497199">
        <w:rPr>
          <w:szCs w:val="24"/>
          <w:vertAlign w:val="superscript"/>
        </w:rPr>
        <w:t>nd</w:t>
      </w:r>
      <w:r w:rsidRPr="00497199">
        <w:rPr>
          <w:szCs w:val="24"/>
        </w:rPr>
        <w:t xml:space="preserve"> respondents in acting illegally in respect of the mining operations of the applicants on the mining areas stated in clause 2 above.”</w:t>
      </w:r>
    </w:p>
    <w:p w:rsidR="00C97D25" w:rsidRPr="00497199" w:rsidRDefault="00C97D25" w:rsidP="00497199">
      <w:pPr>
        <w:pStyle w:val="NoSpacing"/>
        <w:jc w:val="both"/>
        <w:rPr>
          <w:szCs w:val="24"/>
        </w:rPr>
      </w:pPr>
    </w:p>
    <w:p w:rsidR="00C97D25" w:rsidRPr="00497199" w:rsidRDefault="00C97D25" w:rsidP="00497199">
      <w:pPr>
        <w:pStyle w:val="NoSpacing"/>
        <w:ind w:left="720"/>
        <w:jc w:val="both"/>
        <w:rPr>
          <w:szCs w:val="24"/>
        </w:rPr>
      </w:pPr>
      <w:r w:rsidRPr="00497199">
        <w:rPr>
          <w:szCs w:val="24"/>
        </w:rPr>
        <w:t>In the final relief the order sought is in the following terms:</w:t>
      </w:r>
    </w:p>
    <w:p w:rsidR="00C97D25" w:rsidRPr="00497199" w:rsidRDefault="00C97D25" w:rsidP="00497199">
      <w:pPr>
        <w:pStyle w:val="NoSpacing"/>
        <w:ind w:left="720"/>
        <w:jc w:val="both"/>
        <w:rPr>
          <w:szCs w:val="24"/>
        </w:rPr>
      </w:pPr>
      <w:r w:rsidRPr="00497199">
        <w:rPr>
          <w:szCs w:val="24"/>
        </w:rPr>
        <w:tab/>
      </w:r>
    </w:p>
    <w:p w:rsidR="00C97D25" w:rsidRPr="00497199" w:rsidRDefault="00C97D25" w:rsidP="00497199">
      <w:pPr>
        <w:pStyle w:val="NoSpacing"/>
        <w:ind w:left="2160" w:hanging="720"/>
        <w:jc w:val="both"/>
        <w:rPr>
          <w:szCs w:val="24"/>
        </w:rPr>
      </w:pPr>
      <w:r w:rsidRPr="00497199">
        <w:rPr>
          <w:szCs w:val="24"/>
        </w:rPr>
        <w:t>“</w:t>
      </w:r>
      <w:proofErr w:type="spellStart"/>
      <w:r w:rsidRPr="00497199">
        <w:rPr>
          <w:szCs w:val="24"/>
        </w:rPr>
        <w:t>i</w:t>
      </w:r>
      <w:proofErr w:type="spellEnd"/>
      <w:r w:rsidRPr="00497199">
        <w:rPr>
          <w:szCs w:val="24"/>
        </w:rPr>
        <w:t>.</w:t>
      </w:r>
      <w:r w:rsidRPr="00497199">
        <w:rPr>
          <w:szCs w:val="24"/>
        </w:rPr>
        <w:tab/>
        <w:t>That the certificate of registration issued by the 3</w:t>
      </w:r>
      <w:r w:rsidRPr="00497199">
        <w:rPr>
          <w:szCs w:val="24"/>
          <w:vertAlign w:val="superscript"/>
        </w:rPr>
        <w:t>rd</w:t>
      </w:r>
      <w:r w:rsidRPr="00497199">
        <w:rPr>
          <w:szCs w:val="24"/>
        </w:rPr>
        <w:t xml:space="preserve"> respondent in favour of AGKK Mining Syndicate under registration number 31283 remains suspended pending the determination of the following cases, HC 1707/18 and HC 1824/19.</w:t>
      </w:r>
    </w:p>
    <w:p w:rsidR="00C97D25" w:rsidRPr="00497199" w:rsidRDefault="00C97D25" w:rsidP="00497199">
      <w:pPr>
        <w:pStyle w:val="NoSpacing"/>
        <w:ind w:left="2160" w:hanging="720"/>
        <w:jc w:val="both"/>
        <w:rPr>
          <w:szCs w:val="24"/>
        </w:rPr>
      </w:pPr>
      <w:r w:rsidRPr="00497199">
        <w:rPr>
          <w:szCs w:val="24"/>
        </w:rPr>
        <w:t>ii.</w:t>
      </w:r>
      <w:r w:rsidRPr="00497199">
        <w:rPr>
          <w:szCs w:val="24"/>
        </w:rPr>
        <w:tab/>
        <w:t>That the 1</w:t>
      </w:r>
      <w:r w:rsidRPr="00497199">
        <w:rPr>
          <w:szCs w:val="24"/>
          <w:vertAlign w:val="superscript"/>
        </w:rPr>
        <w:t>st</w:t>
      </w:r>
      <w:r w:rsidRPr="00497199">
        <w:rPr>
          <w:szCs w:val="24"/>
        </w:rPr>
        <w:t xml:space="preserve"> and 2</w:t>
      </w:r>
      <w:r w:rsidRPr="00497199">
        <w:rPr>
          <w:szCs w:val="24"/>
          <w:vertAlign w:val="superscript"/>
        </w:rPr>
        <w:t>nd</w:t>
      </w:r>
      <w:r w:rsidRPr="00497199">
        <w:rPr>
          <w:szCs w:val="24"/>
        </w:rPr>
        <w:t xml:space="preserve"> respondents be and are hereby permanently interdicted from interfering with mining operations of the applicants at their </w:t>
      </w:r>
      <w:proofErr w:type="spellStart"/>
      <w:r w:rsidRPr="00497199">
        <w:rPr>
          <w:szCs w:val="24"/>
        </w:rPr>
        <w:t>Arroch</w:t>
      </w:r>
      <w:proofErr w:type="spellEnd"/>
      <w:r w:rsidRPr="00497199">
        <w:rPr>
          <w:szCs w:val="24"/>
        </w:rPr>
        <w:t xml:space="preserve"> 80, 81, 82 and 83 whatsoever, directly or indirectly.</w:t>
      </w:r>
    </w:p>
    <w:p w:rsidR="00C97D25" w:rsidRPr="00497199" w:rsidRDefault="00C97D25" w:rsidP="00497199">
      <w:pPr>
        <w:pStyle w:val="NoSpacing"/>
        <w:ind w:left="2160" w:hanging="720"/>
        <w:jc w:val="both"/>
        <w:rPr>
          <w:szCs w:val="24"/>
        </w:rPr>
      </w:pPr>
      <w:r w:rsidRPr="00497199">
        <w:rPr>
          <w:szCs w:val="24"/>
        </w:rPr>
        <w:t>iii.</w:t>
      </w:r>
      <w:r w:rsidRPr="00497199">
        <w:rPr>
          <w:szCs w:val="24"/>
        </w:rPr>
        <w:tab/>
        <w:t>That the respondents be and are hereby ordered to pay costs of suit on an attorney and client scale.”</w:t>
      </w:r>
    </w:p>
    <w:p w:rsidR="00C97D25" w:rsidRPr="00497199" w:rsidRDefault="00C97D25" w:rsidP="00497199">
      <w:pPr>
        <w:jc w:val="both"/>
        <w:rPr>
          <w:szCs w:val="24"/>
        </w:rPr>
      </w:pPr>
      <w:r w:rsidRPr="00497199">
        <w:rPr>
          <w:szCs w:val="24"/>
        </w:rPr>
        <w:tab/>
        <w:t>I granted the interim relief on the 20</w:t>
      </w:r>
      <w:r w:rsidRPr="00497199">
        <w:rPr>
          <w:szCs w:val="24"/>
          <w:vertAlign w:val="superscript"/>
        </w:rPr>
        <w:t>th</w:t>
      </w:r>
      <w:r w:rsidRPr="00497199">
        <w:rPr>
          <w:szCs w:val="24"/>
        </w:rPr>
        <w:t xml:space="preserve"> September 2019.  I have been asked to furnish reasons for granting this order.  These are my reasons.</w:t>
      </w:r>
    </w:p>
    <w:p w:rsidR="00C97D25" w:rsidRPr="00497199" w:rsidRDefault="00C97D25" w:rsidP="00497199">
      <w:pPr>
        <w:jc w:val="both"/>
        <w:rPr>
          <w:szCs w:val="24"/>
        </w:rPr>
      </w:pPr>
      <w:r w:rsidRPr="00497199">
        <w:rPr>
          <w:szCs w:val="24"/>
        </w:rPr>
        <w:tab/>
        <w:t xml:space="preserve">The applicants hold certificates of registration in respect of mining claims under Glen </w:t>
      </w:r>
      <w:proofErr w:type="spellStart"/>
      <w:r w:rsidRPr="00497199">
        <w:rPr>
          <w:szCs w:val="24"/>
        </w:rPr>
        <w:t>Arroch</w:t>
      </w:r>
      <w:proofErr w:type="spellEnd"/>
      <w:r w:rsidRPr="00497199">
        <w:rPr>
          <w:szCs w:val="24"/>
        </w:rPr>
        <w:t xml:space="preserve"> 80, 81 and 83.  Applicants have been carrying ou</w:t>
      </w:r>
      <w:r w:rsidR="002D3C02" w:rsidRPr="00497199">
        <w:rPr>
          <w:szCs w:val="24"/>
        </w:rPr>
        <w:t>t</w:t>
      </w:r>
      <w:r w:rsidRPr="00497199">
        <w:rPr>
          <w:szCs w:val="24"/>
        </w:rPr>
        <w:t xml:space="preserve"> mining operations at the mining location for some</w:t>
      </w:r>
      <w:r w:rsidR="002D3C02" w:rsidRPr="00497199">
        <w:rPr>
          <w:szCs w:val="24"/>
        </w:rPr>
        <w:t xml:space="preserve"> </w:t>
      </w:r>
      <w:r w:rsidRPr="00497199">
        <w:rPr>
          <w:szCs w:val="24"/>
        </w:rPr>
        <w:t>time.  Disputes have aris</w:t>
      </w:r>
      <w:r w:rsidR="00BF66B8">
        <w:rPr>
          <w:szCs w:val="24"/>
        </w:rPr>
        <w:t xml:space="preserve">en between the applicants and </w:t>
      </w:r>
      <w:proofErr w:type="spellStart"/>
      <w:r w:rsidR="00BF66B8">
        <w:rPr>
          <w:szCs w:val="24"/>
        </w:rPr>
        <w:t>Damafall</w:t>
      </w:r>
      <w:r w:rsidRPr="00497199">
        <w:rPr>
          <w:szCs w:val="24"/>
        </w:rPr>
        <w:t>s</w:t>
      </w:r>
      <w:proofErr w:type="spellEnd"/>
      <w:r w:rsidRPr="00497199">
        <w:rPr>
          <w:szCs w:val="24"/>
        </w:rPr>
        <w:t xml:space="preserve"> (Pvt) Ltd.  The dispute was brought to this court under case number HC 1707/18</w:t>
      </w:r>
      <w:r w:rsidR="001A7D23" w:rsidRPr="00497199">
        <w:rPr>
          <w:szCs w:val="24"/>
        </w:rPr>
        <w:t>.  The matter was heard and after full argument, the judge dealing with the matter reserved judgment.  The matter is therefore still pending in this court.  The 3</w:t>
      </w:r>
      <w:r w:rsidR="001A7D23" w:rsidRPr="00497199">
        <w:rPr>
          <w:szCs w:val="24"/>
          <w:vertAlign w:val="superscript"/>
        </w:rPr>
        <w:t>rd</w:t>
      </w:r>
      <w:r w:rsidR="001A7D23" w:rsidRPr="00497199">
        <w:rPr>
          <w:szCs w:val="24"/>
        </w:rPr>
        <w:t xml:space="preserve"> respondent in this present application attempted to issue a certificate of registration to an entity known as AGKK over the same mining location, whilst the dispute remained unresolved and pending.  The applicants approached this court on an urgent basis and sought and obtained an interdict against the 3</w:t>
      </w:r>
      <w:r w:rsidR="001A7D23" w:rsidRPr="00497199">
        <w:rPr>
          <w:szCs w:val="24"/>
          <w:vertAlign w:val="superscript"/>
        </w:rPr>
        <w:t>rd</w:t>
      </w:r>
      <w:r w:rsidR="001A7D23" w:rsidRPr="00497199">
        <w:rPr>
          <w:szCs w:val="24"/>
        </w:rPr>
        <w:t xml:space="preserve"> respondent.  In an apparent show of defiance 3</w:t>
      </w:r>
      <w:r w:rsidR="001A7D23" w:rsidRPr="00497199">
        <w:rPr>
          <w:szCs w:val="24"/>
          <w:vertAlign w:val="superscript"/>
        </w:rPr>
        <w:t>rd</w:t>
      </w:r>
      <w:r w:rsidR="001A7D23" w:rsidRPr="00497199">
        <w:rPr>
          <w:szCs w:val="24"/>
        </w:rPr>
        <w:t xml:space="preserve"> respondent issued a certificate of registration in favour of </w:t>
      </w:r>
      <w:r w:rsidR="002D3C02" w:rsidRPr="00497199">
        <w:rPr>
          <w:szCs w:val="24"/>
        </w:rPr>
        <w:t xml:space="preserve">AGKK inspite of the existence </w:t>
      </w:r>
      <w:r w:rsidR="001A7D23" w:rsidRPr="00497199">
        <w:rPr>
          <w:szCs w:val="24"/>
        </w:rPr>
        <w:t>of and ex</w:t>
      </w:r>
      <w:r w:rsidR="00DA504F">
        <w:rPr>
          <w:szCs w:val="24"/>
        </w:rPr>
        <w:t>ta</w:t>
      </w:r>
      <w:r w:rsidR="001A7D23" w:rsidRPr="00497199">
        <w:rPr>
          <w:szCs w:val="24"/>
        </w:rPr>
        <w:t>nt order of this court under case number HC 1821/19.  In that matter this court ordered that whilst the matter remained pending the 3</w:t>
      </w:r>
      <w:r w:rsidR="001A7D23" w:rsidRPr="00497199">
        <w:rPr>
          <w:szCs w:val="24"/>
          <w:vertAlign w:val="superscript"/>
        </w:rPr>
        <w:t>rd</w:t>
      </w:r>
      <w:r w:rsidR="001A7D23" w:rsidRPr="00497199">
        <w:rPr>
          <w:szCs w:val="24"/>
        </w:rPr>
        <w:t xml:space="preserve"> respondent could not issue a certificate of registration to a third party.  This order was served on the responde</w:t>
      </w:r>
      <w:r w:rsidR="00F40EBB" w:rsidRPr="00497199">
        <w:rPr>
          <w:szCs w:val="24"/>
        </w:rPr>
        <w:t>n</w:t>
      </w:r>
      <w:r w:rsidR="001A7D23" w:rsidRPr="00497199">
        <w:rPr>
          <w:szCs w:val="24"/>
        </w:rPr>
        <w:t xml:space="preserve">ts and the </w:t>
      </w:r>
      <w:r w:rsidR="001A7D23" w:rsidRPr="00497199">
        <w:rPr>
          <w:szCs w:val="24"/>
        </w:rPr>
        <w:lastRenderedPageBreak/>
        <w:t>parties were expected</w:t>
      </w:r>
      <w:r w:rsidR="00B53C73">
        <w:rPr>
          <w:szCs w:val="24"/>
        </w:rPr>
        <w:t xml:space="preserve"> to comply with</w:t>
      </w:r>
      <w:r w:rsidR="00F40EBB" w:rsidRPr="00497199">
        <w:rPr>
          <w:szCs w:val="24"/>
        </w:rPr>
        <w:t xml:space="preserve"> the orders of this court.</w:t>
      </w:r>
      <w:r w:rsidR="006E0936" w:rsidRPr="00497199">
        <w:rPr>
          <w:szCs w:val="24"/>
        </w:rPr>
        <w:t xml:space="preserve">  The </w:t>
      </w:r>
      <w:r w:rsidR="002D3C02" w:rsidRPr="00497199">
        <w:rPr>
          <w:szCs w:val="24"/>
        </w:rPr>
        <w:t>l</w:t>
      </w:r>
      <w:r w:rsidR="006E0936" w:rsidRPr="00497199">
        <w:rPr>
          <w:szCs w:val="24"/>
        </w:rPr>
        <w:t>egality of the certificate of registration issued to AGKK is being challenged and an allegation has been made that the cer</w:t>
      </w:r>
      <w:r w:rsidR="00FE1605">
        <w:rPr>
          <w:szCs w:val="24"/>
        </w:rPr>
        <w:t>tificate was issued irregularly and fraudulently.</w:t>
      </w:r>
      <w:r w:rsidR="006E0936" w:rsidRPr="00497199">
        <w:rPr>
          <w:szCs w:val="24"/>
        </w:rPr>
        <w:t xml:space="preserve">  The conduct of the respondents is clearly contemptuous of this court and its processes.  It is the duty of this court to ensure</w:t>
      </w:r>
      <w:r w:rsidR="00CC3277">
        <w:rPr>
          <w:szCs w:val="24"/>
        </w:rPr>
        <w:t xml:space="preserve"> that its processes are complied with.  T</w:t>
      </w:r>
      <w:r w:rsidR="006E0936" w:rsidRPr="00497199">
        <w:rPr>
          <w:szCs w:val="24"/>
        </w:rPr>
        <w:t>he integr</w:t>
      </w:r>
      <w:r w:rsidR="00CC3277">
        <w:rPr>
          <w:szCs w:val="24"/>
        </w:rPr>
        <w:t>ity of the court and its orders must be maintained and observed.</w:t>
      </w:r>
    </w:p>
    <w:p w:rsidR="006E0936" w:rsidRPr="00497199" w:rsidRDefault="006E0936" w:rsidP="00497199">
      <w:pPr>
        <w:jc w:val="both"/>
        <w:rPr>
          <w:szCs w:val="24"/>
        </w:rPr>
      </w:pPr>
      <w:r w:rsidRPr="00497199">
        <w:rPr>
          <w:szCs w:val="24"/>
        </w:rPr>
        <w:tab/>
        <w:t>The requirements for the granting of an interim interdict are well settled in our law.  These are:</w:t>
      </w:r>
    </w:p>
    <w:p w:rsidR="006E0936" w:rsidRPr="00497199" w:rsidRDefault="006E0936" w:rsidP="00497199">
      <w:pPr>
        <w:pStyle w:val="ListParagraph"/>
        <w:numPr>
          <w:ilvl w:val="0"/>
          <w:numId w:val="3"/>
        </w:numPr>
        <w:jc w:val="both"/>
        <w:rPr>
          <w:szCs w:val="24"/>
        </w:rPr>
      </w:pPr>
      <w:r w:rsidRPr="00497199">
        <w:rPr>
          <w:szCs w:val="24"/>
        </w:rPr>
        <w:t xml:space="preserve">the existence of a right which, though </w:t>
      </w:r>
      <w:r w:rsidRPr="00497199">
        <w:rPr>
          <w:i/>
          <w:szCs w:val="24"/>
        </w:rPr>
        <w:t>prima facie</w:t>
      </w:r>
      <w:r w:rsidRPr="00497199">
        <w:rPr>
          <w:szCs w:val="24"/>
        </w:rPr>
        <w:t xml:space="preserve"> established, is open to some doubt;</w:t>
      </w:r>
    </w:p>
    <w:p w:rsidR="006E0936" w:rsidRPr="00497199" w:rsidRDefault="006E0936" w:rsidP="00497199">
      <w:pPr>
        <w:pStyle w:val="ListParagraph"/>
        <w:numPr>
          <w:ilvl w:val="0"/>
          <w:numId w:val="3"/>
        </w:numPr>
        <w:jc w:val="both"/>
        <w:rPr>
          <w:szCs w:val="24"/>
        </w:rPr>
      </w:pPr>
      <w:r w:rsidRPr="00497199">
        <w:rPr>
          <w:szCs w:val="24"/>
        </w:rPr>
        <w:t>a well-grounded application of irreparable harm;</w:t>
      </w:r>
    </w:p>
    <w:p w:rsidR="006E0936" w:rsidRPr="00497199" w:rsidRDefault="006E0936" w:rsidP="00497199">
      <w:pPr>
        <w:pStyle w:val="ListParagraph"/>
        <w:numPr>
          <w:ilvl w:val="0"/>
          <w:numId w:val="3"/>
        </w:numPr>
        <w:jc w:val="both"/>
        <w:rPr>
          <w:szCs w:val="24"/>
        </w:rPr>
      </w:pPr>
      <w:r w:rsidRPr="00497199">
        <w:rPr>
          <w:szCs w:val="24"/>
        </w:rPr>
        <w:t>the absence of any other remedy;</w:t>
      </w:r>
    </w:p>
    <w:p w:rsidR="006E0936" w:rsidRPr="00497199" w:rsidRDefault="006E0936" w:rsidP="00497199">
      <w:pPr>
        <w:pStyle w:val="ListParagraph"/>
        <w:numPr>
          <w:ilvl w:val="0"/>
          <w:numId w:val="3"/>
        </w:numPr>
        <w:jc w:val="both"/>
        <w:rPr>
          <w:szCs w:val="24"/>
        </w:rPr>
      </w:pPr>
      <w:proofErr w:type="gramStart"/>
      <w:r w:rsidRPr="00497199">
        <w:rPr>
          <w:szCs w:val="24"/>
        </w:rPr>
        <w:t>the</w:t>
      </w:r>
      <w:proofErr w:type="gramEnd"/>
      <w:r w:rsidRPr="00497199">
        <w:rPr>
          <w:szCs w:val="24"/>
        </w:rPr>
        <w:t xml:space="preserve"> balance of convenience favours the applicant..</w:t>
      </w:r>
    </w:p>
    <w:p w:rsidR="006E0936" w:rsidRPr="00497199" w:rsidRDefault="006E0936" w:rsidP="00497199">
      <w:pPr>
        <w:ind w:firstLine="720"/>
        <w:jc w:val="both"/>
        <w:rPr>
          <w:szCs w:val="24"/>
        </w:rPr>
      </w:pPr>
      <w:r w:rsidRPr="00497199">
        <w:rPr>
          <w:szCs w:val="24"/>
        </w:rPr>
        <w:t xml:space="preserve">The principle was well set out in the case of </w:t>
      </w:r>
      <w:r w:rsidRPr="00497199">
        <w:rPr>
          <w:i/>
          <w:szCs w:val="24"/>
        </w:rPr>
        <w:t>ZESA Staff Pension Fund</w:t>
      </w:r>
      <w:r w:rsidRPr="00497199">
        <w:rPr>
          <w:szCs w:val="24"/>
        </w:rPr>
        <w:t xml:space="preserve"> v </w:t>
      </w:r>
      <w:proofErr w:type="spellStart"/>
      <w:r w:rsidRPr="00497199">
        <w:rPr>
          <w:i/>
          <w:szCs w:val="24"/>
        </w:rPr>
        <w:t>Mushambadzi</w:t>
      </w:r>
      <w:proofErr w:type="spellEnd"/>
      <w:r w:rsidRPr="00497199">
        <w:rPr>
          <w:i/>
          <w:szCs w:val="24"/>
        </w:rPr>
        <w:t xml:space="preserve"> </w:t>
      </w:r>
      <w:r w:rsidRPr="00497199">
        <w:rPr>
          <w:szCs w:val="24"/>
        </w:rPr>
        <w:t xml:space="preserve">SC-57-02.  The expression </w:t>
      </w:r>
      <w:r w:rsidRPr="00BF6749">
        <w:rPr>
          <w:i/>
          <w:szCs w:val="24"/>
        </w:rPr>
        <w:t>“prima facie established though open to some doubt”</w:t>
      </w:r>
      <w:r w:rsidR="002D3C02" w:rsidRPr="00BF6749">
        <w:rPr>
          <w:i/>
          <w:szCs w:val="24"/>
        </w:rPr>
        <w:t xml:space="preserve"> </w:t>
      </w:r>
      <w:r w:rsidR="002D3C02" w:rsidRPr="00497199">
        <w:rPr>
          <w:szCs w:val="24"/>
        </w:rPr>
        <w:t>relate</w:t>
      </w:r>
      <w:r w:rsidR="00BF6749">
        <w:rPr>
          <w:szCs w:val="24"/>
        </w:rPr>
        <w:t>s</w:t>
      </w:r>
      <w:r w:rsidRPr="00497199">
        <w:rPr>
          <w:szCs w:val="24"/>
        </w:rPr>
        <w:t xml:space="preserve"> to the existence of a right shown on the papers.  As regards proof of a well grounded apprehension of irreparable harm, and there being no adequate remedy, the court must exercise its discretion,</w:t>
      </w:r>
      <w:r w:rsidR="004B585A">
        <w:rPr>
          <w:szCs w:val="24"/>
        </w:rPr>
        <w:t xml:space="preserve"> such</w:t>
      </w:r>
      <w:r w:rsidR="00E22A00">
        <w:rPr>
          <w:szCs w:val="24"/>
        </w:rPr>
        <w:t xml:space="preserve"> discretion</w:t>
      </w:r>
      <w:r w:rsidRPr="00497199">
        <w:rPr>
          <w:szCs w:val="24"/>
        </w:rPr>
        <w:t xml:space="preserve"> to be exercised judiciously upon consideration of the facts on record and</w:t>
      </w:r>
      <w:r w:rsidR="00E22A00">
        <w:rPr>
          <w:szCs w:val="24"/>
        </w:rPr>
        <w:t xml:space="preserve"> placed</w:t>
      </w:r>
      <w:r w:rsidRPr="00497199">
        <w:rPr>
          <w:szCs w:val="24"/>
        </w:rPr>
        <w:t xml:space="preserve"> befo</w:t>
      </w:r>
      <w:r w:rsidR="002D3C02" w:rsidRPr="00497199">
        <w:rPr>
          <w:szCs w:val="24"/>
        </w:rPr>
        <w:t>r</w:t>
      </w:r>
      <w:r w:rsidRPr="00497199">
        <w:rPr>
          <w:szCs w:val="24"/>
        </w:rPr>
        <w:t>e the court.  Th</w:t>
      </w:r>
      <w:r w:rsidR="007811F1">
        <w:rPr>
          <w:szCs w:val="24"/>
        </w:rPr>
        <w:t>e balance of convenience</w:t>
      </w:r>
      <w:r w:rsidRPr="00497199">
        <w:rPr>
          <w:szCs w:val="24"/>
        </w:rPr>
        <w:t xml:space="preserve"> refers to the prejudice likely to be suffered by an applicant if the interim order is not granted.</w:t>
      </w:r>
    </w:p>
    <w:p w:rsidR="006E0936" w:rsidRPr="00497199" w:rsidRDefault="006E0936" w:rsidP="00497199">
      <w:pPr>
        <w:jc w:val="both"/>
        <w:rPr>
          <w:szCs w:val="24"/>
        </w:rPr>
      </w:pPr>
      <w:r w:rsidRPr="00497199">
        <w:rPr>
          <w:szCs w:val="24"/>
        </w:rPr>
        <w:tab/>
        <w:t xml:space="preserve">See also </w:t>
      </w:r>
      <w:proofErr w:type="spellStart"/>
      <w:r w:rsidR="007811F1">
        <w:rPr>
          <w:i/>
          <w:szCs w:val="24"/>
        </w:rPr>
        <w:t>Erikse</w:t>
      </w:r>
      <w:r w:rsidRPr="00497199">
        <w:rPr>
          <w:i/>
          <w:szCs w:val="24"/>
        </w:rPr>
        <w:t>n</w:t>
      </w:r>
      <w:proofErr w:type="spellEnd"/>
      <w:r w:rsidRPr="00497199">
        <w:rPr>
          <w:i/>
          <w:szCs w:val="24"/>
        </w:rPr>
        <w:t xml:space="preserve"> Motors (Welkom Ltd)</w:t>
      </w:r>
      <w:r w:rsidRPr="00497199">
        <w:rPr>
          <w:szCs w:val="24"/>
        </w:rPr>
        <w:t xml:space="preserve"> </w:t>
      </w:r>
      <w:r w:rsidR="00497199" w:rsidRPr="00497199">
        <w:rPr>
          <w:szCs w:val="24"/>
        </w:rPr>
        <w:t xml:space="preserve">v </w:t>
      </w:r>
      <w:proofErr w:type="spellStart"/>
      <w:r w:rsidR="008B5C85" w:rsidRPr="00497199">
        <w:rPr>
          <w:i/>
          <w:szCs w:val="24"/>
        </w:rPr>
        <w:t>Protea</w:t>
      </w:r>
      <w:proofErr w:type="spellEnd"/>
      <w:r w:rsidR="008B5C85" w:rsidRPr="00497199">
        <w:rPr>
          <w:i/>
          <w:szCs w:val="24"/>
        </w:rPr>
        <w:t xml:space="preserve"> Motors &amp; </w:t>
      </w:r>
      <w:proofErr w:type="spellStart"/>
      <w:r w:rsidR="008B5C85" w:rsidRPr="00497199">
        <w:rPr>
          <w:i/>
          <w:szCs w:val="24"/>
        </w:rPr>
        <w:t>Anor</w:t>
      </w:r>
      <w:proofErr w:type="spellEnd"/>
      <w:r w:rsidR="008B5C85" w:rsidRPr="00497199">
        <w:rPr>
          <w:szCs w:val="24"/>
        </w:rPr>
        <w:t xml:space="preserve"> 1973 (3) SA 685 (A) and </w:t>
      </w:r>
      <w:r w:rsidR="008B5C85" w:rsidRPr="00497199">
        <w:rPr>
          <w:i/>
          <w:szCs w:val="24"/>
        </w:rPr>
        <w:t xml:space="preserve">Flame </w:t>
      </w:r>
      <w:proofErr w:type="spellStart"/>
      <w:r w:rsidR="008B5C85" w:rsidRPr="00497199">
        <w:rPr>
          <w:i/>
          <w:szCs w:val="24"/>
        </w:rPr>
        <w:t>Liliy</w:t>
      </w:r>
      <w:proofErr w:type="spellEnd"/>
      <w:r w:rsidR="008B5C85" w:rsidRPr="00497199">
        <w:rPr>
          <w:i/>
          <w:szCs w:val="24"/>
        </w:rPr>
        <w:t xml:space="preserve"> Investment Company (Pvt) Ltd</w:t>
      </w:r>
      <w:r w:rsidR="008B5C85" w:rsidRPr="00497199">
        <w:rPr>
          <w:szCs w:val="24"/>
        </w:rPr>
        <w:t xml:space="preserve"> v </w:t>
      </w:r>
      <w:r w:rsidR="008B5C85" w:rsidRPr="00497199">
        <w:rPr>
          <w:i/>
          <w:szCs w:val="24"/>
        </w:rPr>
        <w:t xml:space="preserve">Zimbabwe Salvage (Pvt) Ltd &amp; </w:t>
      </w:r>
      <w:proofErr w:type="spellStart"/>
      <w:r w:rsidR="008B5C85" w:rsidRPr="00497199">
        <w:rPr>
          <w:i/>
          <w:szCs w:val="24"/>
        </w:rPr>
        <w:t>Anor</w:t>
      </w:r>
      <w:proofErr w:type="spellEnd"/>
      <w:r w:rsidR="008B5C85" w:rsidRPr="00497199">
        <w:rPr>
          <w:szCs w:val="24"/>
        </w:rPr>
        <w:t xml:space="preserve"> 1980 ZLR 378.</w:t>
      </w:r>
    </w:p>
    <w:p w:rsidR="008B5C85" w:rsidRPr="00497199" w:rsidRDefault="008B5C85" w:rsidP="00497199">
      <w:pPr>
        <w:jc w:val="both"/>
        <w:rPr>
          <w:szCs w:val="24"/>
        </w:rPr>
      </w:pPr>
      <w:r w:rsidRPr="00497199">
        <w:rPr>
          <w:szCs w:val="24"/>
        </w:rPr>
        <w:tab/>
        <w:t>In the circum</w:t>
      </w:r>
      <w:r w:rsidR="00DC288A">
        <w:rPr>
          <w:szCs w:val="24"/>
        </w:rPr>
        <w:t>stances of this case, there is no</w:t>
      </w:r>
      <w:r w:rsidRPr="00497199">
        <w:rPr>
          <w:szCs w:val="24"/>
        </w:rPr>
        <w:t xml:space="preserve"> dispute that the 3</w:t>
      </w:r>
      <w:r w:rsidRPr="00497199">
        <w:rPr>
          <w:szCs w:val="24"/>
          <w:vertAlign w:val="superscript"/>
        </w:rPr>
        <w:t>rd</w:t>
      </w:r>
      <w:r w:rsidR="00DC288A">
        <w:rPr>
          <w:szCs w:val="24"/>
        </w:rPr>
        <w:t xml:space="preserve"> respondent ignored an extant order of this</w:t>
      </w:r>
      <w:r w:rsidRPr="00497199">
        <w:rPr>
          <w:szCs w:val="24"/>
        </w:rPr>
        <w:t xml:space="preserve"> court and proceeded to issue a cer</w:t>
      </w:r>
      <w:r w:rsidR="00497199" w:rsidRPr="00497199">
        <w:rPr>
          <w:szCs w:val="24"/>
        </w:rPr>
        <w:t>tificate</w:t>
      </w:r>
      <w:r w:rsidRPr="00497199">
        <w:rPr>
          <w:szCs w:val="24"/>
        </w:rPr>
        <w:t xml:space="preserve"> o</w:t>
      </w:r>
      <w:r w:rsidR="00497199" w:rsidRPr="00497199">
        <w:rPr>
          <w:szCs w:val="24"/>
        </w:rPr>
        <w:t>f</w:t>
      </w:r>
      <w:r w:rsidRPr="00497199">
        <w:rPr>
          <w:szCs w:val="24"/>
        </w:rPr>
        <w:t xml:space="preserve"> registration over claims that are being contested in court.  The matter is pending and final judgment has not been delivered.  The consequence of allowing the respondents to treat court orders with disdain and contempt is to </w:t>
      </w:r>
      <w:r w:rsidRPr="00497199">
        <w:rPr>
          <w:szCs w:val="24"/>
        </w:rPr>
        <w:lastRenderedPageBreak/>
        <w:t xml:space="preserve">render the court powerless against clear acts of illegality.  It is for this reason that I granted the interim relief on an urgent and ex parte basis.  This order granted by this court does not have final effect. </w:t>
      </w:r>
      <w:r w:rsidR="003D246E">
        <w:rPr>
          <w:szCs w:val="24"/>
        </w:rPr>
        <w:t xml:space="preserve"> The respondents could and may</w:t>
      </w:r>
      <w:r w:rsidRPr="00497199">
        <w:rPr>
          <w:szCs w:val="24"/>
        </w:rPr>
        <w:t xml:space="preserve"> file papers </w:t>
      </w:r>
      <w:r w:rsidR="00497199" w:rsidRPr="00497199">
        <w:rPr>
          <w:szCs w:val="24"/>
        </w:rPr>
        <w:t>i</w:t>
      </w:r>
      <w:r w:rsidR="003D246E">
        <w:rPr>
          <w:szCs w:val="24"/>
        </w:rPr>
        <w:t>n o</w:t>
      </w:r>
      <w:r w:rsidRPr="00497199">
        <w:rPr>
          <w:szCs w:val="24"/>
        </w:rPr>
        <w:t>pposition</w:t>
      </w:r>
      <w:r w:rsidR="004E0817">
        <w:rPr>
          <w:szCs w:val="24"/>
        </w:rPr>
        <w:t xml:space="preserve"> a</w:t>
      </w:r>
      <w:r w:rsidR="00B2443D">
        <w:rPr>
          <w:szCs w:val="24"/>
        </w:rPr>
        <w:t>nd justify</w:t>
      </w:r>
      <w:r w:rsidR="003D246E">
        <w:rPr>
          <w:szCs w:val="24"/>
        </w:rPr>
        <w:t xml:space="preserve"> their basis for refusing to obey exta</w:t>
      </w:r>
      <w:r w:rsidRPr="00497199">
        <w:rPr>
          <w:szCs w:val="24"/>
        </w:rPr>
        <w:t>nt orders of this court.</w:t>
      </w:r>
    </w:p>
    <w:p w:rsidR="008B5C85" w:rsidRDefault="00FB4553" w:rsidP="00C413FC">
      <w:pPr>
        <w:ind w:firstLine="720"/>
        <w:jc w:val="both"/>
        <w:rPr>
          <w:szCs w:val="24"/>
        </w:rPr>
      </w:pPr>
      <w:r>
        <w:rPr>
          <w:szCs w:val="24"/>
        </w:rPr>
        <w:t>In the result</w:t>
      </w:r>
      <w:r w:rsidR="008B5C85" w:rsidRPr="00497199">
        <w:rPr>
          <w:szCs w:val="24"/>
        </w:rPr>
        <w:t xml:space="preserve">, </w:t>
      </w:r>
      <w:r w:rsidR="00B2443D">
        <w:rPr>
          <w:szCs w:val="24"/>
        </w:rPr>
        <w:t xml:space="preserve">and for the aforegoing, reasons, </w:t>
      </w:r>
      <w:r w:rsidR="008B5C85" w:rsidRPr="00497199">
        <w:rPr>
          <w:szCs w:val="24"/>
        </w:rPr>
        <w:t>I granted the interim</w:t>
      </w:r>
      <w:r w:rsidR="00C173F5">
        <w:rPr>
          <w:szCs w:val="24"/>
        </w:rPr>
        <w:t xml:space="preserve"> order</w:t>
      </w:r>
      <w:r w:rsidR="008B5C85" w:rsidRPr="00497199">
        <w:rPr>
          <w:szCs w:val="24"/>
        </w:rPr>
        <w:t xml:space="preserve"> sought as prayed in the draft order.</w:t>
      </w:r>
    </w:p>
    <w:p w:rsidR="00C413FC" w:rsidRDefault="00C413FC" w:rsidP="00C413FC">
      <w:pPr>
        <w:pStyle w:val="NoSpacing"/>
      </w:pPr>
    </w:p>
    <w:p w:rsidR="00C413FC" w:rsidRDefault="00C413FC" w:rsidP="00C413FC">
      <w:pPr>
        <w:pStyle w:val="NoSpacing"/>
      </w:pPr>
    </w:p>
    <w:p w:rsidR="00C413FC" w:rsidRDefault="00C413FC" w:rsidP="00C413FC">
      <w:pPr>
        <w:pStyle w:val="NoSpacing"/>
      </w:pPr>
    </w:p>
    <w:p w:rsidR="00C413FC" w:rsidRDefault="00C413FC" w:rsidP="00C413FC">
      <w:pPr>
        <w:pStyle w:val="NoSpacing"/>
      </w:pPr>
      <w:proofErr w:type="spellStart"/>
      <w:r w:rsidRPr="00C413FC">
        <w:rPr>
          <w:i/>
        </w:rPr>
        <w:t>Mutatu</w:t>
      </w:r>
      <w:proofErr w:type="spellEnd"/>
      <w:r w:rsidRPr="00C413FC">
        <w:rPr>
          <w:i/>
        </w:rPr>
        <w:t xml:space="preserve">, </w:t>
      </w:r>
      <w:proofErr w:type="spellStart"/>
      <w:r w:rsidRPr="00C413FC">
        <w:rPr>
          <w:i/>
        </w:rPr>
        <w:t>Masamvu</w:t>
      </w:r>
      <w:proofErr w:type="spellEnd"/>
      <w:r w:rsidRPr="00C413FC">
        <w:rPr>
          <w:i/>
        </w:rPr>
        <w:t xml:space="preserve"> &amp; Gustavo Law Chambers</w:t>
      </w:r>
      <w:r>
        <w:t>, applicant’s legal practitioners</w:t>
      </w:r>
    </w:p>
    <w:p w:rsidR="00C413FC" w:rsidRPr="00497199" w:rsidRDefault="00C413FC" w:rsidP="00C413FC">
      <w:pPr>
        <w:pStyle w:val="NoSpacing"/>
      </w:pPr>
      <w:proofErr w:type="spellStart"/>
      <w:r w:rsidRPr="00C413FC">
        <w:rPr>
          <w:i/>
        </w:rPr>
        <w:t>Sibanda</w:t>
      </w:r>
      <w:proofErr w:type="spellEnd"/>
      <w:r w:rsidRPr="00C413FC">
        <w:rPr>
          <w:i/>
        </w:rPr>
        <w:t xml:space="preserve"> &amp; Partners</w:t>
      </w:r>
      <w:r>
        <w:t xml:space="preserve">, </w:t>
      </w:r>
      <w:r w:rsidRPr="00C413FC">
        <w:rPr>
          <w:szCs w:val="24"/>
        </w:rPr>
        <w:t>respondent’s l</w:t>
      </w:r>
      <w:r>
        <w:t>egal practitioners</w:t>
      </w:r>
    </w:p>
    <w:p w:rsidR="008B5C85" w:rsidRPr="00497199" w:rsidRDefault="008B5C85" w:rsidP="00497199">
      <w:pPr>
        <w:ind w:left="720"/>
        <w:jc w:val="both"/>
        <w:rPr>
          <w:szCs w:val="24"/>
        </w:rPr>
      </w:pPr>
    </w:p>
    <w:p w:rsidR="008B5C85" w:rsidRPr="00497199" w:rsidRDefault="008B5C85" w:rsidP="00497199">
      <w:pPr>
        <w:ind w:left="720"/>
        <w:jc w:val="both"/>
        <w:rPr>
          <w:szCs w:val="24"/>
        </w:rPr>
      </w:pPr>
    </w:p>
    <w:p w:rsidR="008563BB" w:rsidRPr="00497199" w:rsidRDefault="008563BB" w:rsidP="00497199">
      <w:pPr>
        <w:jc w:val="both"/>
        <w:rPr>
          <w:szCs w:val="24"/>
        </w:rPr>
      </w:pPr>
    </w:p>
    <w:sectPr w:rsidR="008563BB" w:rsidRPr="00497199"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203E" w:rsidRDefault="00FF203E" w:rsidP="00497199">
      <w:pPr>
        <w:spacing w:before="0" w:after="0" w:line="240" w:lineRule="auto"/>
      </w:pPr>
      <w:r>
        <w:separator/>
      </w:r>
    </w:p>
  </w:endnote>
  <w:endnote w:type="continuationSeparator" w:id="1">
    <w:p w:rsidR="00FF203E" w:rsidRDefault="00FF203E" w:rsidP="00497199">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203E" w:rsidRDefault="00FF203E" w:rsidP="00497199">
      <w:pPr>
        <w:spacing w:before="0" w:after="0" w:line="240" w:lineRule="auto"/>
      </w:pPr>
      <w:r>
        <w:separator/>
      </w:r>
    </w:p>
  </w:footnote>
  <w:footnote w:type="continuationSeparator" w:id="1">
    <w:p w:rsidR="00FF203E" w:rsidRDefault="00FF203E" w:rsidP="00497199">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72932"/>
      <w:docPartObj>
        <w:docPartGallery w:val="Page Numbers (Top of Page)"/>
        <w:docPartUnique/>
      </w:docPartObj>
    </w:sdtPr>
    <w:sdtContent>
      <w:p w:rsidR="00497199" w:rsidRDefault="006C44F8">
        <w:pPr>
          <w:pStyle w:val="Header"/>
          <w:jc w:val="right"/>
        </w:pPr>
        <w:fldSimple w:instr=" PAGE   \* MERGEFORMAT ">
          <w:r w:rsidR="00C413FC">
            <w:rPr>
              <w:noProof/>
            </w:rPr>
            <w:t>3</w:t>
          </w:r>
        </w:fldSimple>
      </w:p>
      <w:p w:rsidR="00497199" w:rsidRDefault="0028595B" w:rsidP="0028595B">
        <w:pPr>
          <w:pStyle w:val="NoSpacing"/>
          <w:ind w:left="7920"/>
        </w:pPr>
        <w:r>
          <w:t xml:space="preserve">        </w:t>
        </w:r>
        <w:r w:rsidR="00497199">
          <w:t>HB 07/20</w:t>
        </w:r>
      </w:p>
      <w:p w:rsidR="00497199" w:rsidRDefault="0028595B" w:rsidP="00497199">
        <w:pPr>
          <w:pStyle w:val="NoSpacing"/>
          <w:ind w:left="7920"/>
        </w:pPr>
        <w:r>
          <w:t xml:space="preserve">    </w:t>
        </w:r>
        <w:r w:rsidR="00497199">
          <w:t>HC 2242/19</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43810"/>
    <w:multiLevelType w:val="hybridMultilevel"/>
    <w:tmpl w:val="6C2C60AE"/>
    <w:lvl w:ilvl="0" w:tplc="F820AC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14D67E9"/>
    <w:multiLevelType w:val="hybridMultilevel"/>
    <w:tmpl w:val="D1DCA558"/>
    <w:lvl w:ilvl="0" w:tplc="2544F57A">
      <w:start w:val="1"/>
      <w:numFmt w:val="lowerRoman"/>
      <w:lvlText w:val="(%1)"/>
      <w:lvlJc w:val="left"/>
      <w:pPr>
        <w:ind w:left="1440" w:hanging="72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BFE2378"/>
    <w:multiLevelType w:val="hybridMultilevel"/>
    <w:tmpl w:val="85A0C458"/>
    <w:lvl w:ilvl="0" w:tplc="12603CD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8563BB"/>
    <w:rsid w:val="000841BD"/>
    <w:rsid w:val="001517B0"/>
    <w:rsid w:val="001A7D23"/>
    <w:rsid w:val="001D126B"/>
    <w:rsid w:val="0028595B"/>
    <w:rsid w:val="002C7F8A"/>
    <w:rsid w:val="002D3C02"/>
    <w:rsid w:val="00395865"/>
    <w:rsid w:val="003A3365"/>
    <w:rsid w:val="003D246E"/>
    <w:rsid w:val="003E5BAA"/>
    <w:rsid w:val="00477B02"/>
    <w:rsid w:val="00497199"/>
    <w:rsid w:val="004B585A"/>
    <w:rsid w:val="004E0817"/>
    <w:rsid w:val="0054317D"/>
    <w:rsid w:val="005B4569"/>
    <w:rsid w:val="005C49D7"/>
    <w:rsid w:val="005D7601"/>
    <w:rsid w:val="0068662E"/>
    <w:rsid w:val="006A03C9"/>
    <w:rsid w:val="006C44F8"/>
    <w:rsid w:val="006E0936"/>
    <w:rsid w:val="00701C30"/>
    <w:rsid w:val="007811F1"/>
    <w:rsid w:val="007B49A6"/>
    <w:rsid w:val="007D0B26"/>
    <w:rsid w:val="007D2790"/>
    <w:rsid w:val="008563BB"/>
    <w:rsid w:val="0086230D"/>
    <w:rsid w:val="008A7672"/>
    <w:rsid w:val="008B5C85"/>
    <w:rsid w:val="008C3209"/>
    <w:rsid w:val="009E5C1A"/>
    <w:rsid w:val="00A50BC8"/>
    <w:rsid w:val="00B2443D"/>
    <w:rsid w:val="00B53C73"/>
    <w:rsid w:val="00B748C4"/>
    <w:rsid w:val="00BF66B8"/>
    <w:rsid w:val="00BF6749"/>
    <w:rsid w:val="00C173F5"/>
    <w:rsid w:val="00C413FC"/>
    <w:rsid w:val="00C61900"/>
    <w:rsid w:val="00C97D25"/>
    <w:rsid w:val="00CC3277"/>
    <w:rsid w:val="00D20B4C"/>
    <w:rsid w:val="00DA504F"/>
    <w:rsid w:val="00DC288A"/>
    <w:rsid w:val="00E10C27"/>
    <w:rsid w:val="00E22A00"/>
    <w:rsid w:val="00F40EBB"/>
    <w:rsid w:val="00FA0EB7"/>
    <w:rsid w:val="00FB4553"/>
    <w:rsid w:val="00FE1605"/>
    <w:rsid w:val="00FF203E"/>
    <w:rsid w:val="00FF32EF"/>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ListParagraph">
    <w:name w:val="List Paragraph"/>
    <w:basedOn w:val="Normal"/>
    <w:uiPriority w:val="34"/>
    <w:qFormat/>
    <w:rsid w:val="005C49D7"/>
    <w:pPr>
      <w:ind w:left="720"/>
      <w:contextualSpacing/>
    </w:pPr>
  </w:style>
  <w:style w:type="paragraph" w:styleId="Header">
    <w:name w:val="header"/>
    <w:basedOn w:val="Normal"/>
    <w:link w:val="HeaderChar"/>
    <w:uiPriority w:val="99"/>
    <w:unhideWhenUsed/>
    <w:rsid w:val="0049719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97199"/>
    <w:rPr>
      <w:rFonts w:ascii="Times New Roman" w:hAnsi="Times New Roman"/>
      <w:sz w:val="24"/>
    </w:rPr>
  </w:style>
  <w:style w:type="paragraph" w:styleId="Footer">
    <w:name w:val="footer"/>
    <w:basedOn w:val="Normal"/>
    <w:link w:val="FooterChar"/>
    <w:uiPriority w:val="99"/>
    <w:semiHidden/>
    <w:unhideWhenUsed/>
    <w:rsid w:val="00497199"/>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497199"/>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4</Pages>
  <Words>877</Words>
  <Characters>5000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16</cp:revision>
  <cp:lastPrinted>2020-01-20T09:22:00Z</cp:lastPrinted>
  <dcterms:created xsi:type="dcterms:W3CDTF">2020-01-20T09:30:00Z</dcterms:created>
  <dcterms:modified xsi:type="dcterms:W3CDTF">2020-01-20T13:57:00Z</dcterms:modified>
</cp:coreProperties>
</file>