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802E9" w:rsidRDefault="00596A9F" w:rsidP="007E6C56">
      <w:pPr>
        <w:tabs>
          <w:tab w:val="left" w:pos="927"/>
        </w:tabs>
        <w:spacing w:after="0" w:line="360" w:lineRule="auto"/>
        <w:rPr>
          <w:rFonts w:ascii="Tahoma" w:hAnsi="Tahoma" w:cs="Tahoma"/>
          <w:b/>
          <w:sz w:val="24"/>
          <w:szCs w:val="24"/>
        </w:rPr>
      </w:pPr>
      <w:r>
        <w:rPr>
          <w:rFonts w:ascii="Tahoma" w:hAnsi="Tahoma" w:cs="Tahoma"/>
          <w:b/>
          <w:sz w:val="24"/>
          <w:szCs w:val="24"/>
        </w:rPr>
        <w:t xml:space="preserve">IN </w:t>
      </w:r>
      <w:r w:rsidR="0011530D" w:rsidRPr="009802E9">
        <w:rPr>
          <w:rFonts w:ascii="Tahoma" w:hAnsi="Tahoma" w:cs="Tahoma"/>
          <w:b/>
          <w:sz w:val="24"/>
          <w:szCs w:val="24"/>
        </w:rPr>
        <w:t>THE LABOUR COURT OF ZIMBABWE</w:t>
      </w:r>
      <w:r w:rsidR="0011530D" w:rsidRPr="009802E9">
        <w:rPr>
          <w:rFonts w:ascii="Tahoma" w:hAnsi="Tahoma" w:cs="Tahoma"/>
          <w:b/>
          <w:sz w:val="24"/>
          <w:szCs w:val="24"/>
        </w:rPr>
        <w:tab/>
      </w:r>
      <w:r w:rsidR="00761EF7" w:rsidRPr="009802E9">
        <w:rPr>
          <w:rFonts w:ascii="Tahoma" w:hAnsi="Tahoma" w:cs="Tahoma"/>
          <w:b/>
          <w:sz w:val="24"/>
          <w:szCs w:val="24"/>
        </w:rPr>
        <w:t xml:space="preserve">  </w:t>
      </w:r>
      <w:r w:rsidR="000449EA" w:rsidRPr="009802E9">
        <w:rPr>
          <w:rFonts w:ascii="Tahoma" w:hAnsi="Tahoma" w:cs="Tahoma"/>
          <w:b/>
          <w:sz w:val="24"/>
          <w:szCs w:val="24"/>
        </w:rPr>
        <w:t xml:space="preserve"> </w:t>
      </w:r>
      <w:r w:rsidR="00A70728" w:rsidRPr="009802E9">
        <w:rPr>
          <w:rFonts w:ascii="Tahoma" w:hAnsi="Tahoma" w:cs="Tahoma"/>
          <w:b/>
          <w:sz w:val="24"/>
          <w:szCs w:val="24"/>
        </w:rPr>
        <w:t xml:space="preserve"> </w:t>
      </w:r>
      <w:r w:rsidR="00925FE5" w:rsidRPr="009802E9">
        <w:rPr>
          <w:rFonts w:ascii="Tahoma" w:hAnsi="Tahoma" w:cs="Tahoma"/>
          <w:b/>
          <w:sz w:val="24"/>
          <w:szCs w:val="24"/>
        </w:rPr>
        <w:t xml:space="preserve"> </w:t>
      </w:r>
      <w:r w:rsidR="008D7019" w:rsidRPr="009802E9">
        <w:rPr>
          <w:rFonts w:ascii="Tahoma" w:hAnsi="Tahoma" w:cs="Tahoma"/>
          <w:b/>
          <w:sz w:val="24"/>
          <w:szCs w:val="24"/>
        </w:rPr>
        <w:t xml:space="preserve">  </w:t>
      </w:r>
      <w:r w:rsidR="0011530D" w:rsidRPr="009802E9">
        <w:rPr>
          <w:rFonts w:ascii="Tahoma" w:hAnsi="Tahoma" w:cs="Tahoma"/>
          <w:b/>
          <w:sz w:val="24"/>
          <w:szCs w:val="24"/>
        </w:rPr>
        <w:t>JUDGMENT NO. LC/</w:t>
      </w:r>
      <w:r w:rsidR="00C14882" w:rsidRPr="009802E9">
        <w:rPr>
          <w:rFonts w:ascii="Tahoma" w:hAnsi="Tahoma" w:cs="Tahoma"/>
          <w:b/>
          <w:sz w:val="24"/>
          <w:szCs w:val="24"/>
        </w:rPr>
        <w:t>H</w:t>
      </w:r>
      <w:r w:rsidR="0011530D" w:rsidRPr="009802E9">
        <w:rPr>
          <w:rFonts w:ascii="Tahoma" w:hAnsi="Tahoma" w:cs="Tahoma"/>
          <w:b/>
          <w:sz w:val="24"/>
          <w:szCs w:val="24"/>
        </w:rPr>
        <w:t>/</w:t>
      </w:r>
      <w:r w:rsidR="00D745D8">
        <w:rPr>
          <w:rFonts w:ascii="Tahoma" w:hAnsi="Tahoma" w:cs="Tahoma"/>
          <w:b/>
          <w:sz w:val="24"/>
          <w:szCs w:val="24"/>
        </w:rPr>
        <w:t>112</w:t>
      </w:r>
      <w:r w:rsidR="00BD43C4" w:rsidRPr="009802E9">
        <w:rPr>
          <w:rFonts w:ascii="Tahoma" w:hAnsi="Tahoma" w:cs="Tahoma"/>
          <w:b/>
          <w:sz w:val="24"/>
          <w:szCs w:val="24"/>
        </w:rPr>
        <w:t>/</w:t>
      </w:r>
      <w:r w:rsidR="00AD0C69">
        <w:rPr>
          <w:rFonts w:ascii="Tahoma" w:hAnsi="Tahoma" w:cs="Tahoma"/>
          <w:b/>
          <w:sz w:val="24"/>
          <w:szCs w:val="24"/>
        </w:rPr>
        <w:t>2</w:t>
      </w:r>
      <w:r w:rsidR="00DA1C76">
        <w:rPr>
          <w:rFonts w:ascii="Tahoma" w:hAnsi="Tahoma" w:cs="Tahoma"/>
          <w:b/>
          <w:sz w:val="24"/>
          <w:szCs w:val="24"/>
        </w:rPr>
        <w:t>1</w:t>
      </w:r>
    </w:p>
    <w:p w:rsidR="0011530D" w:rsidRPr="009802E9" w:rsidRDefault="0011530D" w:rsidP="007E6C56">
      <w:pPr>
        <w:spacing w:after="0" w:line="360" w:lineRule="auto"/>
        <w:rPr>
          <w:rFonts w:ascii="Tahoma" w:hAnsi="Tahoma" w:cs="Tahoma"/>
          <w:b/>
          <w:color w:val="000000" w:themeColor="text1"/>
          <w:sz w:val="24"/>
          <w:szCs w:val="24"/>
        </w:rPr>
      </w:pPr>
      <w:r w:rsidRPr="009802E9">
        <w:rPr>
          <w:rFonts w:ascii="Tahoma" w:hAnsi="Tahoma" w:cs="Tahoma"/>
          <w:b/>
          <w:sz w:val="24"/>
          <w:szCs w:val="24"/>
        </w:rPr>
        <w:t xml:space="preserve">HELD AT HARARE ON </w:t>
      </w:r>
      <w:r w:rsidR="001510E9">
        <w:rPr>
          <w:rFonts w:ascii="Tahoma" w:hAnsi="Tahoma" w:cs="Tahoma"/>
          <w:b/>
          <w:sz w:val="24"/>
          <w:szCs w:val="24"/>
        </w:rPr>
        <w:t>7</w:t>
      </w:r>
      <w:r w:rsidR="001510E9" w:rsidRPr="001510E9">
        <w:rPr>
          <w:rFonts w:ascii="Tahoma" w:hAnsi="Tahoma" w:cs="Tahoma"/>
          <w:b/>
          <w:sz w:val="24"/>
          <w:szCs w:val="24"/>
          <w:vertAlign w:val="superscript"/>
        </w:rPr>
        <w:t>TH</w:t>
      </w:r>
      <w:r w:rsidR="001510E9">
        <w:rPr>
          <w:rFonts w:ascii="Tahoma" w:hAnsi="Tahoma" w:cs="Tahoma"/>
          <w:b/>
          <w:sz w:val="24"/>
          <w:szCs w:val="24"/>
        </w:rPr>
        <w:t xml:space="preserve"> JUNE, </w:t>
      </w:r>
      <w:r w:rsidR="0089692E">
        <w:rPr>
          <w:rFonts w:ascii="Tahoma" w:hAnsi="Tahoma" w:cs="Tahoma"/>
          <w:b/>
          <w:sz w:val="24"/>
          <w:szCs w:val="24"/>
        </w:rPr>
        <w:t>2021</w:t>
      </w:r>
      <w:r w:rsidR="007D077F">
        <w:rPr>
          <w:rFonts w:ascii="Tahoma" w:hAnsi="Tahoma" w:cs="Tahoma"/>
          <w:b/>
          <w:sz w:val="24"/>
          <w:szCs w:val="24"/>
        </w:rPr>
        <w:t xml:space="preserve">     </w:t>
      </w:r>
      <w:r w:rsidR="00CC1D76">
        <w:rPr>
          <w:rFonts w:ascii="Tahoma" w:hAnsi="Tahoma" w:cs="Tahoma"/>
          <w:b/>
          <w:sz w:val="24"/>
          <w:szCs w:val="24"/>
        </w:rPr>
        <w:t xml:space="preserve">  </w:t>
      </w:r>
      <w:r w:rsidR="00453430">
        <w:rPr>
          <w:rFonts w:ascii="Tahoma" w:hAnsi="Tahoma" w:cs="Tahoma"/>
          <w:b/>
          <w:sz w:val="24"/>
          <w:szCs w:val="24"/>
        </w:rPr>
        <w:t xml:space="preserve">   </w:t>
      </w:r>
      <w:r w:rsidR="001510E9">
        <w:rPr>
          <w:rFonts w:ascii="Tahoma" w:hAnsi="Tahoma" w:cs="Tahoma"/>
          <w:b/>
          <w:sz w:val="24"/>
          <w:szCs w:val="24"/>
        </w:rPr>
        <w:t xml:space="preserve">     </w:t>
      </w:r>
      <w:r w:rsidR="00F2481E" w:rsidRPr="009802E9">
        <w:rPr>
          <w:rFonts w:ascii="Tahoma" w:hAnsi="Tahoma" w:cs="Tahoma"/>
          <w:b/>
          <w:sz w:val="24"/>
          <w:szCs w:val="24"/>
        </w:rPr>
        <w:t>CASE NO.</w:t>
      </w:r>
      <w:r w:rsidR="001B7DFE" w:rsidRPr="009802E9">
        <w:rPr>
          <w:rFonts w:ascii="Tahoma" w:hAnsi="Tahoma" w:cs="Tahoma"/>
          <w:b/>
          <w:sz w:val="24"/>
          <w:szCs w:val="24"/>
        </w:rPr>
        <w:t xml:space="preserve"> </w:t>
      </w:r>
      <w:r w:rsidR="00A70728" w:rsidRPr="009802E9">
        <w:rPr>
          <w:rFonts w:ascii="Tahoma" w:hAnsi="Tahoma" w:cs="Tahoma"/>
          <w:b/>
          <w:color w:val="000000" w:themeColor="text1"/>
          <w:sz w:val="24"/>
          <w:szCs w:val="24"/>
        </w:rPr>
        <w:t>LC/</w:t>
      </w:r>
      <w:r w:rsidR="00210280">
        <w:rPr>
          <w:rFonts w:ascii="Tahoma" w:hAnsi="Tahoma" w:cs="Tahoma"/>
          <w:b/>
          <w:color w:val="000000" w:themeColor="text1"/>
          <w:sz w:val="24"/>
          <w:szCs w:val="24"/>
        </w:rPr>
        <w:t>H</w:t>
      </w:r>
      <w:r w:rsidR="00AD0C69">
        <w:rPr>
          <w:rFonts w:ascii="Tahoma" w:hAnsi="Tahoma" w:cs="Tahoma"/>
          <w:b/>
          <w:color w:val="000000" w:themeColor="text1"/>
          <w:sz w:val="24"/>
          <w:szCs w:val="24"/>
        </w:rPr>
        <w:t>/</w:t>
      </w:r>
      <w:r w:rsidR="006D69C9">
        <w:rPr>
          <w:rFonts w:ascii="Tahoma" w:hAnsi="Tahoma" w:cs="Tahoma"/>
          <w:b/>
          <w:color w:val="000000" w:themeColor="text1"/>
          <w:sz w:val="24"/>
          <w:szCs w:val="24"/>
        </w:rPr>
        <w:t>APP/241</w:t>
      </w:r>
      <w:r w:rsidR="001510E9">
        <w:rPr>
          <w:rFonts w:ascii="Tahoma" w:hAnsi="Tahoma" w:cs="Tahoma"/>
          <w:b/>
          <w:color w:val="000000" w:themeColor="text1"/>
          <w:sz w:val="24"/>
          <w:szCs w:val="24"/>
        </w:rPr>
        <w:t>/20</w:t>
      </w:r>
    </w:p>
    <w:p w:rsidR="002E229C" w:rsidRPr="009802E9" w:rsidRDefault="007D077F" w:rsidP="007E6C56">
      <w:pPr>
        <w:spacing w:after="0" w:line="360" w:lineRule="auto"/>
        <w:rPr>
          <w:rFonts w:ascii="Tahoma" w:hAnsi="Tahoma" w:cs="Tahoma"/>
          <w:b/>
          <w:sz w:val="24"/>
          <w:szCs w:val="24"/>
        </w:rPr>
      </w:pPr>
      <w:r>
        <w:rPr>
          <w:rFonts w:ascii="Tahoma" w:hAnsi="Tahoma" w:cs="Tahoma"/>
          <w:b/>
          <w:sz w:val="24"/>
          <w:szCs w:val="24"/>
        </w:rPr>
        <w:t>AND</w:t>
      </w:r>
      <w:r w:rsidR="00453430">
        <w:rPr>
          <w:rFonts w:ascii="Tahoma" w:hAnsi="Tahoma" w:cs="Tahoma"/>
          <w:b/>
          <w:sz w:val="24"/>
          <w:szCs w:val="24"/>
        </w:rPr>
        <w:t xml:space="preserve"> </w:t>
      </w:r>
      <w:r w:rsidR="00394BD9">
        <w:rPr>
          <w:rFonts w:ascii="Tahoma" w:hAnsi="Tahoma" w:cs="Tahoma"/>
          <w:b/>
          <w:sz w:val="24"/>
          <w:szCs w:val="24"/>
        </w:rPr>
        <w:t>30</w:t>
      </w:r>
      <w:r w:rsidR="00453430" w:rsidRPr="00453430">
        <w:rPr>
          <w:rFonts w:ascii="Tahoma" w:hAnsi="Tahoma" w:cs="Tahoma"/>
          <w:b/>
          <w:sz w:val="24"/>
          <w:szCs w:val="24"/>
          <w:vertAlign w:val="superscript"/>
        </w:rPr>
        <w:t>TH</w:t>
      </w:r>
      <w:r w:rsidR="00453430">
        <w:rPr>
          <w:rFonts w:ascii="Tahoma" w:hAnsi="Tahoma" w:cs="Tahoma"/>
          <w:b/>
          <w:sz w:val="24"/>
          <w:szCs w:val="24"/>
        </w:rPr>
        <w:t xml:space="preserve"> </w:t>
      </w:r>
      <w:r w:rsidR="001510E9">
        <w:rPr>
          <w:rFonts w:ascii="Tahoma" w:hAnsi="Tahoma" w:cs="Tahoma"/>
          <w:b/>
          <w:sz w:val="24"/>
          <w:szCs w:val="24"/>
        </w:rPr>
        <w:t>JULY</w:t>
      </w:r>
      <w:r w:rsidR="00453430">
        <w:rPr>
          <w:rFonts w:ascii="Tahoma" w:hAnsi="Tahoma" w:cs="Tahoma"/>
          <w:b/>
          <w:sz w:val="24"/>
          <w:szCs w:val="24"/>
        </w:rPr>
        <w:t xml:space="preserve">, </w:t>
      </w:r>
      <w:r>
        <w:rPr>
          <w:rFonts w:ascii="Tahoma" w:hAnsi="Tahoma" w:cs="Tahoma"/>
          <w:b/>
          <w:sz w:val="24"/>
          <w:szCs w:val="24"/>
        </w:rPr>
        <w:t>2</w:t>
      </w:r>
      <w:r w:rsidR="00BD43C4" w:rsidRPr="009802E9">
        <w:rPr>
          <w:rFonts w:ascii="Tahoma" w:hAnsi="Tahoma" w:cs="Tahoma"/>
          <w:b/>
          <w:sz w:val="24"/>
          <w:szCs w:val="24"/>
        </w:rPr>
        <w:t>0</w:t>
      </w:r>
      <w:r w:rsidR="00EF329B">
        <w:rPr>
          <w:rFonts w:ascii="Tahoma" w:hAnsi="Tahoma" w:cs="Tahoma"/>
          <w:b/>
          <w:sz w:val="24"/>
          <w:szCs w:val="24"/>
        </w:rPr>
        <w:t>21</w:t>
      </w:r>
      <w:r w:rsidR="00ED0518" w:rsidRPr="009802E9">
        <w:rPr>
          <w:rFonts w:ascii="Tahoma" w:hAnsi="Tahoma" w:cs="Tahoma"/>
          <w:b/>
          <w:sz w:val="24"/>
          <w:szCs w:val="24"/>
        </w:rPr>
        <w:tab/>
      </w:r>
      <w:r w:rsidR="008D3C88">
        <w:rPr>
          <w:rFonts w:ascii="Tahoma" w:hAnsi="Tahoma" w:cs="Tahoma"/>
          <w:b/>
          <w:sz w:val="24"/>
          <w:szCs w:val="24"/>
        </w:rPr>
        <w:tab/>
      </w:r>
      <w:r w:rsidR="008D3C88">
        <w:rPr>
          <w:rFonts w:ascii="Tahoma" w:hAnsi="Tahoma" w:cs="Tahoma"/>
          <w:b/>
          <w:sz w:val="24"/>
          <w:szCs w:val="24"/>
        </w:rPr>
        <w:tab/>
      </w:r>
      <w:r w:rsidR="008D3C88">
        <w:rPr>
          <w:rFonts w:ascii="Tahoma" w:hAnsi="Tahoma" w:cs="Tahoma"/>
          <w:b/>
          <w:sz w:val="24"/>
          <w:szCs w:val="24"/>
        </w:rPr>
        <w:tab/>
      </w:r>
      <w:r w:rsidR="001510E9">
        <w:rPr>
          <w:rFonts w:ascii="Tahoma" w:hAnsi="Tahoma" w:cs="Tahoma"/>
          <w:b/>
          <w:sz w:val="24"/>
          <w:szCs w:val="24"/>
        </w:rPr>
        <w:t xml:space="preserve">       X REF: LC/H/</w:t>
      </w:r>
      <w:r w:rsidR="006D69C9">
        <w:rPr>
          <w:rFonts w:ascii="Tahoma" w:hAnsi="Tahoma" w:cs="Tahoma"/>
          <w:b/>
          <w:sz w:val="24"/>
          <w:szCs w:val="24"/>
        </w:rPr>
        <w:t>APP</w:t>
      </w:r>
      <w:r w:rsidR="001510E9">
        <w:rPr>
          <w:rFonts w:ascii="Tahoma" w:hAnsi="Tahoma" w:cs="Tahoma"/>
          <w:b/>
          <w:sz w:val="24"/>
          <w:szCs w:val="24"/>
        </w:rPr>
        <w:t>/</w:t>
      </w:r>
      <w:r w:rsidR="006D69C9">
        <w:rPr>
          <w:rFonts w:ascii="Tahoma" w:hAnsi="Tahoma" w:cs="Tahoma"/>
          <w:b/>
          <w:sz w:val="24"/>
          <w:szCs w:val="24"/>
        </w:rPr>
        <w:t>472/18</w:t>
      </w:r>
    </w:p>
    <w:p w:rsidR="00176651" w:rsidRPr="001510E9" w:rsidRDefault="00F2481E" w:rsidP="006D69C9">
      <w:pPr>
        <w:spacing w:after="0" w:line="240" w:lineRule="auto"/>
        <w:rPr>
          <w:rFonts w:ascii="Tahoma" w:hAnsi="Tahoma" w:cs="Tahoma"/>
          <w:b/>
          <w:sz w:val="24"/>
          <w:szCs w:val="24"/>
        </w:rPr>
      </w:pPr>
      <w:r w:rsidRPr="009802E9">
        <w:rPr>
          <w:rFonts w:ascii="Tahoma" w:hAnsi="Tahoma" w:cs="Tahoma"/>
          <w:sz w:val="24"/>
          <w:szCs w:val="24"/>
        </w:rPr>
        <w:t>In</w:t>
      </w:r>
      <w:r w:rsidR="0011530D" w:rsidRPr="009802E9">
        <w:rPr>
          <w:rFonts w:ascii="Tahoma" w:hAnsi="Tahoma" w:cs="Tahoma"/>
          <w:sz w:val="24"/>
          <w:szCs w:val="24"/>
        </w:rPr>
        <w:t xml:space="preserve"> the matter between:-</w:t>
      </w:r>
      <w:r w:rsidR="00D85594" w:rsidRPr="009802E9">
        <w:rPr>
          <w:rFonts w:ascii="Tahoma" w:hAnsi="Tahoma" w:cs="Tahoma"/>
          <w:sz w:val="24"/>
          <w:szCs w:val="24"/>
        </w:rPr>
        <w:tab/>
      </w:r>
      <w:r w:rsidR="00D85594" w:rsidRPr="009802E9">
        <w:rPr>
          <w:rFonts w:ascii="Tahoma" w:hAnsi="Tahoma" w:cs="Tahoma"/>
          <w:sz w:val="24"/>
          <w:szCs w:val="24"/>
        </w:rPr>
        <w:tab/>
      </w:r>
      <w:r w:rsidR="00D85594" w:rsidRPr="009802E9">
        <w:rPr>
          <w:rFonts w:ascii="Tahoma" w:hAnsi="Tahoma" w:cs="Tahoma"/>
          <w:sz w:val="24"/>
          <w:szCs w:val="24"/>
        </w:rPr>
        <w:tab/>
      </w:r>
      <w:r w:rsidR="001510E9">
        <w:rPr>
          <w:rFonts w:ascii="Tahoma" w:hAnsi="Tahoma" w:cs="Tahoma"/>
          <w:sz w:val="24"/>
          <w:szCs w:val="24"/>
        </w:rPr>
        <w:tab/>
      </w:r>
    </w:p>
    <w:p w:rsidR="00EF329B" w:rsidRDefault="00EF329B" w:rsidP="007E6C56">
      <w:pPr>
        <w:spacing w:after="0" w:line="240" w:lineRule="auto"/>
        <w:rPr>
          <w:rFonts w:ascii="Tahoma" w:hAnsi="Tahoma" w:cs="Tahoma"/>
          <w:sz w:val="24"/>
          <w:szCs w:val="24"/>
        </w:rPr>
      </w:pPr>
    </w:p>
    <w:p w:rsidR="00B967E0" w:rsidRDefault="00B967E0" w:rsidP="007E6C56">
      <w:pPr>
        <w:spacing w:after="0" w:line="240" w:lineRule="auto"/>
        <w:rPr>
          <w:rFonts w:ascii="Tahoma" w:hAnsi="Tahoma" w:cs="Tahoma"/>
          <w:sz w:val="24"/>
          <w:szCs w:val="24"/>
        </w:rPr>
      </w:pPr>
    </w:p>
    <w:p w:rsidR="001510E9" w:rsidRPr="009802E9" w:rsidRDefault="001510E9" w:rsidP="007E6C56">
      <w:pPr>
        <w:spacing w:after="0" w:line="240" w:lineRule="auto"/>
        <w:rPr>
          <w:rFonts w:ascii="Tahoma" w:hAnsi="Tahoma" w:cs="Tahoma"/>
          <w:sz w:val="24"/>
          <w:szCs w:val="24"/>
        </w:rPr>
      </w:pPr>
    </w:p>
    <w:p w:rsidR="0011530D" w:rsidRPr="009802E9" w:rsidRDefault="006D69C9" w:rsidP="007E6C56">
      <w:pPr>
        <w:spacing w:after="0" w:line="360" w:lineRule="auto"/>
        <w:rPr>
          <w:rFonts w:ascii="Tahoma" w:hAnsi="Tahoma" w:cs="Tahoma"/>
          <w:b/>
          <w:sz w:val="24"/>
          <w:szCs w:val="24"/>
        </w:rPr>
      </w:pPr>
      <w:r>
        <w:rPr>
          <w:rFonts w:ascii="Tahoma" w:hAnsi="Tahoma" w:cs="Tahoma"/>
          <w:b/>
          <w:sz w:val="24"/>
          <w:szCs w:val="24"/>
        </w:rPr>
        <w:t>FRANCISCA SELINA MANYONI</w:t>
      </w:r>
      <w:r w:rsidR="0014037C" w:rsidRPr="009802E9">
        <w:rPr>
          <w:rFonts w:ascii="Tahoma" w:hAnsi="Tahoma" w:cs="Tahoma"/>
          <w:b/>
          <w:sz w:val="24"/>
          <w:szCs w:val="24"/>
        </w:rPr>
        <w:tab/>
      </w:r>
      <w:r w:rsidR="00490FE1" w:rsidRPr="009802E9">
        <w:rPr>
          <w:rFonts w:ascii="Tahoma" w:hAnsi="Tahoma" w:cs="Tahoma"/>
          <w:b/>
          <w:sz w:val="24"/>
          <w:szCs w:val="24"/>
        </w:rPr>
        <w:tab/>
      </w:r>
      <w:r w:rsidR="000D5D9F" w:rsidRPr="009802E9">
        <w:rPr>
          <w:rFonts w:ascii="Tahoma" w:hAnsi="Tahoma" w:cs="Tahoma"/>
          <w:b/>
          <w:sz w:val="24"/>
          <w:szCs w:val="24"/>
        </w:rPr>
        <w:tab/>
      </w:r>
      <w:r>
        <w:rPr>
          <w:rFonts w:ascii="Tahoma" w:hAnsi="Tahoma" w:cs="Tahoma"/>
          <w:b/>
          <w:sz w:val="24"/>
          <w:szCs w:val="24"/>
        </w:rPr>
        <w:tab/>
      </w:r>
      <w:r w:rsidR="0011530D" w:rsidRPr="009802E9">
        <w:rPr>
          <w:rFonts w:ascii="Tahoma" w:hAnsi="Tahoma" w:cs="Tahoma"/>
          <w:b/>
          <w:sz w:val="24"/>
          <w:szCs w:val="24"/>
        </w:rPr>
        <w:t>A</w:t>
      </w:r>
      <w:r w:rsidR="00D85594" w:rsidRPr="009802E9">
        <w:rPr>
          <w:rFonts w:ascii="Tahoma" w:hAnsi="Tahoma" w:cs="Tahoma"/>
          <w:b/>
          <w:sz w:val="24"/>
          <w:szCs w:val="24"/>
        </w:rPr>
        <w:t>pp</w:t>
      </w:r>
      <w:r w:rsidR="0057453B">
        <w:rPr>
          <w:rFonts w:ascii="Tahoma" w:hAnsi="Tahoma" w:cs="Tahoma"/>
          <w:b/>
          <w:sz w:val="24"/>
          <w:szCs w:val="24"/>
        </w:rPr>
        <w:t>l</w:t>
      </w:r>
      <w:r w:rsidR="00421421">
        <w:rPr>
          <w:rFonts w:ascii="Tahoma" w:hAnsi="Tahoma" w:cs="Tahoma"/>
          <w:b/>
          <w:sz w:val="24"/>
          <w:szCs w:val="24"/>
        </w:rPr>
        <w:t>ic</w:t>
      </w:r>
      <w:r w:rsidR="0011530D" w:rsidRPr="009802E9">
        <w:rPr>
          <w:rFonts w:ascii="Tahoma" w:hAnsi="Tahoma" w:cs="Tahoma"/>
          <w:b/>
          <w:sz w:val="24"/>
          <w:szCs w:val="24"/>
        </w:rPr>
        <w:t>ant</w:t>
      </w:r>
    </w:p>
    <w:p w:rsidR="0011530D"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And</w:t>
      </w:r>
    </w:p>
    <w:p w:rsidR="00D85594" w:rsidRDefault="006D69C9" w:rsidP="00DC6A0C">
      <w:pPr>
        <w:spacing w:after="0" w:line="360" w:lineRule="auto"/>
        <w:rPr>
          <w:rFonts w:ascii="Tahoma" w:hAnsi="Tahoma" w:cs="Tahoma"/>
          <w:b/>
          <w:sz w:val="24"/>
          <w:szCs w:val="24"/>
        </w:rPr>
      </w:pPr>
      <w:r>
        <w:rPr>
          <w:rFonts w:ascii="Tahoma" w:hAnsi="Tahoma" w:cs="Tahoma"/>
          <w:b/>
          <w:sz w:val="24"/>
          <w:szCs w:val="24"/>
        </w:rPr>
        <w:t>ZIMTRADE</w:t>
      </w:r>
      <w:r w:rsidR="00AD0C69">
        <w:rPr>
          <w:rFonts w:ascii="Tahoma" w:hAnsi="Tahoma" w:cs="Tahoma"/>
          <w:b/>
          <w:sz w:val="24"/>
          <w:szCs w:val="24"/>
        </w:rPr>
        <w:tab/>
      </w:r>
      <w:r w:rsidR="007B5134">
        <w:rPr>
          <w:rFonts w:ascii="Tahoma" w:hAnsi="Tahoma" w:cs="Tahoma"/>
          <w:b/>
          <w:sz w:val="24"/>
          <w:szCs w:val="24"/>
        </w:rPr>
        <w:tab/>
      </w:r>
      <w:r w:rsidR="00DC6A0C">
        <w:rPr>
          <w:rFonts w:ascii="Tahoma" w:hAnsi="Tahoma" w:cs="Tahoma"/>
          <w:b/>
          <w:sz w:val="24"/>
          <w:szCs w:val="24"/>
        </w:rPr>
        <w:tab/>
      </w:r>
      <w:r w:rsidR="00B967E0">
        <w:rPr>
          <w:rFonts w:ascii="Tahoma" w:hAnsi="Tahoma" w:cs="Tahoma"/>
          <w:b/>
          <w:sz w:val="24"/>
          <w:szCs w:val="24"/>
        </w:rPr>
        <w:tab/>
      </w:r>
      <w:r w:rsidR="00B967E0">
        <w:rPr>
          <w:rFonts w:ascii="Tahoma" w:hAnsi="Tahoma" w:cs="Tahoma"/>
          <w:b/>
          <w:sz w:val="24"/>
          <w:szCs w:val="24"/>
        </w:rPr>
        <w:tab/>
      </w:r>
      <w:r w:rsidR="00B967E0">
        <w:rPr>
          <w:rFonts w:ascii="Tahoma" w:hAnsi="Tahoma" w:cs="Tahoma"/>
          <w:b/>
          <w:sz w:val="24"/>
          <w:szCs w:val="24"/>
        </w:rPr>
        <w:tab/>
      </w:r>
      <w:r w:rsidR="00B967E0">
        <w:rPr>
          <w:rFonts w:ascii="Tahoma" w:hAnsi="Tahoma" w:cs="Tahoma"/>
          <w:b/>
          <w:sz w:val="24"/>
          <w:szCs w:val="24"/>
        </w:rPr>
        <w:tab/>
      </w:r>
      <w:r w:rsidR="00B967E0">
        <w:rPr>
          <w:rFonts w:ascii="Tahoma" w:hAnsi="Tahoma" w:cs="Tahoma"/>
          <w:b/>
          <w:sz w:val="24"/>
          <w:szCs w:val="24"/>
        </w:rPr>
        <w:tab/>
      </w:r>
      <w:r w:rsidR="00D85594" w:rsidRPr="009802E9">
        <w:rPr>
          <w:rFonts w:ascii="Tahoma" w:hAnsi="Tahoma" w:cs="Tahoma"/>
          <w:b/>
          <w:sz w:val="24"/>
          <w:szCs w:val="24"/>
        </w:rPr>
        <w:t>Respondent</w:t>
      </w: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7548C0" w:rsidP="007E6C56">
      <w:pPr>
        <w:spacing w:after="0" w:line="360" w:lineRule="auto"/>
        <w:rPr>
          <w:rFonts w:ascii="Tahoma" w:hAnsi="Tahoma" w:cs="Tahoma"/>
          <w:sz w:val="24"/>
          <w:szCs w:val="24"/>
        </w:rPr>
      </w:pPr>
      <w:r w:rsidRPr="009802E9">
        <w:rPr>
          <w:rFonts w:ascii="Tahoma" w:hAnsi="Tahoma" w:cs="Tahoma"/>
          <w:sz w:val="24"/>
          <w:szCs w:val="24"/>
        </w:rPr>
        <w:t>Before the Honourable</w:t>
      </w:r>
      <w:r w:rsidR="0011530D" w:rsidRPr="009802E9">
        <w:rPr>
          <w:rFonts w:ascii="Tahoma" w:hAnsi="Tahoma" w:cs="Tahoma"/>
          <w:sz w:val="24"/>
          <w:szCs w:val="24"/>
        </w:rPr>
        <w:t xml:space="preserve"> </w:t>
      </w:r>
      <w:r w:rsidR="00ED0518" w:rsidRPr="009802E9">
        <w:rPr>
          <w:rFonts w:ascii="Tahoma" w:hAnsi="Tahoma" w:cs="Tahoma"/>
          <w:sz w:val="24"/>
          <w:szCs w:val="24"/>
        </w:rPr>
        <w:t>Mhuri</w:t>
      </w:r>
      <w:r w:rsidR="0011530D" w:rsidRPr="009802E9">
        <w:rPr>
          <w:rFonts w:ascii="Tahoma" w:hAnsi="Tahoma" w:cs="Tahoma"/>
          <w:sz w:val="24"/>
          <w:szCs w:val="24"/>
        </w:rPr>
        <w:t xml:space="preserve">, </w:t>
      </w:r>
      <w:r w:rsidRPr="009802E9">
        <w:rPr>
          <w:rFonts w:ascii="Tahoma" w:hAnsi="Tahoma" w:cs="Tahoma"/>
          <w:sz w:val="24"/>
          <w:szCs w:val="24"/>
        </w:rPr>
        <w:t>J.</w:t>
      </w:r>
    </w:p>
    <w:p w:rsidR="00856DF5" w:rsidRDefault="00B967E0" w:rsidP="00EF062B">
      <w:pPr>
        <w:spacing w:after="0" w:line="360" w:lineRule="auto"/>
        <w:rPr>
          <w:rFonts w:ascii="Tahoma" w:hAnsi="Tahoma" w:cs="Tahoma"/>
          <w:b/>
          <w:sz w:val="24"/>
          <w:szCs w:val="24"/>
        </w:rPr>
      </w:pPr>
      <w:r>
        <w:rPr>
          <w:rFonts w:ascii="Tahoma" w:hAnsi="Tahoma" w:cs="Tahoma"/>
          <w:b/>
          <w:sz w:val="24"/>
          <w:szCs w:val="24"/>
        </w:rPr>
        <w:t xml:space="preserve">For </w:t>
      </w:r>
      <w:r w:rsidR="004C0E8D" w:rsidRPr="009802E9">
        <w:rPr>
          <w:rFonts w:ascii="Tahoma" w:hAnsi="Tahoma" w:cs="Tahoma"/>
          <w:b/>
          <w:sz w:val="24"/>
          <w:szCs w:val="24"/>
        </w:rPr>
        <w:t>App</w:t>
      </w:r>
      <w:r w:rsidR="00421421">
        <w:rPr>
          <w:rFonts w:ascii="Tahoma" w:hAnsi="Tahoma" w:cs="Tahoma"/>
          <w:b/>
          <w:sz w:val="24"/>
          <w:szCs w:val="24"/>
        </w:rPr>
        <w:t>lic</w:t>
      </w:r>
      <w:r w:rsidR="00D95B8F" w:rsidRPr="009802E9">
        <w:rPr>
          <w:rFonts w:ascii="Tahoma" w:hAnsi="Tahoma" w:cs="Tahoma"/>
          <w:b/>
          <w:sz w:val="24"/>
          <w:szCs w:val="24"/>
        </w:rPr>
        <w:t>ant</w:t>
      </w:r>
      <w:r w:rsidR="00D95B8F" w:rsidRPr="009802E9">
        <w:rPr>
          <w:rFonts w:ascii="Tahoma" w:hAnsi="Tahoma" w:cs="Tahoma"/>
          <w:b/>
          <w:sz w:val="24"/>
          <w:szCs w:val="24"/>
        </w:rPr>
        <w:tab/>
      </w:r>
      <w:r>
        <w:rPr>
          <w:rFonts w:ascii="Tahoma" w:hAnsi="Tahoma" w:cs="Tahoma"/>
          <w:b/>
          <w:sz w:val="24"/>
          <w:szCs w:val="24"/>
        </w:rPr>
        <w:tab/>
      </w:r>
      <w:r w:rsidR="00D95B8F" w:rsidRPr="009802E9">
        <w:rPr>
          <w:rFonts w:ascii="Tahoma" w:hAnsi="Tahoma" w:cs="Tahoma"/>
          <w:b/>
          <w:sz w:val="24"/>
          <w:szCs w:val="24"/>
        </w:rPr>
        <w:t>:</w:t>
      </w:r>
      <w:r w:rsidR="00D95B8F" w:rsidRPr="009802E9">
        <w:rPr>
          <w:rFonts w:ascii="Tahoma" w:hAnsi="Tahoma" w:cs="Tahoma"/>
          <w:b/>
          <w:sz w:val="24"/>
          <w:szCs w:val="24"/>
        </w:rPr>
        <w:tab/>
      </w:r>
      <w:r w:rsidR="006D69C9">
        <w:rPr>
          <w:rFonts w:ascii="Tahoma" w:hAnsi="Tahoma" w:cs="Tahoma"/>
          <w:b/>
          <w:sz w:val="24"/>
          <w:szCs w:val="24"/>
        </w:rPr>
        <w:t>Mr. A. Masango (Legal Practitioner)</w:t>
      </w:r>
    </w:p>
    <w:p w:rsidR="00AD0C69" w:rsidRPr="00B967E0" w:rsidRDefault="00AD0C69" w:rsidP="00B967E0">
      <w:pPr>
        <w:spacing w:after="0" w:line="240" w:lineRule="auto"/>
        <w:ind w:left="2880" w:hanging="2880"/>
        <w:rPr>
          <w:rFonts w:ascii="Tahoma" w:hAnsi="Tahoma" w:cs="Tahoma"/>
          <w:sz w:val="24"/>
          <w:szCs w:val="24"/>
        </w:rPr>
      </w:pPr>
      <w:r w:rsidRPr="009802E9">
        <w:rPr>
          <w:rFonts w:ascii="Tahoma" w:hAnsi="Tahoma" w:cs="Tahoma"/>
          <w:b/>
          <w:sz w:val="24"/>
          <w:szCs w:val="24"/>
        </w:rPr>
        <w:t xml:space="preserve">For </w:t>
      </w:r>
      <w:r w:rsidR="00421421">
        <w:rPr>
          <w:rFonts w:ascii="Tahoma" w:hAnsi="Tahoma" w:cs="Tahoma"/>
          <w:b/>
          <w:sz w:val="24"/>
          <w:szCs w:val="24"/>
        </w:rPr>
        <w:t xml:space="preserve">Respondent </w:t>
      </w:r>
      <w:r w:rsidR="00B967E0">
        <w:rPr>
          <w:rFonts w:ascii="Tahoma" w:hAnsi="Tahoma" w:cs="Tahoma"/>
          <w:b/>
          <w:sz w:val="24"/>
          <w:szCs w:val="24"/>
        </w:rPr>
        <w:tab/>
      </w:r>
      <w:r w:rsidR="00421421">
        <w:rPr>
          <w:rFonts w:ascii="Tahoma" w:hAnsi="Tahoma" w:cs="Tahoma"/>
          <w:b/>
          <w:sz w:val="24"/>
          <w:szCs w:val="24"/>
        </w:rPr>
        <w:t>:</w:t>
      </w:r>
      <w:r w:rsidR="00421421">
        <w:rPr>
          <w:rFonts w:ascii="Tahoma" w:hAnsi="Tahoma" w:cs="Tahoma"/>
          <w:b/>
          <w:sz w:val="24"/>
          <w:szCs w:val="24"/>
        </w:rPr>
        <w:tab/>
      </w:r>
      <w:r w:rsidR="0089504E">
        <w:rPr>
          <w:rFonts w:ascii="Tahoma" w:hAnsi="Tahoma" w:cs="Tahoma"/>
          <w:b/>
          <w:sz w:val="24"/>
          <w:szCs w:val="24"/>
        </w:rPr>
        <w:t>Ms.</w:t>
      </w:r>
      <w:r w:rsidR="006D69C9">
        <w:rPr>
          <w:rFonts w:ascii="Tahoma" w:hAnsi="Tahoma" w:cs="Tahoma"/>
          <w:b/>
          <w:sz w:val="24"/>
          <w:szCs w:val="24"/>
        </w:rPr>
        <w:t xml:space="preserve"> R. Makumbe (Legal Practitioner)</w:t>
      </w:r>
    </w:p>
    <w:p w:rsidR="00176651" w:rsidRPr="009802E9" w:rsidRDefault="00176651" w:rsidP="00B967E0">
      <w:pPr>
        <w:tabs>
          <w:tab w:val="left" w:pos="2160"/>
        </w:tabs>
        <w:spacing w:after="0" w:line="240" w:lineRule="auto"/>
        <w:rPr>
          <w:rFonts w:ascii="Tahoma" w:hAnsi="Tahoma" w:cs="Tahoma"/>
          <w:sz w:val="24"/>
          <w:szCs w:val="24"/>
        </w:rPr>
      </w:pPr>
    </w:p>
    <w:p w:rsidR="00176651" w:rsidRDefault="00176651" w:rsidP="007E6C56">
      <w:pPr>
        <w:spacing w:after="0" w:line="240" w:lineRule="auto"/>
        <w:rPr>
          <w:rFonts w:ascii="Tahoma" w:hAnsi="Tahoma" w:cs="Tahoma"/>
          <w:sz w:val="24"/>
          <w:szCs w:val="24"/>
        </w:rPr>
      </w:pPr>
    </w:p>
    <w:p w:rsidR="00BF6A51" w:rsidRPr="009802E9" w:rsidRDefault="00BF6A51" w:rsidP="007E6C56">
      <w:pPr>
        <w:spacing w:after="0" w:line="240" w:lineRule="auto"/>
        <w:rPr>
          <w:rFonts w:ascii="Tahoma" w:hAnsi="Tahoma" w:cs="Tahoma"/>
          <w:sz w:val="24"/>
          <w:szCs w:val="24"/>
        </w:rPr>
      </w:pPr>
    </w:p>
    <w:p w:rsidR="00244B99" w:rsidRPr="009802E9" w:rsidRDefault="0011530D" w:rsidP="007E6C56">
      <w:pPr>
        <w:spacing w:after="120" w:line="240" w:lineRule="auto"/>
        <w:rPr>
          <w:rFonts w:ascii="Tahoma" w:hAnsi="Tahoma" w:cs="Tahoma"/>
          <w:b/>
          <w:sz w:val="24"/>
          <w:szCs w:val="24"/>
        </w:rPr>
      </w:pPr>
      <w:r w:rsidRPr="009802E9">
        <w:rPr>
          <w:rFonts w:ascii="Tahoma" w:hAnsi="Tahoma" w:cs="Tahoma"/>
          <w:b/>
          <w:sz w:val="24"/>
          <w:szCs w:val="24"/>
        </w:rPr>
        <w:t>M</w:t>
      </w:r>
      <w:r w:rsidR="0014037C" w:rsidRPr="009802E9">
        <w:rPr>
          <w:rFonts w:ascii="Tahoma" w:hAnsi="Tahoma" w:cs="Tahoma"/>
          <w:b/>
          <w:sz w:val="24"/>
          <w:szCs w:val="24"/>
        </w:rPr>
        <w:t>HURI</w:t>
      </w:r>
      <w:r w:rsidRPr="009802E9">
        <w:rPr>
          <w:rFonts w:ascii="Tahoma" w:hAnsi="Tahoma" w:cs="Tahoma"/>
          <w:b/>
          <w:sz w:val="24"/>
          <w:szCs w:val="24"/>
        </w:rPr>
        <w:t xml:space="preserve"> J</w:t>
      </w:r>
      <w:r w:rsidR="00680357" w:rsidRPr="009802E9">
        <w:rPr>
          <w:rFonts w:ascii="Tahoma" w:hAnsi="Tahoma" w:cs="Tahoma"/>
          <w:b/>
          <w:sz w:val="24"/>
          <w:szCs w:val="24"/>
        </w:rPr>
        <w:t>.</w:t>
      </w:r>
    </w:p>
    <w:p w:rsidR="00244B99" w:rsidRDefault="00244B99" w:rsidP="007E6C56">
      <w:pPr>
        <w:spacing w:after="0" w:line="360" w:lineRule="auto"/>
        <w:rPr>
          <w:rFonts w:ascii="Tahoma" w:hAnsi="Tahoma" w:cs="Tahoma"/>
          <w:sz w:val="24"/>
          <w:szCs w:val="24"/>
        </w:rPr>
      </w:pPr>
    </w:p>
    <w:p w:rsidR="00140F14" w:rsidRDefault="00AE3B1E" w:rsidP="00465269">
      <w:pPr>
        <w:spacing w:after="0" w:line="360" w:lineRule="auto"/>
        <w:jc w:val="both"/>
        <w:rPr>
          <w:rFonts w:ascii="Tahoma" w:hAnsi="Tahoma" w:cs="Tahoma"/>
          <w:sz w:val="24"/>
          <w:szCs w:val="24"/>
        </w:rPr>
      </w:pPr>
      <w:r>
        <w:rPr>
          <w:rFonts w:ascii="Tahoma" w:hAnsi="Tahoma" w:cs="Tahoma"/>
          <w:sz w:val="24"/>
          <w:szCs w:val="24"/>
        </w:rPr>
        <w:tab/>
      </w:r>
      <w:r w:rsidR="00465269">
        <w:rPr>
          <w:rFonts w:ascii="Tahoma" w:hAnsi="Tahoma" w:cs="Tahoma"/>
          <w:sz w:val="24"/>
          <w:szCs w:val="24"/>
        </w:rPr>
        <w:t>This is an application in terms of Section 92(F) of the Labour Act [</w:t>
      </w:r>
      <w:r w:rsidR="00465269" w:rsidRPr="00465269">
        <w:rPr>
          <w:rFonts w:ascii="Tahoma" w:hAnsi="Tahoma" w:cs="Tahoma"/>
          <w:i/>
          <w:sz w:val="24"/>
          <w:szCs w:val="24"/>
          <w:u w:val="single"/>
        </w:rPr>
        <w:t>Chapter 28:01</w:t>
      </w:r>
      <w:r w:rsidR="00465269">
        <w:rPr>
          <w:rFonts w:ascii="Tahoma" w:hAnsi="Tahoma" w:cs="Tahoma"/>
          <w:i/>
          <w:sz w:val="24"/>
          <w:szCs w:val="24"/>
        </w:rPr>
        <w:t xml:space="preserve">] </w:t>
      </w:r>
      <w:r w:rsidR="00465269">
        <w:rPr>
          <w:rFonts w:ascii="Tahoma" w:hAnsi="Tahoma" w:cs="Tahoma"/>
          <w:sz w:val="24"/>
          <w:szCs w:val="24"/>
        </w:rPr>
        <w:t xml:space="preserve">for leave to appeal to the Supreme Court against my judgment LC/H/94/19 in which I dismissed applicant’s application for condonation and extension of time within which to apply </w:t>
      </w:r>
      <w:r w:rsidR="005726C3">
        <w:rPr>
          <w:rFonts w:ascii="Tahoma" w:hAnsi="Tahoma" w:cs="Tahoma"/>
          <w:sz w:val="24"/>
          <w:szCs w:val="24"/>
        </w:rPr>
        <w:t>for leave to appeal to the Supreme Court against my other judgment LC/H/469/17 in which I struck off applicant’s appeal for being prematurely before the Court.</w:t>
      </w:r>
    </w:p>
    <w:p w:rsidR="005726C3" w:rsidRDefault="005726C3" w:rsidP="00465269">
      <w:pPr>
        <w:spacing w:after="0" w:line="360" w:lineRule="auto"/>
        <w:jc w:val="both"/>
        <w:rPr>
          <w:rFonts w:ascii="Tahoma" w:hAnsi="Tahoma" w:cs="Tahoma"/>
          <w:sz w:val="24"/>
          <w:szCs w:val="24"/>
        </w:rPr>
      </w:pPr>
    </w:p>
    <w:p w:rsidR="005726C3" w:rsidRDefault="005726C3" w:rsidP="00465269">
      <w:pPr>
        <w:spacing w:after="0" w:line="360" w:lineRule="auto"/>
        <w:jc w:val="both"/>
        <w:rPr>
          <w:rFonts w:ascii="Tahoma" w:hAnsi="Tahoma" w:cs="Tahoma"/>
          <w:sz w:val="24"/>
          <w:szCs w:val="24"/>
        </w:rPr>
      </w:pPr>
      <w:r>
        <w:rPr>
          <w:rFonts w:ascii="Tahoma" w:hAnsi="Tahoma" w:cs="Tahoma"/>
          <w:sz w:val="24"/>
          <w:szCs w:val="24"/>
        </w:rPr>
        <w:tab/>
        <w:t xml:space="preserve">Applicant’s application for leave is basically on the basis that – </w:t>
      </w:r>
    </w:p>
    <w:p w:rsidR="005726C3" w:rsidRDefault="00ED6882" w:rsidP="001F660F">
      <w:pPr>
        <w:pStyle w:val="ListParagraph"/>
        <w:numPr>
          <w:ilvl w:val="0"/>
          <w:numId w:val="14"/>
        </w:numPr>
        <w:spacing w:after="0" w:line="360" w:lineRule="auto"/>
        <w:jc w:val="both"/>
        <w:rPr>
          <w:rFonts w:ascii="Tahoma" w:hAnsi="Tahoma" w:cs="Tahoma"/>
          <w:sz w:val="24"/>
          <w:szCs w:val="24"/>
        </w:rPr>
      </w:pPr>
      <w:r w:rsidRPr="001F660F">
        <w:rPr>
          <w:rFonts w:ascii="Tahoma" w:hAnsi="Tahoma" w:cs="Tahoma"/>
          <w:sz w:val="24"/>
          <w:szCs w:val="24"/>
        </w:rPr>
        <w:t>the Court grossly erred in dismissing her application on the basis of the doctrine of peremption whe</w:t>
      </w:r>
      <w:r w:rsidR="001F660F" w:rsidRPr="001F660F">
        <w:rPr>
          <w:rFonts w:ascii="Tahoma" w:hAnsi="Tahoma" w:cs="Tahoma"/>
          <w:sz w:val="24"/>
          <w:szCs w:val="24"/>
        </w:rPr>
        <w:t xml:space="preserve">n </w:t>
      </w:r>
      <w:r w:rsidRPr="001F660F">
        <w:rPr>
          <w:rFonts w:ascii="Tahoma" w:hAnsi="Tahoma" w:cs="Tahoma"/>
          <w:sz w:val="24"/>
          <w:szCs w:val="24"/>
        </w:rPr>
        <w:t>she was never called upon to address it,</w:t>
      </w:r>
      <w:r w:rsidR="001F660F" w:rsidRPr="001F660F">
        <w:rPr>
          <w:rFonts w:ascii="Tahoma" w:hAnsi="Tahoma" w:cs="Tahoma"/>
          <w:sz w:val="24"/>
          <w:szCs w:val="24"/>
        </w:rPr>
        <w:t xml:space="preserve"> </w:t>
      </w:r>
      <w:r w:rsidRPr="001F660F">
        <w:rPr>
          <w:rFonts w:ascii="Tahoma" w:hAnsi="Tahoma" w:cs="Tahoma"/>
          <w:sz w:val="24"/>
          <w:szCs w:val="24"/>
        </w:rPr>
        <w:t>a</w:t>
      </w:r>
      <w:r w:rsidR="001F660F" w:rsidRPr="001F660F">
        <w:rPr>
          <w:rFonts w:ascii="Tahoma" w:hAnsi="Tahoma" w:cs="Tahoma"/>
          <w:sz w:val="24"/>
          <w:szCs w:val="24"/>
        </w:rPr>
        <w:t>nd respondent had not raised it and further that it was not applicable in her case.</w:t>
      </w:r>
    </w:p>
    <w:p w:rsidR="001F660F" w:rsidRDefault="001F660F" w:rsidP="001F660F">
      <w:pPr>
        <w:pStyle w:val="ListParagraph"/>
        <w:numPr>
          <w:ilvl w:val="0"/>
          <w:numId w:val="14"/>
        </w:numPr>
        <w:spacing w:after="0" w:line="360" w:lineRule="auto"/>
        <w:jc w:val="both"/>
        <w:rPr>
          <w:rFonts w:ascii="Tahoma" w:hAnsi="Tahoma" w:cs="Tahoma"/>
          <w:sz w:val="24"/>
          <w:szCs w:val="24"/>
        </w:rPr>
      </w:pPr>
      <w:r>
        <w:rPr>
          <w:rFonts w:ascii="Tahoma" w:hAnsi="Tahoma" w:cs="Tahoma"/>
          <w:sz w:val="24"/>
          <w:szCs w:val="24"/>
        </w:rPr>
        <w:t xml:space="preserve">There are two conflicting judgments from this court with regards </w:t>
      </w:r>
      <w:r w:rsidR="00394BD9">
        <w:rPr>
          <w:rFonts w:ascii="Tahoma" w:hAnsi="Tahoma" w:cs="Tahoma"/>
          <w:sz w:val="24"/>
          <w:szCs w:val="24"/>
        </w:rPr>
        <w:t>her</w:t>
      </w:r>
      <w:r>
        <w:rPr>
          <w:rFonts w:ascii="Tahoma" w:hAnsi="Tahoma" w:cs="Tahoma"/>
          <w:sz w:val="24"/>
          <w:szCs w:val="24"/>
        </w:rPr>
        <w:t xml:space="preserve"> matter whose legal position needs to be determined by the Supreme Court.</w:t>
      </w:r>
    </w:p>
    <w:p w:rsidR="001F660F" w:rsidRDefault="001F660F" w:rsidP="001F660F">
      <w:pPr>
        <w:spacing w:after="0" w:line="360" w:lineRule="auto"/>
        <w:ind w:left="720"/>
        <w:jc w:val="both"/>
        <w:rPr>
          <w:rFonts w:ascii="Tahoma" w:hAnsi="Tahoma" w:cs="Tahoma"/>
          <w:sz w:val="24"/>
          <w:szCs w:val="24"/>
        </w:rPr>
      </w:pPr>
    </w:p>
    <w:p w:rsidR="001F660F" w:rsidRDefault="001F660F" w:rsidP="001F660F">
      <w:pPr>
        <w:spacing w:after="0" w:line="360" w:lineRule="auto"/>
        <w:ind w:firstLine="720"/>
        <w:jc w:val="both"/>
        <w:rPr>
          <w:rFonts w:ascii="Tahoma" w:hAnsi="Tahoma" w:cs="Tahoma"/>
          <w:sz w:val="24"/>
          <w:szCs w:val="24"/>
        </w:rPr>
      </w:pPr>
      <w:r>
        <w:rPr>
          <w:rFonts w:ascii="Tahoma" w:hAnsi="Tahoma" w:cs="Tahoma"/>
          <w:sz w:val="24"/>
          <w:szCs w:val="24"/>
        </w:rPr>
        <w:lastRenderedPageBreak/>
        <w:t>In view of the above, it was applicant’s submission that she enjoyed good prospects of success on appeal.</w:t>
      </w:r>
    </w:p>
    <w:p w:rsidR="001F660F" w:rsidRDefault="001F660F" w:rsidP="001F660F">
      <w:pPr>
        <w:spacing w:after="0" w:line="360" w:lineRule="auto"/>
        <w:ind w:firstLine="720"/>
        <w:jc w:val="both"/>
        <w:rPr>
          <w:rFonts w:ascii="Tahoma" w:hAnsi="Tahoma" w:cs="Tahoma"/>
          <w:sz w:val="24"/>
          <w:szCs w:val="24"/>
        </w:rPr>
      </w:pPr>
    </w:p>
    <w:p w:rsidR="001F660F" w:rsidRDefault="001F660F" w:rsidP="001F660F">
      <w:pPr>
        <w:spacing w:after="0" w:line="360" w:lineRule="auto"/>
        <w:ind w:firstLine="720"/>
        <w:jc w:val="both"/>
        <w:rPr>
          <w:rFonts w:ascii="Tahoma" w:hAnsi="Tahoma" w:cs="Tahoma"/>
          <w:sz w:val="24"/>
          <w:szCs w:val="24"/>
        </w:rPr>
      </w:pPr>
      <w:r>
        <w:rPr>
          <w:rFonts w:ascii="Tahoma" w:hAnsi="Tahoma" w:cs="Tahoma"/>
          <w:sz w:val="24"/>
          <w:szCs w:val="24"/>
        </w:rPr>
        <w:t xml:space="preserve">In casu, does the applicant have good prospects of success on appeal in order for the Court to grant her the relief she is seeking?  Indeed it is </w:t>
      </w:r>
      <w:proofErr w:type="gramStart"/>
      <w:r>
        <w:rPr>
          <w:rFonts w:ascii="Tahoma" w:hAnsi="Tahoma" w:cs="Tahoma"/>
          <w:sz w:val="24"/>
          <w:szCs w:val="24"/>
        </w:rPr>
        <w:t xml:space="preserve">a well-established legal position that a court should not </w:t>
      </w:r>
      <w:proofErr w:type="spellStart"/>
      <w:r>
        <w:rPr>
          <w:rFonts w:ascii="Tahoma" w:hAnsi="Tahoma" w:cs="Tahoma"/>
          <w:i/>
          <w:sz w:val="24"/>
          <w:szCs w:val="24"/>
        </w:rPr>
        <w:t>mero</w:t>
      </w:r>
      <w:proofErr w:type="spellEnd"/>
      <w:r>
        <w:rPr>
          <w:rFonts w:ascii="Tahoma" w:hAnsi="Tahoma" w:cs="Tahoma"/>
          <w:i/>
          <w:sz w:val="24"/>
          <w:szCs w:val="24"/>
        </w:rPr>
        <w:t xml:space="preserve"> </w:t>
      </w:r>
      <w:proofErr w:type="spellStart"/>
      <w:r>
        <w:rPr>
          <w:rFonts w:ascii="Tahoma" w:hAnsi="Tahoma" w:cs="Tahoma"/>
          <w:i/>
          <w:sz w:val="24"/>
          <w:szCs w:val="24"/>
        </w:rPr>
        <w:t>motu</w:t>
      </w:r>
      <w:proofErr w:type="spellEnd"/>
      <w:r>
        <w:rPr>
          <w:rFonts w:ascii="Tahoma" w:hAnsi="Tahoma" w:cs="Tahoma"/>
          <w:i/>
          <w:sz w:val="24"/>
          <w:szCs w:val="24"/>
        </w:rPr>
        <w:t xml:space="preserve"> </w:t>
      </w:r>
      <w:r>
        <w:rPr>
          <w:rFonts w:ascii="Tahoma" w:hAnsi="Tahoma" w:cs="Tahoma"/>
          <w:sz w:val="24"/>
          <w:szCs w:val="24"/>
        </w:rPr>
        <w:t>make</w:t>
      </w:r>
      <w:proofErr w:type="gramEnd"/>
      <w:r>
        <w:rPr>
          <w:rFonts w:ascii="Tahoma" w:hAnsi="Tahoma" w:cs="Tahoma"/>
          <w:sz w:val="24"/>
          <w:szCs w:val="24"/>
        </w:rPr>
        <w:t xml:space="preserve"> a finding on a matter not raised or argued before it, </w:t>
      </w:r>
    </w:p>
    <w:p w:rsidR="00851C4A" w:rsidRDefault="00851C4A" w:rsidP="00064D80">
      <w:pPr>
        <w:spacing w:after="0" w:line="240" w:lineRule="auto"/>
        <w:ind w:firstLine="720"/>
        <w:jc w:val="both"/>
        <w:rPr>
          <w:rFonts w:ascii="Tahoma" w:hAnsi="Tahoma" w:cs="Tahoma"/>
          <w:b/>
          <w:i/>
          <w:sz w:val="24"/>
          <w:szCs w:val="24"/>
        </w:rPr>
      </w:pPr>
    </w:p>
    <w:p w:rsidR="00851C4A" w:rsidRDefault="00851C4A" w:rsidP="001F660F">
      <w:pPr>
        <w:spacing w:after="0" w:line="360" w:lineRule="auto"/>
        <w:ind w:firstLine="720"/>
        <w:jc w:val="both"/>
        <w:rPr>
          <w:rFonts w:ascii="Tahoma" w:hAnsi="Tahoma" w:cs="Tahoma"/>
          <w:b/>
          <w:i/>
          <w:sz w:val="24"/>
          <w:szCs w:val="24"/>
        </w:rPr>
      </w:pPr>
      <w:r>
        <w:rPr>
          <w:rFonts w:ascii="Tahoma" w:hAnsi="Tahoma" w:cs="Tahoma"/>
          <w:b/>
          <w:i/>
          <w:sz w:val="24"/>
          <w:szCs w:val="24"/>
        </w:rPr>
        <w:t xml:space="preserve">PROTON BAKERY (PRIVATE) LIMITED  </w:t>
      </w:r>
    </w:p>
    <w:p w:rsidR="00851C4A" w:rsidRDefault="00851C4A" w:rsidP="00851C4A">
      <w:pPr>
        <w:spacing w:after="0" w:line="360" w:lineRule="auto"/>
        <w:ind w:left="2160" w:firstLine="720"/>
        <w:jc w:val="both"/>
        <w:rPr>
          <w:rFonts w:ascii="Tahoma" w:hAnsi="Tahoma" w:cs="Tahoma"/>
          <w:b/>
          <w:i/>
          <w:sz w:val="24"/>
          <w:szCs w:val="24"/>
        </w:rPr>
      </w:pPr>
      <w:r>
        <w:rPr>
          <w:rFonts w:ascii="Tahoma" w:hAnsi="Tahoma" w:cs="Tahoma"/>
          <w:b/>
          <w:i/>
          <w:sz w:val="24"/>
          <w:szCs w:val="24"/>
        </w:rPr>
        <w:t xml:space="preserve">vs  </w:t>
      </w:r>
    </w:p>
    <w:p w:rsidR="001F660F" w:rsidRDefault="00851C4A" w:rsidP="00851C4A">
      <w:pPr>
        <w:spacing w:after="0" w:line="360" w:lineRule="auto"/>
        <w:ind w:firstLine="720"/>
        <w:jc w:val="both"/>
        <w:rPr>
          <w:rFonts w:ascii="Tahoma" w:hAnsi="Tahoma" w:cs="Tahoma"/>
          <w:b/>
          <w:i/>
          <w:sz w:val="24"/>
          <w:szCs w:val="24"/>
        </w:rPr>
      </w:pPr>
      <w:r>
        <w:rPr>
          <w:rFonts w:ascii="Tahoma" w:hAnsi="Tahoma" w:cs="Tahoma"/>
          <w:b/>
          <w:i/>
          <w:sz w:val="24"/>
          <w:szCs w:val="24"/>
        </w:rPr>
        <w:t>MIKE TAKAENDESA  SC 126/2004</w:t>
      </w:r>
    </w:p>
    <w:p w:rsidR="00851C4A" w:rsidRDefault="00851C4A" w:rsidP="00064D80">
      <w:pPr>
        <w:spacing w:after="0" w:line="240" w:lineRule="auto"/>
        <w:ind w:firstLine="720"/>
        <w:jc w:val="both"/>
        <w:rPr>
          <w:rFonts w:ascii="Tahoma" w:hAnsi="Tahoma" w:cs="Tahoma"/>
          <w:b/>
          <w:i/>
          <w:sz w:val="24"/>
          <w:szCs w:val="24"/>
        </w:rPr>
      </w:pPr>
    </w:p>
    <w:p w:rsidR="00851C4A" w:rsidRDefault="00851C4A" w:rsidP="00851C4A">
      <w:pPr>
        <w:spacing w:after="0" w:line="360" w:lineRule="auto"/>
        <w:ind w:firstLine="720"/>
        <w:jc w:val="both"/>
        <w:rPr>
          <w:rFonts w:ascii="Tahoma" w:hAnsi="Tahoma" w:cs="Tahoma"/>
          <w:sz w:val="24"/>
          <w:szCs w:val="24"/>
        </w:rPr>
      </w:pPr>
      <w:r>
        <w:rPr>
          <w:rFonts w:ascii="Tahoma" w:hAnsi="Tahoma" w:cs="Tahoma"/>
          <w:sz w:val="24"/>
          <w:szCs w:val="24"/>
        </w:rPr>
        <w:t>The questions that arise then are</w:t>
      </w:r>
      <w:r w:rsidR="00286E02">
        <w:rPr>
          <w:rFonts w:ascii="Tahoma" w:hAnsi="Tahoma" w:cs="Tahoma"/>
          <w:sz w:val="24"/>
          <w:szCs w:val="24"/>
        </w:rPr>
        <w:t>,</w:t>
      </w:r>
      <w:r>
        <w:rPr>
          <w:rFonts w:ascii="Tahoma" w:hAnsi="Tahoma" w:cs="Tahoma"/>
          <w:sz w:val="24"/>
          <w:szCs w:val="24"/>
        </w:rPr>
        <w:t xml:space="preserve"> did the Court err in raising the doctrine of peremption and did it make a finding on it without hearing parties.  If the </w:t>
      </w:r>
      <w:r w:rsidR="00394BD9">
        <w:rPr>
          <w:rFonts w:ascii="Tahoma" w:hAnsi="Tahoma" w:cs="Tahoma"/>
          <w:sz w:val="24"/>
          <w:szCs w:val="24"/>
        </w:rPr>
        <w:t>answer to these is</w:t>
      </w:r>
      <w:r>
        <w:rPr>
          <w:rFonts w:ascii="Tahoma" w:hAnsi="Tahoma" w:cs="Tahoma"/>
          <w:sz w:val="24"/>
          <w:szCs w:val="24"/>
        </w:rPr>
        <w:t xml:space="preserve"> in the </w:t>
      </w:r>
      <w:r w:rsidR="00286E02">
        <w:rPr>
          <w:rFonts w:ascii="Tahoma" w:hAnsi="Tahoma" w:cs="Tahoma"/>
          <w:sz w:val="24"/>
          <w:szCs w:val="24"/>
        </w:rPr>
        <w:t>positive, the applic</w:t>
      </w:r>
      <w:r>
        <w:rPr>
          <w:rFonts w:ascii="Tahoma" w:hAnsi="Tahoma" w:cs="Tahoma"/>
          <w:sz w:val="24"/>
          <w:szCs w:val="24"/>
        </w:rPr>
        <w:t>ant has good prospects of success on appeal.</w:t>
      </w:r>
    </w:p>
    <w:p w:rsidR="00851C4A" w:rsidRDefault="00851C4A" w:rsidP="00851C4A">
      <w:pPr>
        <w:spacing w:after="0" w:line="360" w:lineRule="auto"/>
        <w:ind w:firstLine="720"/>
        <w:jc w:val="both"/>
        <w:rPr>
          <w:rFonts w:ascii="Tahoma" w:hAnsi="Tahoma" w:cs="Tahoma"/>
          <w:sz w:val="24"/>
          <w:szCs w:val="24"/>
        </w:rPr>
      </w:pPr>
    </w:p>
    <w:p w:rsidR="00851C4A" w:rsidRDefault="00064D80" w:rsidP="00851C4A">
      <w:pPr>
        <w:spacing w:after="0" w:line="360" w:lineRule="auto"/>
        <w:ind w:firstLine="720"/>
        <w:jc w:val="both"/>
        <w:rPr>
          <w:rFonts w:ascii="Tahoma" w:hAnsi="Tahoma" w:cs="Tahoma"/>
          <w:sz w:val="24"/>
          <w:szCs w:val="24"/>
        </w:rPr>
      </w:pPr>
      <w:r>
        <w:rPr>
          <w:rFonts w:ascii="Tahoma" w:hAnsi="Tahoma" w:cs="Tahoma"/>
          <w:sz w:val="24"/>
          <w:szCs w:val="24"/>
        </w:rPr>
        <w:t>As submitted by respondent which position was not disputed by applicant, whe</w:t>
      </w:r>
      <w:r w:rsidR="004F0AEF">
        <w:rPr>
          <w:rFonts w:ascii="Tahoma" w:hAnsi="Tahoma" w:cs="Tahoma"/>
          <w:sz w:val="24"/>
          <w:szCs w:val="24"/>
        </w:rPr>
        <w:t>re a point i</w:t>
      </w:r>
      <w:r>
        <w:rPr>
          <w:rFonts w:ascii="Tahoma" w:hAnsi="Tahoma" w:cs="Tahoma"/>
          <w:sz w:val="24"/>
          <w:szCs w:val="24"/>
        </w:rPr>
        <w:t>s apparent on</w:t>
      </w:r>
      <w:r w:rsidR="004F0AEF">
        <w:rPr>
          <w:rFonts w:ascii="Tahoma" w:hAnsi="Tahoma" w:cs="Tahoma"/>
          <w:sz w:val="24"/>
          <w:szCs w:val="24"/>
        </w:rPr>
        <w:t xml:space="preserve"> the papers but the parties proceed on a wrong perception of the law the court is entitled and obliged to raise the point of law </w:t>
      </w:r>
      <w:r w:rsidR="004F0AEF" w:rsidRPr="004F0AEF">
        <w:rPr>
          <w:rFonts w:ascii="Tahoma" w:hAnsi="Tahoma" w:cs="Tahoma"/>
          <w:i/>
          <w:sz w:val="24"/>
          <w:szCs w:val="24"/>
        </w:rPr>
        <w:t>mero motu</w:t>
      </w:r>
      <w:r w:rsidR="004F0AEF">
        <w:rPr>
          <w:rFonts w:ascii="Tahoma" w:hAnsi="Tahoma" w:cs="Tahoma"/>
          <w:i/>
          <w:sz w:val="24"/>
          <w:szCs w:val="24"/>
        </w:rPr>
        <w:t xml:space="preserve"> </w:t>
      </w:r>
      <w:r w:rsidR="004F0AEF">
        <w:rPr>
          <w:rFonts w:ascii="Tahoma" w:hAnsi="Tahoma" w:cs="Tahoma"/>
          <w:sz w:val="24"/>
          <w:szCs w:val="24"/>
        </w:rPr>
        <w:t>and allow the parties to submit on it.</w:t>
      </w:r>
    </w:p>
    <w:p w:rsidR="004F0AEF" w:rsidRDefault="004F0AEF" w:rsidP="00851C4A">
      <w:pPr>
        <w:spacing w:after="0" w:line="360" w:lineRule="auto"/>
        <w:ind w:firstLine="720"/>
        <w:jc w:val="both"/>
        <w:rPr>
          <w:rFonts w:ascii="Tahoma" w:hAnsi="Tahoma" w:cs="Tahoma"/>
          <w:sz w:val="24"/>
          <w:szCs w:val="24"/>
        </w:rPr>
      </w:pPr>
    </w:p>
    <w:p w:rsidR="004F0AEF" w:rsidRPr="004F0AEF" w:rsidRDefault="004F0AEF" w:rsidP="00851C4A">
      <w:pPr>
        <w:spacing w:after="0" w:line="360" w:lineRule="auto"/>
        <w:ind w:firstLine="720"/>
        <w:jc w:val="both"/>
        <w:rPr>
          <w:rFonts w:ascii="Tahoma" w:hAnsi="Tahoma" w:cs="Tahoma"/>
          <w:sz w:val="24"/>
          <w:szCs w:val="24"/>
        </w:rPr>
      </w:pPr>
      <w:r>
        <w:rPr>
          <w:rFonts w:ascii="Tahoma" w:hAnsi="Tahoma" w:cs="Tahoma"/>
          <w:sz w:val="24"/>
          <w:szCs w:val="24"/>
        </w:rPr>
        <w:t>Reliance was made on the quotation of in the case of</w:t>
      </w:r>
    </w:p>
    <w:p w:rsidR="001F660F" w:rsidRPr="004F0AEF" w:rsidRDefault="004F0AEF" w:rsidP="001F660F">
      <w:pPr>
        <w:spacing w:after="0" w:line="360" w:lineRule="auto"/>
        <w:jc w:val="both"/>
        <w:rPr>
          <w:rFonts w:ascii="Tahoma" w:hAnsi="Tahoma" w:cs="Tahoma"/>
          <w:b/>
          <w:i/>
          <w:sz w:val="24"/>
          <w:szCs w:val="24"/>
        </w:rPr>
      </w:pPr>
      <w:r>
        <w:rPr>
          <w:rFonts w:ascii="Tahoma" w:hAnsi="Tahoma" w:cs="Tahoma"/>
          <w:sz w:val="24"/>
          <w:szCs w:val="24"/>
        </w:rPr>
        <w:tab/>
      </w:r>
      <w:r>
        <w:rPr>
          <w:rFonts w:ascii="Tahoma" w:hAnsi="Tahoma" w:cs="Tahoma"/>
          <w:b/>
          <w:i/>
          <w:sz w:val="24"/>
          <w:szCs w:val="24"/>
        </w:rPr>
        <w:t>CUSA  vs  TAO YING METAL INDUSTRIES 2009 (2) SA 204</w:t>
      </w:r>
    </w:p>
    <w:p w:rsidR="00465269" w:rsidRDefault="004F0AEF" w:rsidP="00465269">
      <w:pPr>
        <w:spacing w:after="0" w:line="360" w:lineRule="auto"/>
        <w:jc w:val="both"/>
        <w:rPr>
          <w:rFonts w:ascii="Tahoma" w:hAnsi="Tahoma" w:cs="Tahoma"/>
          <w:sz w:val="24"/>
          <w:szCs w:val="24"/>
        </w:rPr>
      </w:pPr>
      <w:r>
        <w:rPr>
          <w:rFonts w:ascii="Tahoma" w:hAnsi="Tahoma" w:cs="Tahoma"/>
          <w:sz w:val="24"/>
          <w:szCs w:val="24"/>
        </w:rPr>
        <w:t>to the effect that:</w:t>
      </w:r>
    </w:p>
    <w:p w:rsidR="004F0AEF" w:rsidRPr="00325E1B" w:rsidRDefault="004F0AEF" w:rsidP="00325E1B">
      <w:pPr>
        <w:spacing w:after="0" w:line="360" w:lineRule="auto"/>
        <w:ind w:left="720"/>
        <w:jc w:val="both"/>
        <w:rPr>
          <w:rFonts w:ascii="Times New Roman" w:hAnsi="Times New Roman" w:cs="Times New Roman"/>
          <w:i/>
          <w:sz w:val="24"/>
          <w:szCs w:val="24"/>
        </w:rPr>
      </w:pPr>
      <w:r w:rsidRPr="00325E1B">
        <w:rPr>
          <w:rFonts w:ascii="Times New Roman" w:hAnsi="Times New Roman" w:cs="Times New Roman"/>
          <w:i/>
          <w:sz w:val="24"/>
          <w:szCs w:val="24"/>
        </w:rPr>
        <w:t>“……</w:t>
      </w:r>
      <w:r w:rsidR="00325E1B" w:rsidRPr="00325E1B">
        <w:rPr>
          <w:rFonts w:ascii="Times New Roman" w:hAnsi="Times New Roman" w:cs="Times New Roman"/>
          <w:i/>
          <w:sz w:val="24"/>
          <w:szCs w:val="24"/>
        </w:rPr>
        <w:t>..</w:t>
      </w:r>
      <w:r w:rsidRPr="00325E1B">
        <w:rPr>
          <w:rFonts w:ascii="Times New Roman" w:hAnsi="Times New Roman" w:cs="Times New Roman"/>
          <w:i/>
          <w:sz w:val="24"/>
          <w:szCs w:val="24"/>
        </w:rPr>
        <w:t>These principles are, however subject to one qualification.</w:t>
      </w:r>
      <w:r w:rsidR="00325E1B" w:rsidRPr="00325E1B">
        <w:rPr>
          <w:rFonts w:ascii="Times New Roman" w:hAnsi="Times New Roman" w:cs="Times New Roman"/>
          <w:i/>
          <w:sz w:val="24"/>
          <w:szCs w:val="24"/>
        </w:rPr>
        <w:t xml:space="preserve">  </w:t>
      </w:r>
      <w:r w:rsidRPr="00325E1B">
        <w:rPr>
          <w:rFonts w:ascii="Times New Roman" w:hAnsi="Times New Roman" w:cs="Times New Roman"/>
          <w:i/>
          <w:sz w:val="24"/>
          <w:szCs w:val="24"/>
        </w:rPr>
        <w:t xml:space="preserve">Where a point of law is apparent on the papers, but the common approach of the parties proceeds on a wrong perception of what the law is a court is not only entitled, but is in fact also obliged, mero motu, </w:t>
      </w:r>
      <w:r w:rsidR="00286E02">
        <w:rPr>
          <w:rFonts w:ascii="Times New Roman" w:hAnsi="Times New Roman" w:cs="Times New Roman"/>
          <w:i/>
          <w:sz w:val="24"/>
          <w:szCs w:val="24"/>
        </w:rPr>
        <w:t>to raise the point of</w:t>
      </w:r>
      <w:r w:rsidR="00325E1B" w:rsidRPr="00325E1B">
        <w:rPr>
          <w:rFonts w:ascii="Times New Roman" w:hAnsi="Times New Roman" w:cs="Times New Roman"/>
          <w:i/>
          <w:sz w:val="24"/>
          <w:szCs w:val="24"/>
        </w:rPr>
        <w:t xml:space="preserve"> law and require the parties to deal therewith.  Otherwise, the result would be a decision premised on an incorrect application of the law. ………..”</w:t>
      </w:r>
    </w:p>
    <w:p w:rsidR="00465269" w:rsidRDefault="00465269" w:rsidP="00465269">
      <w:pPr>
        <w:spacing w:after="0" w:line="360" w:lineRule="auto"/>
        <w:jc w:val="both"/>
        <w:rPr>
          <w:rFonts w:ascii="Tahoma" w:hAnsi="Tahoma" w:cs="Tahoma"/>
          <w:sz w:val="24"/>
          <w:szCs w:val="24"/>
        </w:rPr>
      </w:pPr>
    </w:p>
    <w:p w:rsidR="00465269" w:rsidRDefault="00325E1B" w:rsidP="00465269">
      <w:pPr>
        <w:spacing w:after="0" w:line="360" w:lineRule="auto"/>
        <w:jc w:val="both"/>
        <w:rPr>
          <w:rFonts w:ascii="Tahoma" w:hAnsi="Tahoma" w:cs="Tahoma"/>
          <w:sz w:val="24"/>
          <w:szCs w:val="24"/>
        </w:rPr>
      </w:pPr>
      <w:r>
        <w:rPr>
          <w:rFonts w:ascii="Tahoma" w:hAnsi="Tahoma" w:cs="Tahoma"/>
          <w:sz w:val="24"/>
          <w:szCs w:val="24"/>
        </w:rPr>
        <w:tab/>
        <w:t xml:space="preserve">Reliance was also made on the case of – </w:t>
      </w:r>
    </w:p>
    <w:p w:rsidR="00325E1B" w:rsidRDefault="00325E1B" w:rsidP="00465269">
      <w:pPr>
        <w:spacing w:after="0" w:line="360" w:lineRule="auto"/>
        <w:jc w:val="both"/>
        <w:rPr>
          <w:rFonts w:ascii="Tahoma" w:hAnsi="Tahoma" w:cs="Tahoma"/>
          <w:b/>
          <w:i/>
          <w:sz w:val="24"/>
          <w:szCs w:val="24"/>
        </w:rPr>
      </w:pPr>
      <w:r>
        <w:rPr>
          <w:rFonts w:ascii="Tahoma" w:hAnsi="Tahoma" w:cs="Tahoma"/>
          <w:sz w:val="24"/>
          <w:szCs w:val="24"/>
        </w:rPr>
        <w:tab/>
      </w:r>
      <w:proofErr w:type="gramStart"/>
      <w:r>
        <w:rPr>
          <w:rFonts w:ascii="Tahoma" w:hAnsi="Tahoma" w:cs="Tahoma"/>
          <w:b/>
          <w:i/>
          <w:sz w:val="24"/>
          <w:szCs w:val="24"/>
        </w:rPr>
        <w:t xml:space="preserve">MASHANGWA </w:t>
      </w:r>
      <w:r w:rsidR="00240F30">
        <w:rPr>
          <w:rFonts w:ascii="Tahoma" w:hAnsi="Tahoma" w:cs="Tahoma"/>
          <w:b/>
          <w:i/>
          <w:sz w:val="24"/>
          <w:szCs w:val="24"/>
        </w:rPr>
        <w:t xml:space="preserve"> vs</w:t>
      </w:r>
      <w:proofErr w:type="gramEnd"/>
      <w:r>
        <w:rPr>
          <w:rFonts w:ascii="Tahoma" w:hAnsi="Tahoma" w:cs="Tahoma"/>
          <w:b/>
          <w:i/>
          <w:sz w:val="24"/>
          <w:szCs w:val="24"/>
        </w:rPr>
        <w:t xml:space="preserve"> </w:t>
      </w:r>
      <w:r w:rsidR="00240F30">
        <w:rPr>
          <w:rFonts w:ascii="Tahoma" w:hAnsi="Tahoma" w:cs="Tahoma"/>
          <w:b/>
          <w:i/>
          <w:sz w:val="24"/>
          <w:szCs w:val="24"/>
        </w:rPr>
        <w:t xml:space="preserve"> </w:t>
      </w:r>
      <w:r>
        <w:rPr>
          <w:rFonts w:ascii="Tahoma" w:hAnsi="Tahoma" w:cs="Tahoma"/>
          <w:b/>
          <w:i/>
          <w:sz w:val="24"/>
          <w:szCs w:val="24"/>
        </w:rPr>
        <w:t>AS</w:t>
      </w:r>
      <w:r w:rsidR="00286E02">
        <w:rPr>
          <w:rFonts w:ascii="Tahoma" w:hAnsi="Tahoma" w:cs="Tahoma"/>
          <w:b/>
          <w:i/>
          <w:sz w:val="24"/>
          <w:szCs w:val="24"/>
        </w:rPr>
        <w:t>H</w:t>
      </w:r>
      <w:r>
        <w:rPr>
          <w:rFonts w:ascii="Tahoma" w:hAnsi="Tahoma" w:cs="Tahoma"/>
          <w:b/>
          <w:i/>
          <w:sz w:val="24"/>
          <w:szCs w:val="24"/>
        </w:rPr>
        <w:t>BY</w:t>
      </w:r>
      <w:r w:rsidR="00286E02">
        <w:rPr>
          <w:rFonts w:ascii="Tahoma" w:hAnsi="Tahoma" w:cs="Tahoma"/>
          <w:b/>
          <w:i/>
          <w:sz w:val="24"/>
          <w:szCs w:val="24"/>
        </w:rPr>
        <w:t xml:space="preserve">  </w:t>
      </w:r>
      <w:r>
        <w:rPr>
          <w:rFonts w:ascii="Tahoma" w:hAnsi="Tahoma" w:cs="Tahoma"/>
          <w:b/>
          <w:i/>
          <w:sz w:val="24"/>
          <w:szCs w:val="24"/>
        </w:rPr>
        <w:t xml:space="preserve"> HH</w:t>
      </w:r>
      <w:r w:rsidR="00286E02">
        <w:rPr>
          <w:rFonts w:ascii="Tahoma" w:hAnsi="Tahoma" w:cs="Tahoma"/>
          <w:b/>
          <w:i/>
          <w:sz w:val="24"/>
          <w:szCs w:val="24"/>
        </w:rPr>
        <w:t xml:space="preserve"> </w:t>
      </w:r>
      <w:r>
        <w:rPr>
          <w:rFonts w:ascii="Tahoma" w:hAnsi="Tahoma" w:cs="Tahoma"/>
          <w:b/>
          <w:i/>
          <w:sz w:val="24"/>
          <w:szCs w:val="24"/>
        </w:rPr>
        <w:t xml:space="preserve">526/18 </w:t>
      </w:r>
    </w:p>
    <w:p w:rsidR="00240F30" w:rsidRPr="009C5C1A" w:rsidRDefault="00286E02" w:rsidP="00465269">
      <w:pPr>
        <w:spacing w:after="0" w:line="360" w:lineRule="auto"/>
        <w:jc w:val="both"/>
        <w:rPr>
          <w:rFonts w:ascii="Tahoma" w:hAnsi="Tahoma" w:cs="Tahoma"/>
          <w:sz w:val="24"/>
          <w:szCs w:val="24"/>
        </w:rPr>
      </w:pPr>
      <w:proofErr w:type="gramStart"/>
      <w:r>
        <w:rPr>
          <w:rFonts w:ascii="Tahoma" w:hAnsi="Tahoma" w:cs="Tahoma"/>
          <w:sz w:val="24"/>
          <w:szCs w:val="24"/>
        </w:rPr>
        <w:t>in</w:t>
      </w:r>
      <w:proofErr w:type="gramEnd"/>
      <w:r>
        <w:rPr>
          <w:rFonts w:ascii="Tahoma" w:hAnsi="Tahoma" w:cs="Tahoma"/>
          <w:sz w:val="24"/>
          <w:szCs w:val="24"/>
        </w:rPr>
        <w:t xml:space="preserve"> which CHITAPI J. relying o</w:t>
      </w:r>
      <w:r w:rsidR="00240F30">
        <w:rPr>
          <w:rFonts w:ascii="Tahoma" w:hAnsi="Tahoma" w:cs="Tahoma"/>
          <w:sz w:val="24"/>
          <w:szCs w:val="24"/>
        </w:rPr>
        <w:t xml:space="preserve">n the </w:t>
      </w:r>
      <w:r w:rsidR="00240F30">
        <w:rPr>
          <w:rFonts w:ascii="Tahoma" w:hAnsi="Tahoma" w:cs="Tahoma"/>
          <w:b/>
          <w:i/>
          <w:sz w:val="24"/>
          <w:szCs w:val="24"/>
        </w:rPr>
        <w:t xml:space="preserve">CUSA vs TAO YING </w:t>
      </w:r>
      <w:r w:rsidR="00240F30" w:rsidRPr="00240F30">
        <w:rPr>
          <w:rFonts w:ascii="Tahoma" w:hAnsi="Tahoma" w:cs="Tahoma"/>
          <w:sz w:val="24"/>
          <w:szCs w:val="24"/>
        </w:rPr>
        <w:t>case (supra)</w:t>
      </w:r>
      <w:r w:rsidR="00240F30">
        <w:rPr>
          <w:rFonts w:ascii="Tahoma" w:hAnsi="Tahoma" w:cs="Tahoma"/>
          <w:i/>
          <w:sz w:val="24"/>
          <w:szCs w:val="24"/>
        </w:rPr>
        <w:t xml:space="preserve"> </w:t>
      </w:r>
      <w:r w:rsidR="00240F30" w:rsidRPr="009C5C1A">
        <w:rPr>
          <w:rFonts w:ascii="Tahoma" w:hAnsi="Tahoma" w:cs="Tahoma"/>
          <w:sz w:val="24"/>
          <w:szCs w:val="24"/>
        </w:rPr>
        <w:t xml:space="preserve">stated </w:t>
      </w:r>
    </w:p>
    <w:p w:rsidR="00240F30" w:rsidRPr="009C5C1A" w:rsidRDefault="00240F30" w:rsidP="009C5C1A">
      <w:pPr>
        <w:spacing w:after="0" w:line="360" w:lineRule="auto"/>
        <w:ind w:left="720" w:firstLine="720"/>
        <w:jc w:val="both"/>
        <w:rPr>
          <w:rFonts w:ascii="Times New Roman" w:hAnsi="Times New Roman" w:cs="Times New Roman"/>
          <w:i/>
          <w:sz w:val="24"/>
          <w:szCs w:val="24"/>
        </w:rPr>
      </w:pPr>
      <w:r w:rsidRPr="009C5C1A">
        <w:rPr>
          <w:rFonts w:ascii="Times New Roman" w:hAnsi="Times New Roman" w:cs="Times New Roman"/>
          <w:i/>
          <w:sz w:val="24"/>
          <w:szCs w:val="24"/>
        </w:rPr>
        <w:t>“A point of law can be raised by coun</w:t>
      </w:r>
      <w:r w:rsidR="009C5C1A" w:rsidRPr="009C5C1A">
        <w:rPr>
          <w:rFonts w:ascii="Times New Roman" w:hAnsi="Times New Roman" w:cs="Times New Roman"/>
          <w:i/>
          <w:sz w:val="24"/>
          <w:szCs w:val="24"/>
        </w:rPr>
        <w:t>sel for the parties or mero motu by the court even if it has not been dealt with in the papers.  The court should be able to raise the point of law because it is a court of law and a court of law has a duty to make a decision based on and informed by law…………”</w:t>
      </w:r>
    </w:p>
    <w:p w:rsidR="00465269" w:rsidRDefault="00465269" w:rsidP="00465269">
      <w:pPr>
        <w:spacing w:after="0" w:line="360" w:lineRule="auto"/>
        <w:jc w:val="both"/>
        <w:rPr>
          <w:rFonts w:ascii="Tahoma" w:hAnsi="Tahoma" w:cs="Tahoma"/>
          <w:sz w:val="24"/>
          <w:szCs w:val="24"/>
        </w:rPr>
      </w:pPr>
    </w:p>
    <w:p w:rsidR="00465269" w:rsidRDefault="009C5C1A" w:rsidP="00465269">
      <w:pPr>
        <w:spacing w:after="0" w:line="360" w:lineRule="auto"/>
        <w:jc w:val="both"/>
        <w:rPr>
          <w:rFonts w:ascii="Tahoma" w:hAnsi="Tahoma" w:cs="Tahoma"/>
          <w:sz w:val="24"/>
          <w:szCs w:val="24"/>
        </w:rPr>
      </w:pPr>
      <w:r>
        <w:rPr>
          <w:rFonts w:ascii="Tahoma" w:hAnsi="Tahoma" w:cs="Tahoma"/>
          <w:sz w:val="24"/>
          <w:szCs w:val="24"/>
        </w:rPr>
        <w:tab/>
        <w:t>A reading of the judgment LC/H/94/19 which applicant wants impugned, shows the steps applicant took and did in compliance with the court’s judgment LC/H/469/17.  She complied with the judgment thou</w:t>
      </w:r>
      <w:r w:rsidR="00B15261">
        <w:rPr>
          <w:rFonts w:ascii="Tahoma" w:hAnsi="Tahoma" w:cs="Tahoma"/>
          <w:sz w:val="24"/>
          <w:szCs w:val="24"/>
        </w:rPr>
        <w:t>gh</w:t>
      </w:r>
      <w:r>
        <w:rPr>
          <w:rFonts w:ascii="Tahoma" w:hAnsi="Tahoma" w:cs="Tahoma"/>
          <w:sz w:val="24"/>
          <w:szCs w:val="24"/>
        </w:rPr>
        <w:t xml:space="preserve"> without success in all her endeavours.</w:t>
      </w:r>
      <w:r w:rsidR="00B15261">
        <w:rPr>
          <w:rFonts w:ascii="Tahoma" w:hAnsi="Tahoma" w:cs="Tahoma"/>
          <w:sz w:val="24"/>
          <w:szCs w:val="24"/>
        </w:rPr>
        <w:t xml:space="preserve">  Indeed respondent did not raise this in its response and main submissions.  The court however picked it up after observing what the applicant had done and questioned the applicant on it.  The applicant responded to the question posed by the court.  In as much as the doctrine was not specifically mentioned by name “peremption”, the principle was identifiable from the facts and sequence of events.  As respondent put it, just because the applicant did not recognise the doctrine when the question was put across to her, it does not mean the court did not give her the opportunity</w:t>
      </w:r>
      <w:r w:rsidR="00974028">
        <w:rPr>
          <w:rFonts w:ascii="Tahoma" w:hAnsi="Tahoma" w:cs="Tahoma"/>
          <w:sz w:val="24"/>
          <w:szCs w:val="24"/>
        </w:rPr>
        <w:t xml:space="preserve"> to address the same.</w:t>
      </w:r>
    </w:p>
    <w:p w:rsidR="00974028" w:rsidRDefault="00974028" w:rsidP="00465269">
      <w:pPr>
        <w:spacing w:after="0" w:line="360" w:lineRule="auto"/>
        <w:jc w:val="both"/>
        <w:rPr>
          <w:rFonts w:ascii="Tahoma" w:hAnsi="Tahoma" w:cs="Tahoma"/>
          <w:sz w:val="24"/>
          <w:szCs w:val="24"/>
        </w:rPr>
      </w:pPr>
    </w:p>
    <w:p w:rsidR="00974028" w:rsidRDefault="00974028" w:rsidP="00465269">
      <w:pPr>
        <w:spacing w:after="0" w:line="360" w:lineRule="auto"/>
        <w:jc w:val="both"/>
        <w:rPr>
          <w:rFonts w:ascii="Tahoma" w:hAnsi="Tahoma" w:cs="Tahoma"/>
          <w:sz w:val="24"/>
          <w:szCs w:val="24"/>
        </w:rPr>
      </w:pPr>
      <w:r>
        <w:rPr>
          <w:rFonts w:ascii="Tahoma" w:hAnsi="Tahoma" w:cs="Tahoma"/>
          <w:sz w:val="24"/>
          <w:szCs w:val="24"/>
        </w:rPr>
        <w:tab/>
        <w:t xml:space="preserve">In view of the fact that the court can raise a point of law </w:t>
      </w:r>
      <w:r w:rsidRPr="00974028">
        <w:rPr>
          <w:rFonts w:ascii="Tahoma" w:hAnsi="Tahoma" w:cs="Tahoma"/>
          <w:i/>
          <w:sz w:val="24"/>
          <w:szCs w:val="24"/>
        </w:rPr>
        <w:t>mero motu</w:t>
      </w:r>
      <w:r>
        <w:rPr>
          <w:rFonts w:ascii="Tahoma" w:hAnsi="Tahoma" w:cs="Tahoma"/>
          <w:sz w:val="24"/>
          <w:szCs w:val="24"/>
        </w:rPr>
        <w:t xml:space="preserve"> and that the applicant was given an opportunity to address on it through the questions asked, I find that this ground does not enjoy any prospect of success.</w:t>
      </w:r>
    </w:p>
    <w:p w:rsidR="00974028" w:rsidRDefault="00974028" w:rsidP="00465269">
      <w:pPr>
        <w:spacing w:after="0" w:line="360" w:lineRule="auto"/>
        <w:jc w:val="both"/>
        <w:rPr>
          <w:rFonts w:ascii="Tahoma" w:hAnsi="Tahoma" w:cs="Tahoma"/>
          <w:sz w:val="24"/>
          <w:szCs w:val="24"/>
        </w:rPr>
      </w:pPr>
    </w:p>
    <w:p w:rsidR="00974028" w:rsidRDefault="00974028" w:rsidP="00465269">
      <w:pPr>
        <w:spacing w:after="0" w:line="360" w:lineRule="auto"/>
        <w:jc w:val="both"/>
        <w:rPr>
          <w:rFonts w:ascii="Tahoma" w:hAnsi="Tahoma" w:cs="Tahoma"/>
          <w:sz w:val="24"/>
          <w:szCs w:val="24"/>
        </w:rPr>
      </w:pPr>
      <w:r>
        <w:rPr>
          <w:rFonts w:ascii="Tahoma" w:hAnsi="Tahoma" w:cs="Tahoma"/>
          <w:sz w:val="24"/>
          <w:szCs w:val="24"/>
        </w:rPr>
        <w:tab/>
      </w:r>
      <w:r w:rsidR="00286E02">
        <w:rPr>
          <w:rFonts w:ascii="Tahoma" w:hAnsi="Tahoma" w:cs="Tahoma"/>
          <w:sz w:val="24"/>
          <w:szCs w:val="24"/>
        </w:rPr>
        <w:t>I now turn to</w:t>
      </w:r>
      <w:r>
        <w:rPr>
          <w:rFonts w:ascii="Tahoma" w:hAnsi="Tahoma" w:cs="Tahoma"/>
          <w:sz w:val="24"/>
          <w:szCs w:val="24"/>
        </w:rPr>
        <w:t xml:space="preserve"> the other ground that there are 2 conflicting judgments of this court namely, one by Chivizhe J and the other by Mhuri J. both relating to the applicability of section 8 of the Model Code</w:t>
      </w:r>
      <w:r w:rsidR="00286E02">
        <w:rPr>
          <w:rFonts w:ascii="Tahoma" w:hAnsi="Tahoma" w:cs="Tahoma"/>
          <w:sz w:val="24"/>
          <w:szCs w:val="24"/>
        </w:rPr>
        <w:t>,</w:t>
      </w:r>
      <w:r>
        <w:rPr>
          <w:rFonts w:ascii="Tahoma" w:hAnsi="Tahoma" w:cs="Tahoma"/>
          <w:sz w:val="24"/>
          <w:szCs w:val="24"/>
        </w:rPr>
        <w:t xml:space="preserve"> Statutory Instrument 232/2006, </w:t>
      </w:r>
      <w:r w:rsidR="00286E02">
        <w:rPr>
          <w:rFonts w:ascii="Tahoma" w:hAnsi="Tahoma" w:cs="Tahoma"/>
          <w:sz w:val="24"/>
          <w:szCs w:val="24"/>
        </w:rPr>
        <w:t xml:space="preserve">that </w:t>
      </w:r>
      <w:r>
        <w:rPr>
          <w:rFonts w:ascii="Tahoma" w:hAnsi="Tahoma" w:cs="Tahoma"/>
          <w:sz w:val="24"/>
          <w:szCs w:val="24"/>
        </w:rPr>
        <w:t>a clear position should be pronounced by the Supreme Court.</w:t>
      </w:r>
    </w:p>
    <w:p w:rsidR="00974028" w:rsidRDefault="00974028" w:rsidP="00465269">
      <w:pPr>
        <w:spacing w:after="0" w:line="360" w:lineRule="auto"/>
        <w:jc w:val="both"/>
        <w:rPr>
          <w:rFonts w:ascii="Tahoma" w:hAnsi="Tahoma" w:cs="Tahoma"/>
          <w:sz w:val="24"/>
          <w:szCs w:val="24"/>
        </w:rPr>
      </w:pPr>
    </w:p>
    <w:p w:rsidR="00974028" w:rsidRDefault="00974028" w:rsidP="00465269">
      <w:pPr>
        <w:spacing w:after="0" w:line="360" w:lineRule="auto"/>
        <w:jc w:val="both"/>
        <w:rPr>
          <w:rFonts w:ascii="Tahoma" w:hAnsi="Tahoma" w:cs="Tahoma"/>
          <w:sz w:val="24"/>
          <w:szCs w:val="24"/>
        </w:rPr>
      </w:pPr>
      <w:r>
        <w:rPr>
          <w:rFonts w:ascii="Tahoma" w:hAnsi="Tahoma" w:cs="Tahoma"/>
          <w:sz w:val="24"/>
          <w:szCs w:val="24"/>
        </w:rPr>
        <w:tab/>
        <w:t xml:space="preserve">Admittedly the two </w:t>
      </w:r>
      <w:r w:rsidR="00B501D2">
        <w:rPr>
          <w:rFonts w:ascii="Tahoma" w:hAnsi="Tahoma" w:cs="Tahoma"/>
          <w:sz w:val="24"/>
          <w:szCs w:val="24"/>
        </w:rPr>
        <w:t>judgments:</w:t>
      </w:r>
    </w:p>
    <w:p w:rsidR="00B501D2" w:rsidRDefault="00B501D2" w:rsidP="00465269">
      <w:pPr>
        <w:spacing w:after="0" w:line="360" w:lineRule="auto"/>
        <w:jc w:val="both"/>
        <w:rPr>
          <w:rFonts w:ascii="Tahoma" w:hAnsi="Tahoma" w:cs="Tahoma"/>
          <w:b/>
          <w:i/>
          <w:sz w:val="24"/>
          <w:szCs w:val="24"/>
        </w:rPr>
      </w:pPr>
      <w:r>
        <w:rPr>
          <w:rFonts w:ascii="Tahoma" w:hAnsi="Tahoma" w:cs="Tahoma"/>
          <w:sz w:val="24"/>
          <w:szCs w:val="24"/>
        </w:rPr>
        <w:tab/>
      </w:r>
      <w:r>
        <w:rPr>
          <w:rFonts w:ascii="Tahoma" w:hAnsi="Tahoma" w:cs="Tahoma"/>
          <w:b/>
          <w:i/>
          <w:sz w:val="24"/>
          <w:szCs w:val="24"/>
        </w:rPr>
        <w:t>MARANATHA FERROCHROME (PRIVATE) LIMITED</w:t>
      </w:r>
    </w:p>
    <w:p w:rsidR="00B501D2" w:rsidRDefault="00B501D2" w:rsidP="00465269">
      <w:pPr>
        <w:spacing w:after="0" w:line="360" w:lineRule="auto"/>
        <w:jc w:val="both"/>
        <w:rPr>
          <w:rFonts w:ascii="Tahoma" w:hAnsi="Tahoma" w:cs="Tahoma"/>
          <w:b/>
          <w:i/>
          <w:sz w:val="24"/>
          <w:szCs w:val="24"/>
        </w:rPr>
      </w:pPr>
      <w:r>
        <w:rPr>
          <w:rFonts w:ascii="Tahoma" w:hAnsi="Tahoma" w:cs="Tahoma"/>
          <w:b/>
          <w:i/>
          <w:sz w:val="24"/>
          <w:szCs w:val="24"/>
        </w:rPr>
        <w:tab/>
      </w:r>
      <w:r>
        <w:rPr>
          <w:rFonts w:ascii="Tahoma" w:hAnsi="Tahoma" w:cs="Tahoma"/>
          <w:b/>
          <w:i/>
          <w:sz w:val="24"/>
          <w:szCs w:val="24"/>
        </w:rPr>
        <w:tab/>
      </w:r>
      <w:r>
        <w:rPr>
          <w:rFonts w:ascii="Tahoma" w:hAnsi="Tahoma" w:cs="Tahoma"/>
          <w:b/>
          <w:i/>
          <w:sz w:val="24"/>
          <w:szCs w:val="24"/>
        </w:rPr>
        <w:tab/>
      </w:r>
      <w:r>
        <w:rPr>
          <w:rFonts w:ascii="Tahoma" w:hAnsi="Tahoma" w:cs="Tahoma"/>
          <w:b/>
          <w:i/>
          <w:sz w:val="24"/>
          <w:szCs w:val="24"/>
        </w:rPr>
        <w:tab/>
      </w:r>
      <w:r>
        <w:rPr>
          <w:rFonts w:ascii="Tahoma" w:hAnsi="Tahoma" w:cs="Tahoma"/>
          <w:b/>
          <w:i/>
          <w:sz w:val="24"/>
          <w:szCs w:val="24"/>
        </w:rPr>
        <w:tab/>
        <w:t>vs</w:t>
      </w:r>
    </w:p>
    <w:p w:rsidR="00B501D2" w:rsidRDefault="00B501D2" w:rsidP="00465269">
      <w:pPr>
        <w:spacing w:after="0" w:line="360" w:lineRule="auto"/>
        <w:jc w:val="both"/>
        <w:rPr>
          <w:rFonts w:ascii="Tahoma" w:hAnsi="Tahoma" w:cs="Tahoma"/>
          <w:b/>
          <w:i/>
          <w:sz w:val="24"/>
          <w:szCs w:val="24"/>
        </w:rPr>
      </w:pPr>
      <w:r>
        <w:rPr>
          <w:rFonts w:ascii="Tahoma" w:hAnsi="Tahoma" w:cs="Tahoma"/>
          <w:b/>
          <w:i/>
          <w:sz w:val="24"/>
          <w:szCs w:val="24"/>
        </w:rPr>
        <w:tab/>
        <w:t>ALLEN NANI &amp; N. CHITAURO LC/H/520/14</w:t>
      </w:r>
    </w:p>
    <w:p w:rsidR="00B501D2" w:rsidRPr="00B501D2" w:rsidRDefault="00B501D2" w:rsidP="00465269">
      <w:pPr>
        <w:spacing w:after="0" w:line="360" w:lineRule="auto"/>
        <w:jc w:val="both"/>
        <w:rPr>
          <w:rFonts w:ascii="Tahoma" w:hAnsi="Tahoma" w:cs="Tahoma"/>
          <w:sz w:val="24"/>
          <w:szCs w:val="24"/>
        </w:rPr>
      </w:pPr>
      <w:r w:rsidRPr="00B501D2">
        <w:rPr>
          <w:rFonts w:ascii="Tahoma" w:hAnsi="Tahoma" w:cs="Tahoma"/>
          <w:sz w:val="24"/>
          <w:szCs w:val="24"/>
        </w:rPr>
        <w:t>by CHIVIZHE J and</w:t>
      </w:r>
    </w:p>
    <w:p w:rsidR="009C5C1A" w:rsidRDefault="009C5C1A" w:rsidP="00465269">
      <w:pPr>
        <w:spacing w:after="0" w:line="360" w:lineRule="auto"/>
        <w:jc w:val="both"/>
        <w:rPr>
          <w:rFonts w:ascii="Tahoma" w:hAnsi="Tahoma" w:cs="Tahoma"/>
          <w:sz w:val="24"/>
          <w:szCs w:val="24"/>
        </w:rPr>
      </w:pPr>
    </w:p>
    <w:p w:rsidR="00B501D2" w:rsidRDefault="00B501D2" w:rsidP="00465269">
      <w:pPr>
        <w:spacing w:after="0" w:line="360" w:lineRule="auto"/>
        <w:jc w:val="both"/>
        <w:rPr>
          <w:rFonts w:ascii="Tahoma" w:hAnsi="Tahoma" w:cs="Tahoma"/>
          <w:b/>
          <w:i/>
          <w:sz w:val="24"/>
          <w:szCs w:val="24"/>
        </w:rPr>
      </w:pPr>
      <w:r>
        <w:rPr>
          <w:rFonts w:ascii="Tahoma" w:hAnsi="Tahoma" w:cs="Tahoma"/>
          <w:sz w:val="24"/>
          <w:szCs w:val="24"/>
        </w:rPr>
        <w:tab/>
      </w:r>
      <w:r>
        <w:rPr>
          <w:rFonts w:ascii="Tahoma" w:hAnsi="Tahoma" w:cs="Tahoma"/>
          <w:b/>
          <w:i/>
          <w:sz w:val="24"/>
          <w:szCs w:val="24"/>
        </w:rPr>
        <w:t xml:space="preserve">FRANCISCA SELINA MANYONI  vs  ZIMTRADE  LC/H/469/17 </w:t>
      </w:r>
    </w:p>
    <w:p w:rsidR="00B501D2" w:rsidRDefault="00B501D2" w:rsidP="00465269">
      <w:pPr>
        <w:spacing w:after="0" w:line="360" w:lineRule="auto"/>
        <w:jc w:val="both"/>
        <w:rPr>
          <w:rFonts w:ascii="Tahoma" w:hAnsi="Tahoma" w:cs="Tahoma"/>
          <w:sz w:val="24"/>
          <w:szCs w:val="24"/>
        </w:rPr>
      </w:pPr>
      <w:r>
        <w:rPr>
          <w:rFonts w:ascii="Tahoma" w:hAnsi="Tahoma" w:cs="Tahoma"/>
          <w:sz w:val="24"/>
          <w:szCs w:val="24"/>
        </w:rPr>
        <w:t xml:space="preserve">by </w:t>
      </w:r>
      <w:r w:rsidR="001B506F">
        <w:rPr>
          <w:rFonts w:ascii="Tahoma" w:hAnsi="Tahoma" w:cs="Tahoma"/>
          <w:sz w:val="24"/>
          <w:szCs w:val="24"/>
        </w:rPr>
        <w:t xml:space="preserve">MHURI J. </w:t>
      </w:r>
      <w:r>
        <w:rPr>
          <w:rFonts w:ascii="Tahoma" w:hAnsi="Tahoma" w:cs="Tahoma"/>
          <w:sz w:val="24"/>
          <w:szCs w:val="24"/>
        </w:rPr>
        <w:t>do not speak</w:t>
      </w:r>
      <w:r w:rsidR="001B506F">
        <w:rPr>
          <w:rFonts w:ascii="Tahoma" w:hAnsi="Tahoma" w:cs="Tahoma"/>
          <w:sz w:val="24"/>
          <w:szCs w:val="24"/>
        </w:rPr>
        <w:t xml:space="preserve"> to each other.  They speak to two different interpretation of section 8 of the Model Code.</w:t>
      </w:r>
    </w:p>
    <w:p w:rsidR="001B506F" w:rsidRPr="00B501D2" w:rsidRDefault="001B506F" w:rsidP="00465269">
      <w:pPr>
        <w:spacing w:after="0" w:line="360" w:lineRule="auto"/>
        <w:jc w:val="both"/>
        <w:rPr>
          <w:rFonts w:ascii="Tahoma" w:hAnsi="Tahoma" w:cs="Tahoma"/>
          <w:sz w:val="24"/>
          <w:szCs w:val="24"/>
        </w:rPr>
      </w:pPr>
    </w:p>
    <w:p w:rsidR="009C5C1A" w:rsidRDefault="001B506F" w:rsidP="00465269">
      <w:pPr>
        <w:spacing w:after="0" w:line="360" w:lineRule="auto"/>
        <w:jc w:val="both"/>
        <w:rPr>
          <w:rFonts w:ascii="Tahoma" w:hAnsi="Tahoma" w:cs="Tahoma"/>
          <w:sz w:val="24"/>
          <w:szCs w:val="24"/>
        </w:rPr>
      </w:pPr>
      <w:r>
        <w:rPr>
          <w:rFonts w:ascii="Tahoma" w:hAnsi="Tahoma" w:cs="Tahoma"/>
          <w:sz w:val="24"/>
          <w:szCs w:val="24"/>
        </w:rPr>
        <w:tab/>
        <w:t>The Supreme Court however has clarified the position and given a clear interpretation of section 8.</w:t>
      </w:r>
    </w:p>
    <w:p w:rsidR="001B506F" w:rsidRDefault="001B506F" w:rsidP="00465269">
      <w:pPr>
        <w:spacing w:after="0" w:line="360" w:lineRule="auto"/>
        <w:jc w:val="both"/>
        <w:rPr>
          <w:rFonts w:ascii="Tahoma" w:hAnsi="Tahoma" w:cs="Tahoma"/>
          <w:sz w:val="24"/>
          <w:szCs w:val="24"/>
        </w:rPr>
      </w:pPr>
    </w:p>
    <w:p w:rsidR="001B506F" w:rsidRDefault="001B506F" w:rsidP="00465269">
      <w:pPr>
        <w:spacing w:after="0" w:line="360" w:lineRule="auto"/>
        <w:jc w:val="both"/>
        <w:rPr>
          <w:rFonts w:ascii="Tahoma" w:hAnsi="Tahoma" w:cs="Tahoma"/>
          <w:sz w:val="24"/>
          <w:szCs w:val="24"/>
        </w:rPr>
      </w:pPr>
      <w:r>
        <w:rPr>
          <w:rFonts w:ascii="Tahoma" w:hAnsi="Tahoma" w:cs="Tahoma"/>
          <w:sz w:val="24"/>
          <w:szCs w:val="24"/>
        </w:rPr>
        <w:tab/>
        <w:t xml:space="preserve">See the case of </w:t>
      </w:r>
    </w:p>
    <w:p w:rsidR="001B506F" w:rsidRDefault="001B506F" w:rsidP="00465269">
      <w:pPr>
        <w:spacing w:after="0" w:line="360" w:lineRule="auto"/>
        <w:jc w:val="both"/>
        <w:rPr>
          <w:rFonts w:ascii="Tahoma" w:hAnsi="Tahoma" w:cs="Tahoma"/>
          <w:b/>
          <w:i/>
          <w:sz w:val="24"/>
          <w:szCs w:val="24"/>
        </w:rPr>
      </w:pPr>
      <w:r>
        <w:rPr>
          <w:rFonts w:ascii="Tahoma" w:hAnsi="Tahoma" w:cs="Tahoma"/>
          <w:sz w:val="24"/>
          <w:szCs w:val="24"/>
        </w:rPr>
        <w:tab/>
      </w:r>
      <w:r>
        <w:rPr>
          <w:rFonts w:ascii="Tahoma" w:hAnsi="Tahoma" w:cs="Tahoma"/>
          <w:b/>
          <w:i/>
          <w:sz w:val="24"/>
          <w:szCs w:val="24"/>
        </w:rPr>
        <w:t>WONDER SIMUKA</w:t>
      </w:r>
    </w:p>
    <w:p w:rsidR="001B506F" w:rsidRDefault="001B506F" w:rsidP="00465269">
      <w:pPr>
        <w:spacing w:after="0" w:line="360" w:lineRule="auto"/>
        <w:jc w:val="both"/>
        <w:rPr>
          <w:rFonts w:ascii="Tahoma" w:hAnsi="Tahoma" w:cs="Tahoma"/>
          <w:b/>
          <w:i/>
          <w:sz w:val="24"/>
          <w:szCs w:val="24"/>
        </w:rPr>
      </w:pPr>
      <w:r>
        <w:rPr>
          <w:rFonts w:ascii="Tahoma" w:hAnsi="Tahoma" w:cs="Tahoma"/>
          <w:b/>
          <w:i/>
          <w:sz w:val="24"/>
          <w:szCs w:val="24"/>
        </w:rPr>
        <w:tab/>
      </w:r>
      <w:r>
        <w:rPr>
          <w:rFonts w:ascii="Tahoma" w:hAnsi="Tahoma" w:cs="Tahoma"/>
          <w:b/>
          <w:i/>
          <w:sz w:val="24"/>
          <w:szCs w:val="24"/>
        </w:rPr>
        <w:tab/>
        <w:t>vs</w:t>
      </w:r>
    </w:p>
    <w:p w:rsidR="001B506F" w:rsidRDefault="001B506F" w:rsidP="00465269">
      <w:pPr>
        <w:spacing w:after="0" w:line="360" w:lineRule="auto"/>
        <w:jc w:val="both"/>
        <w:rPr>
          <w:rFonts w:ascii="Tahoma" w:hAnsi="Tahoma" w:cs="Tahoma"/>
          <w:b/>
          <w:i/>
          <w:sz w:val="24"/>
          <w:szCs w:val="24"/>
        </w:rPr>
      </w:pPr>
      <w:r>
        <w:rPr>
          <w:rFonts w:ascii="Tahoma" w:hAnsi="Tahoma" w:cs="Tahoma"/>
          <w:b/>
          <w:i/>
          <w:sz w:val="24"/>
          <w:szCs w:val="24"/>
        </w:rPr>
        <w:tab/>
        <w:t>MONTANA CARSWELL MEATS (PRIVATE) LIMITED SC 44/20</w:t>
      </w:r>
    </w:p>
    <w:p w:rsidR="00AA085D" w:rsidRDefault="00AA085D" w:rsidP="00465269">
      <w:pPr>
        <w:spacing w:after="0" w:line="360" w:lineRule="auto"/>
        <w:jc w:val="both"/>
        <w:rPr>
          <w:rFonts w:ascii="Tahoma" w:hAnsi="Tahoma" w:cs="Tahoma"/>
          <w:b/>
          <w:i/>
          <w:sz w:val="24"/>
          <w:szCs w:val="24"/>
        </w:rPr>
      </w:pPr>
    </w:p>
    <w:p w:rsidR="00AA085D" w:rsidRDefault="00AA085D" w:rsidP="00465269">
      <w:pPr>
        <w:spacing w:after="0" w:line="360" w:lineRule="auto"/>
        <w:jc w:val="both"/>
        <w:rPr>
          <w:rFonts w:ascii="Tahoma" w:hAnsi="Tahoma" w:cs="Tahoma"/>
          <w:sz w:val="24"/>
          <w:szCs w:val="24"/>
        </w:rPr>
      </w:pPr>
      <w:r>
        <w:rPr>
          <w:rFonts w:ascii="Tahoma" w:hAnsi="Tahoma" w:cs="Tahoma"/>
          <w:b/>
          <w:i/>
          <w:sz w:val="24"/>
          <w:szCs w:val="24"/>
        </w:rPr>
        <w:tab/>
      </w:r>
      <w:r w:rsidRPr="00AA085D">
        <w:rPr>
          <w:rFonts w:ascii="Tahoma" w:hAnsi="Tahoma" w:cs="Tahoma"/>
          <w:sz w:val="24"/>
          <w:szCs w:val="24"/>
        </w:rPr>
        <w:t xml:space="preserve">This case establishes that an appeal </w:t>
      </w:r>
      <w:r>
        <w:rPr>
          <w:rFonts w:ascii="Tahoma" w:hAnsi="Tahoma" w:cs="Tahoma"/>
          <w:sz w:val="24"/>
          <w:szCs w:val="24"/>
        </w:rPr>
        <w:t>from the decision of an appeals officer lies with the Labour Court and not the Labour Officer.  A Labour Officer has no jurisdiction to entertain a matter that has been determined already.</w:t>
      </w:r>
    </w:p>
    <w:p w:rsidR="00AA085D" w:rsidRDefault="00AA085D" w:rsidP="00465269">
      <w:pPr>
        <w:spacing w:after="0" w:line="360" w:lineRule="auto"/>
        <w:jc w:val="both"/>
        <w:rPr>
          <w:rFonts w:ascii="Tahoma" w:hAnsi="Tahoma" w:cs="Tahoma"/>
          <w:sz w:val="24"/>
          <w:szCs w:val="24"/>
        </w:rPr>
      </w:pPr>
    </w:p>
    <w:p w:rsidR="00AA085D" w:rsidRDefault="00AA085D" w:rsidP="00465269">
      <w:pPr>
        <w:spacing w:after="0" w:line="360" w:lineRule="auto"/>
        <w:jc w:val="both"/>
        <w:rPr>
          <w:rFonts w:ascii="Tahoma" w:hAnsi="Tahoma" w:cs="Tahoma"/>
          <w:sz w:val="24"/>
          <w:szCs w:val="24"/>
        </w:rPr>
      </w:pPr>
      <w:r>
        <w:rPr>
          <w:rFonts w:ascii="Tahoma" w:hAnsi="Tahoma" w:cs="Tahoma"/>
          <w:sz w:val="24"/>
          <w:szCs w:val="24"/>
        </w:rPr>
        <w:tab/>
        <w:t xml:space="preserve">Since the Supreme Court has clarified the legal position, applicant’s reliance on the submission that there are 2 conflicting judgments which need to be clarified by the Supreme Court is no longer of any consequence and no longer relevant.  This ground can no longer be taken as a good basis for the appeal </w:t>
      </w:r>
      <w:r w:rsidR="00056A16">
        <w:rPr>
          <w:rFonts w:ascii="Tahoma" w:hAnsi="Tahoma" w:cs="Tahoma"/>
          <w:sz w:val="24"/>
          <w:szCs w:val="24"/>
        </w:rPr>
        <w:t>having prospects of success.</w:t>
      </w:r>
    </w:p>
    <w:p w:rsidR="00056A16" w:rsidRDefault="00056A16" w:rsidP="00465269">
      <w:pPr>
        <w:spacing w:after="0" w:line="360" w:lineRule="auto"/>
        <w:jc w:val="both"/>
        <w:rPr>
          <w:rFonts w:ascii="Tahoma" w:hAnsi="Tahoma" w:cs="Tahoma"/>
          <w:sz w:val="24"/>
          <w:szCs w:val="24"/>
        </w:rPr>
      </w:pPr>
    </w:p>
    <w:p w:rsidR="00056A16" w:rsidRDefault="00056A16" w:rsidP="00465269">
      <w:pPr>
        <w:spacing w:after="0" w:line="360" w:lineRule="auto"/>
        <w:jc w:val="both"/>
        <w:rPr>
          <w:rFonts w:ascii="Tahoma" w:hAnsi="Tahoma" w:cs="Tahoma"/>
          <w:sz w:val="24"/>
          <w:szCs w:val="24"/>
        </w:rPr>
      </w:pPr>
      <w:r>
        <w:rPr>
          <w:rFonts w:ascii="Tahoma" w:hAnsi="Tahoma" w:cs="Tahoma"/>
          <w:sz w:val="24"/>
          <w:szCs w:val="24"/>
        </w:rPr>
        <w:tab/>
        <w:t>Despite the Supreme Court cases clarifying the position, I still find that the appellant enjoys no prospects of success because she acquiesced to the judgment LC/H/469/17.  Further, applicant’s reprobating and approbating in this case is not going to see finality to this case.  I am persuaded by respondent‘s submission that it is being put out of pocket by applicant’s conduct</w:t>
      </w:r>
      <w:r w:rsidR="00286E02">
        <w:rPr>
          <w:rFonts w:ascii="Tahoma" w:hAnsi="Tahoma" w:cs="Tahoma"/>
          <w:sz w:val="24"/>
          <w:szCs w:val="24"/>
        </w:rPr>
        <w:t xml:space="preserve">. </w:t>
      </w:r>
      <w:r>
        <w:rPr>
          <w:rFonts w:ascii="Tahoma" w:hAnsi="Tahoma" w:cs="Tahoma"/>
          <w:sz w:val="24"/>
          <w:szCs w:val="24"/>
        </w:rPr>
        <w:t xml:space="preserve"> I agree with respondent’s submission that where </w:t>
      </w:r>
      <w:r w:rsidR="009B054A">
        <w:rPr>
          <w:rFonts w:ascii="Tahoma" w:hAnsi="Tahoma" w:cs="Tahoma"/>
          <w:sz w:val="24"/>
          <w:szCs w:val="24"/>
        </w:rPr>
        <w:t>a matter is brought back before the courts like what happened in casu, the courts are at liberty to apply the principle of finality to litigation, Applicant, acquiesced to the judgment only to come back after several unsuccessful attempts at the Labour Officer</w:t>
      </w:r>
      <w:r w:rsidR="00286E02">
        <w:rPr>
          <w:rFonts w:ascii="Tahoma" w:hAnsi="Tahoma" w:cs="Tahoma"/>
          <w:sz w:val="24"/>
          <w:szCs w:val="24"/>
        </w:rPr>
        <w:t>’s</w:t>
      </w:r>
      <w:bookmarkStart w:id="0" w:name="_GoBack"/>
      <w:bookmarkEnd w:id="0"/>
      <w:r w:rsidR="009B054A">
        <w:rPr>
          <w:rFonts w:ascii="Tahoma" w:hAnsi="Tahoma" w:cs="Tahoma"/>
          <w:sz w:val="24"/>
          <w:szCs w:val="24"/>
        </w:rPr>
        <w:t xml:space="preserve"> and after a long time and only after having unearthed another judgment whose position by then had not yet been con</w:t>
      </w:r>
      <w:r w:rsidR="00184123">
        <w:rPr>
          <w:rFonts w:ascii="Tahoma" w:hAnsi="Tahoma" w:cs="Tahoma"/>
          <w:sz w:val="24"/>
          <w:szCs w:val="24"/>
        </w:rPr>
        <w:t>firmed by the Supreme Court.</w:t>
      </w:r>
    </w:p>
    <w:p w:rsidR="00184123" w:rsidRDefault="00184123" w:rsidP="00465269">
      <w:pPr>
        <w:spacing w:after="0" w:line="360" w:lineRule="auto"/>
        <w:jc w:val="both"/>
        <w:rPr>
          <w:rFonts w:ascii="Tahoma" w:hAnsi="Tahoma" w:cs="Tahoma"/>
          <w:sz w:val="24"/>
          <w:szCs w:val="24"/>
        </w:rPr>
      </w:pPr>
    </w:p>
    <w:p w:rsidR="00184123" w:rsidRPr="00AA085D" w:rsidRDefault="00184123" w:rsidP="00465269">
      <w:pPr>
        <w:spacing w:after="0" w:line="360" w:lineRule="auto"/>
        <w:jc w:val="both"/>
        <w:rPr>
          <w:rFonts w:ascii="Tahoma" w:hAnsi="Tahoma" w:cs="Tahoma"/>
          <w:sz w:val="24"/>
          <w:szCs w:val="24"/>
        </w:rPr>
      </w:pPr>
      <w:r>
        <w:rPr>
          <w:rFonts w:ascii="Tahoma" w:hAnsi="Tahoma" w:cs="Tahoma"/>
          <w:sz w:val="24"/>
          <w:szCs w:val="24"/>
        </w:rPr>
        <w:tab/>
        <w:t xml:space="preserve">Overally I find that applicant’s appeal does not enjoy </w:t>
      </w:r>
      <w:r w:rsidR="004F5922">
        <w:rPr>
          <w:rFonts w:ascii="Tahoma" w:hAnsi="Tahoma" w:cs="Tahoma"/>
          <w:sz w:val="24"/>
          <w:szCs w:val="24"/>
        </w:rPr>
        <w:t>any prospects of success on appeal.  It is therefore ordered that the application for leave to appeal to the Supreme Court against judgment LC/H/94/19 be and is hereby dismissed with costs.</w:t>
      </w:r>
    </w:p>
    <w:p w:rsidR="009C5C1A" w:rsidRDefault="009C5C1A" w:rsidP="00465269">
      <w:pPr>
        <w:spacing w:after="0" w:line="360" w:lineRule="auto"/>
        <w:jc w:val="both"/>
        <w:rPr>
          <w:rFonts w:ascii="Tahoma" w:hAnsi="Tahoma" w:cs="Tahoma"/>
          <w:sz w:val="24"/>
          <w:szCs w:val="24"/>
        </w:rPr>
      </w:pPr>
    </w:p>
    <w:p w:rsidR="009C5C1A" w:rsidRDefault="009C5C1A" w:rsidP="00465269">
      <w:pPr>
        <w:spacing w:after="0" w:line="360" w:lineRule="auto"/>
        <w:jc w:val="both"/>
        <w:rPr>
          <w:rFonts w:ascii="Tahoma" w:hAnsi="Tahoma" w:cs="Tahoma"/>
          <w:sz w:val="24"/>
          <w:szCs w:val="24"/>
        </w:rPr>
      </w:pPr>
    </w:p>
    <w:p w:rsidR="00465269" w:rsidRDefault="00465269" w:rsidP="00465269">
      <w:pPr>
        <w:spacing w:after="0" w:line="360" w:lineRule="auto"/>
        <w:jc w:val="both"/>
        <w:rPr>
          <w:rFonts w:ascii="Tahoma" w:hAnsi="Tahoma" w:cs="Tahoma"/>
          <w:sz w:val="24"/>
          <w:szCs w:val="24"/>
        </w:rPr>
      </w:pPr>
    </w:p>
    <w:p w:rsidR="00140F14" w:rsidRDefault="006D69C9" w:rsidP="00923896">
      <w:pPr>
        <w:spacing w:after="0" w:line="360" w:lineRule="auto"/>
        <w:rPr>
          <w:rFonts w:ascii="Tahoma" w:hAnsi="Tahoma" w:cs="Tahoma"/>
          <w:b/>
          <w:i/>
          <w:sz w:val="24"/>
          <w:szCs w:val="24"/>
        </w:rPr>
      </w:pPr>
      <w:r>
        <w:rPr>
          <w:rFonts w:ascii="Tahoma" w:hAnsi="Tahoma" w:cs="Tahoma"/>
          <w:b/>
          <w:i/>
          <w:sz w:val="24"/>
          <w:szCs w:val="24"/>
        </w:rPr>
        <w:t xml:space="preserve">MURONDA MALINGA </w:t>
      </w:r>
      <w:r w:rsidR="0089504E">
        <w:rPr>
          <w:rFonts w:ascii="Tahoma" w:hAnsi="Tahoma" w:cs="Tahoma"/>
          <w:b/>
          <w:i/>
          <w:sz w:val="24"/>
          <w:szCs w:val="24"/>
        </w:rPr>
        <w:t xml:space="preserve"> LEGAL PRACTICE</w:t>
      </w:r>
      <w:r w:rsidR="005B1DD7">
        <w:rPr>
          <w:rFonts w:ascii="Tahoma" w:hAnsi="Tahoma" w:cs="Tahoma"/>
          <w:b/>
          <w:i/>
          <w:sz w:val="24"/>
          <w:szCs w:val="24"/>
        </w:rPr>
        <w:t xml:space="preserve"> </w:t>
      </w:r>
      <w:r w:rsidR="00D21B53">
        <w:rPr>
          <w:rFonts w:ascii="Tahoma" w:hAnsi="Tahoma" w:cs="Tahoma"/>
          <w:b/>
          <w:i/>
          <w:sz w:val="24"/>
          <w:szCs w:val="24"/>
        </w:rPr>
        <w:t>–</w:t>
      </w:r>
      <w:r w:rsidR="00540494">
        <w:rPr>
          <w:rFonts w:ascii="Tahoma" w:hAnsi="Tahoma" w:cs="Tahoma"/>
          <w:b/>
          <w:i/>
          <w:sz w:val="24"/>
          <w:szCs w:val="24"/>
        </w:rPr>
        <w:t xml:space="preserve"> App</w:t>
      </w:r>
      <w:r w:rsidR="005B1DD7">
        <w:rPr>
          <w:rFonts w:ascii="Tahoma" w:hAnsi="Tahoma" w:cs="Tahoma"/>
          <w:b/>
          <w:i/>
          <w:sz w:val="24"/>
          <w:szCs w:val="24"/>
        </w:rPr>
        <w:t>licant</w:t>
      </w:r>
      <w:r w:rsidR="00EF062B">
        <w:rPr>
          <w:rFonts w:ascii="Tahoma" w:hAnsi="Tahoma" w:cs="Tahoma"/>
          <w:b/>
          <w:i/>
          <w:sz w:val="24"/>
          <w:szCs w:val="24"/>
        </w:rPr>
        <w:t>’s legal practitioners</w:t>
      </w:r>
    </w:p>
    <w:p w:rsidR="00D21B53" w:rsidRPr="00540494" w:rsidRDefault="0089504E" w:rsidP="00923896">
      <w:pPr>
        <w:spacing w:after="0" w:line="360" w:lineRule="auto"/>
        <w:rPr>
          <w:rFonts w:ascii="Tahoma" w:hAnsi="Tahoma" w:cs="Tahoma"/>
          <w:b/>
          <w:i/>
          <w:sz w:val="24"/>
          <w:szCs w:val="24"/>
        </w:rPr>
      </w:pPr>
      <w:r>
        <w:rPr>
          <w:rFonts w:ascii="Tahoma" w:hAnsi="Tahoma" w:cs="Tahoma"/>
          <w:b/>
          <w:i/>
          <w:sz w:val="24"/>
          <w:szCs w:val="24"/>
        </w:rPr>
        <w:t xml:space="preserve">DUBE, MANIKAI &amp; HWACHA – </w:t>
      </w:r>
      <w:r w:rsidR="00D21B53">
        <w:rPr>
          <w:rFonts w:ascii="Tahoma" w:hAnsi="Tahoma" w:cs="Tahoma"/>
          <w:b/>
          <w:i/>
          <w:sz w:val="24"/>
          <w:szCs w:val="24"/>
        </w:rPr>
        <w:t>Respondent’s practitioners</w:t>
      </w:r>
    </w:p>
    <w:p w:rsidR="000C61ED" w:rsidRDefault="000C61ED" w:rsidP="007E6C56">
      <w:pPr>
        <w:spacing w:after="0" w:line="360" w:lineRule="auto"/>
        <w:rPr>
          <w:rFonts w:ascii="Tahoma" w:hAnsi="Tahoma" w:cs="Tahoma"/>
          <w:b/>
          <w:i/>
          <w:sz w:val="24"/>
          <w:szCs w:val="24"/>
        </w:rPr>
      </w:pPr>
    </w:p>
    <w:p w:rsidR="000C61ED" w:rsidRDefault="000C61ED" w:rsidP="007E6C56">
      <w:pPr>
        <w:spacing w:after="0" w:line="360" w:lineRule="auto"/>
        <w:rPr>
          <w:rFonts w:ascii="Tahoma" w:hAnsi="Tahoma" w:cs="Tahoma"/>
          <w:b/>
          <w:i/>
          <w:sz w:val="24"/>
          <w:szCs w:val="24"/>
        </w:rPr>
      </w:pPr>
    </w:p>
    <w:p w:rsidR="000C61ED" w:rsidRDefault="000C61ED" w:rsidP="007E6C56">
      <w:pPr>
        <w:spacing w:after="0" w:line="360" w:lineRule="auto"/>
        <w:rPr>
          <w:rFonts w:ascii="Tahoma" w:hAnsi="Tahoma" w:cs="Tahoma"/>
          <w:b/>
          <w:i/>
          <w:sz w:val="24"/>
          <w:szCs w:val="24"/>
        </w:rPr>
      </w:pPr>
    </w:p>
    <w:p w:rsidR="000C61ED" w:rsidRDefault="000C61ED" w:rsidP="007E6C56">
      <w:pPr>
        <w:spacing w:after="0" w:line="360" w:lineRule="auto"/>
        <w:rPr>
          <w:rFonts w:ascii="Tahoma" w:hAnsi="Tahoma" w:cs="Tahoma"/>
          <w:b/>
          <w:i/>
          <w:sz w:val="24"/>
          <w:szCs w:val="24"/>
        </w:rPr>
      </w:pPr>
    </w:p>
    <w:p w:rsidR="000C61ED" w:rsidRDefault="000C61ED" w:rsidP="007E6C56">
      <w:pPr>
        <w:spacing w:after="0" w:line="360" w:lineRule="auto"/>
        <w:rPr>
          <w:rFonts w:ascii="Tahoma" w:hAnsi="Tahoma" w:cs="Tahoma"/>
          <w:b/>
          <w:i/>
          <w:sz w:val="24"/>
          <w:szCs w:val="24"/>
        </w:rPr>
      </w:pPr>
    </w:p>
    <w:p w:rsidR="000C61ED" w:rsidRDefault="000C61ED" w:rsidP="007E6C56">
      <w:pPr>
        <w:spacing w:after="0" w:line="360" w:lineRule="auto"/>
        <w:rPr>
          <w:rFonts w:ascii="Tahoma" w:hAnsi="Tahoma" w:cs="Tahoma"/>
          <w:b/>
          <w:i/>
          <w:sz w:val="24"/>
          <w:szCs w:val="24"/>
        </w:rPr>
      </w:pPr>
    </w:p>
    <w:p w:rsidR="000C61ED" w:rsidRDefault="000C61ED" w:rsidP="007E6C56">
      <w:pPr>
        <w:spacing w:after="0" w:line="360" w:lineRule="auto"/>
        <w:rPr>
          <w:rFonts w:ascii="Tahoma" w:hAnsi="Tahoma" w:cs="Tahoma"/>
          <w:b/>
          <w:i/>
          <w:sz w:val="24"/>
          <w:szCs w:val="24"/>
        </w:rPr>
      </w:pPr>
    </w:p>
    <w:p w:rsidR="000C61ED" w:rsidRPr="009802E9" w:rsidRDefault="000C61ED" w:rsidP="007E6C56">
      <w:pPr>
        <w:spacing w:after="0" w:line="360" w:lineRule="auto"/>
        <w:rPr>
          <w:rFonts w:ascii="Tahoma" w:hAnsi="Tahoma" w:cs="Tahoma"/>
          <w:b/>
          <w:i/>
          <w:sz w:val="24"/>
          <w:szCs w:val="24"/>
        </w:rPr>
      </w:pPr>
    </w:p>
    <w:sectPr w:rsidR="000C61ED" w:rsidRPr="009802E9" w:rsidSect="008D7019">
      <w:headerReference w:type="default" r:id="rId8"/>
      <w:footerReference w:type="default" r:id="rId9"/>
      <w:pgSz w:w="11906" w:h="16838"/>
      <w:pgMar w:top="1440" w:right="128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BFF" w:rsidRDefault="00FB4BFF" w:rsidP="007C5CA3">
      <w:pPr>
        <w:spacing w:after="0" w:line="240" w:lineRule="auto"/>
      </w:pPr>
      <w:r>
        <w:separator/>
      </w:r>
    </w:p>
  </w:endnote>
  <w:endnote w:type="continuationSeparator" w:id="0">
    <w:p w:rsidR="00FB4BFF" w:rsidRDefault="00FB4BFF"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286E02">
          <w:rPr>
            <w:noProof/>
          </w:rPr>
          <w:t>3</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BFF" w:rsidRDefault="00FB4BFF" w:rsidP="007C5CA3">
      <w:pPr>
        <w:spacing w:after="0" w:line="240" w:lineRule="auto"/>
      </w:pPr>
      <w:r>
        <w:separator/>
      </w:r>
    </w:p>
  </w:footnote>
  <w:footnote w:type="continuationSeparator" w:id="0">
    <w:p w:rsidR="00FB4BFF" w:rsidRDefault="00FB4BFF"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D745D8">
      <w:rPr>
        <w:rFonts w:ascii="Tahoma" w:hAnsi="Tahoma" w:cs="Tahoma"/>
        <w:b/>
        <w:sz w:val="24"/>
        <w:szCs w:val="24"/>
      </w:rPr>
      <w:t>112</w:t>
    </w:r>
    <w:r w:rsidR="000E1A24" w:rsidRPr="000E1A24">
      <w:rPr>
        <w:rFonts w:ascii="Tahoma" w:hAnsi="Tahoma" w:cs="Tahoma"/>
        <w:b/>
        <w:sz w:val="24"/>
        <w:szCs w:val="24"/>
      </w:rPr>
      <w:t>/</w:t>
    </w:r>
    <w:r w:rsidR="00F512E8">
      <w:rPr>
        <w:rFonts w:ascii="Tahoma" w:hAnsi="Tahoma" w:cs="Tahoma"/>
        <w:b/>
        <w:sz w:val="24"/>
        <w:szCs w:val="24"/>
      </w:rPr>
      <w:t>2</w:t>
    </w:r>
    <w:r w:rsidR="000C61ED">
      <w:rPr>
        <w:rFonts w:ascii="Tahoma" w:hAnsi="Tahoma" w:cs="Tahoma"/>
        <w:b/>
        <w:sz w:val="24"/>
        <w:szCs w:val="24"/>
      </w:rPr>
      <w:t>1</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84D"/>
    <w:multiLevelType w:val="hybridMultilevel"/>
    <w:tmpl w:val="1F02E7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2A1CDC"/>
    <w:multiLevelType w:val="hybridMultilevel"/>
    <w:tmpl w:val="C1A8DAB2"/>
    <w:lvl w:ilvl="0" w:tplc="3DF6750C">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0BF14918"/>
    <w:multiLevelType w:val="hybridMultilevel"/>
    <w:tmpl w:val="A05689C2"/>
    <w:lvl w:ilvl="0" w:tplc="DE3C346C">
      <w:start w:val="1"/>
      <w:numFmt w:val="decimal"/>
      <w:lvlText w:val="(%1)"/>
      <w:lvlJc w:val="left"/>
      <w:pPr>
        <w:ind w:left="1350" w:hanging="360"/>
      </w:pPr>
      <w:rPr>
        <w:rFonts w:hint="default"/>
      </w:rPr>
    </w:lvl>
    <w:lvl w:ilvl="1" w:tplc="30090019" w:tentative="1">
      <w:start w:val="1"/>
      <w:numFmt w:val="lowerLetter"/>
      <w:lvlText w:val="%2."/>
      <w:lvlJc w:val="left"/>
      <w:pPr>
        <w:ind w:left="2070" w:hanging="360"/>
      </w:pPr>
    </w:lvl>
    <w:lvl w:ilvl="2" w:tplc="3009001B" w:tentative="1">
      <w:start w:val="1"/>
      <w:numFmt w:val="lowerRoman"/>
      <w:lvlText w:val="%3."/>
      <w:lvlJc w:val="right"/>
      <w:pPr>
        <w:ind w:left="2790" w:hanging="180"/>
      </w:pPr>
    </w:lvl>
    <w:lvl w:ilvl="3" w:tplc="3009000F" w:tentative="1">
      <w:start w:val="1"/>
      <w:numFmt w:val="decimal"/>
      <w:lvlText w:val="%4."/>
      <w:lvlJc w:val="left"/>
      <w:pPr>
        <w:ind w:left="3510" w:hanging="360"/>
      </w:pPr>
    </w:lvl>
    <w:lvl w:ilvl="4" w:tplc="30090019" w:tentative="1">
      <w:start w:val="1"/>
      <w:numFmt w:val="lowerLetter"/>
      <w:lvlText w:val="%5."/>
      <w:lvlJc w:val="left"/>
      <w:pPr>
        <w:ind w:left="4230" w:hanging="360"/>
      </w:pPr>
    </w:lvl>
    <w:lvl w:ilvl="5" w:tplc="3009001B" w:tentative="1">
      <w:start w:val="1"/>
      <w:numFmt w:val="lowerRoman"/>
      <w:lvlText w:val="%6."/>
      <w:lvlJc w:val="right"/>
      <w:pPr>
        <w:ind w:left="4950" w:hanging="180"/>
      </w:pPr>
    </w:lvl>
    <w:lvl w:ilvl="6" w:tplc="3009000F" w:tentative="1">
      <w:start w:val="1"/>
      <w:numFmt w:val="decimal"/>
      <w:lvlText w:val="%7."/>
      <w:lvlJc w:val="left"/>
      <w:pPr>
        <w:ind w:left="5670" w:hanging="360"/>
      </w:pPr>
    </w:lvl>
    <w:lvl w:ilvl="7" w:tplc="30090019" w:tentative="1">
      <w:start w:val="1"/>
      <w:numFmt w:val="lowerLetter"/>
      <w:lvlText w:val="%8."/>
      <w:lvlJc w:val="left"/>
      <w:pPr>
        <w:ind w:left="6390" w:hanging="360"/>
      </w:pPr>
    </w:lvl>
    <w:lvl w:ilvl="8" w:tplc="3009001B" w:tentative="1">
      <w:start w:val="1"/>
      <w:numFmt w:val="lowerRoman"/>
      <w:lvlText w:val="%9."/>
      <w:lvlJc w:val="right"/>
      <w:pPr>
        <w:ind w:left="7110" w:hanging="180"/>
      </w:pPr>
    </w:lvl>
  </w:abstractNum>
  <w:abstractNum w:abstractNumId="3">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5">
    <w:nsid w:val="456C1079"/>
    <w:multiLevelType w:val="hybridMultilevel"/>
    <w:tmpl w:val="CFEC46C0"/>
    <w:lvl w:ilvl="0" w:tplc="75C6B5E6">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nsid w:val="59C07038"/>
    <w:multiLevelType w:val="hybridMultilevel"/>
    <w:tmpl w:val="0DB899D0"/>
    <w:lvl w:ilvl="0" w:tplc="4D0897F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5CFC06F8"/>
    <w:multiLevelType w:val="hybridMultilevel"/>
    <w:tmpl w:val="32543ED0"/>
    <w:lvl w:ilvl="0" w:tplc="7D269B8E">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8">
    <w:nsid w:val="5D5966B7"/>
    <w:multiLevelType w:val="hybridMultilevel"/>
    <w:tmpl w:val="7FA67408"/>
    <w:lvl w:ilvl="0" w:tplc="D7EE4C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6BAD106A"/>
    <w:multiLevelType w:val="hybridMultilevel"/>
    <w:tmpl w:val="882C7C7E"/>
    <w:lvl w:ilvl="0" w:tplc="A92C7D9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700422A0"/>
    <w:multiLevelType w:val="hybridMultilevel"/>
    <w:tmpl w:val="A3E2BC8C"/>
    <w:lvl w:ilvl="0" w:tplc="A00805A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7C6F05DC"/>
    <w:multiLevelType w:val="hybridMultilevel"/>
    <w:tmpl w:val="680E4CAA"/>
    <w:lvl w:ilvl="0" w:tplc="D7EC31A2">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3">
    <w:nsid w:val="7E0D011F"/>
    <w:multiLevelType w:val="hybridMultilevel"/>
    <w:tmpl w:val="DD34A778"/>
    <w:lvl w:ilvl="0" w:tplc="F69C70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9"/>
  </w:num>
  <w:num w:numId="3">
    <w:abstractNumId w:val="4"/>
  </w:num>
  <w:num w:numId="4">
    <w:abstractNumId w:val="0"/>
  </w:num>
  <w:num w:numId="5">
    <w:abstractNumId w:val="12"/>
  </w:num>
  <w:num w:numId="6">
    <w:abstractNumId w:val="6"/>
  </w:num>
  <w:num w:numId="7">
    <w:abstractNumId w:val="1"/>
  </w:num>
  <w:num w:numId="8">
    <w:abstractNumId w:val="7"/>
  </w:num>
  <w:num w:numId="9">
    <w:abstractNumId w:val="10"/>
  </w:num>
  <w:num w:numId="10">
    <w:abstractNumId w:val="5"/>
  </w:num>
  <w:num w:numId="11">
    <w:abstractNumId w:val="2"/>
  </w:num>
  <w:num w:numId="12">
    <w:abstractNumId w:val="13"/>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3132"/>
    <w:rsid w:val="00025B6C"/>
    <w:rsid w:val="00025D19"/>
    <w:rsid w:val="000269B7"/>
    <w:rsid w:val="000330C0"/>
    <w:rsid w:val="0003571E"/>
    <w:rsid w:val="00040041"/>
    <w:rsid w:val="00043BB2"/>
    <w:rsid w:val="000449EA"/>
    <w:rsid w:val="000501E6"/>
    <w:rsid w:val="000550D5"/>
    <w:rsid w:val="0005610B"/>
    <w:rsid w:val="00056A16"/>
    <w:rsid w:val="00062DEC"/>
    <w:rsid w:val="00064D80"/>
    <w:rsid w:val="0006785C"/>
    <w:rsid w:val="00073B99"/>
    <w:rsid w:val="00074C1D"/>
    <w:rsid w:val="00090C20"/>
    <w:rsid w:val="0009112F"/>
    <w:rsid w:val="00093A54"/>
    <w:rsid w:val="00095E28"/>
    <w:rsid w:val="000A0351"/>
    <w:rsid w:val="000A07BC"/>
    <w:rsid w:val="000C41DE"/>
    <w:rsid w:val="000C61ED"/>
    <w:rsid w:val="000D1A1E"/>
    <w:rsid w:val="000D4276"/>
    <w:rsid w:val="000D5D9F"/>
    <w:rsid w:val="000D6E56"/>
    <w:rsid w:val="000E1A24"/>
    <w:rsid w:val="000E1D81"/>
    <w:rsid w:val="000E2D16"/>
    <w:rsid w:val="000E5A35"/>
    <w:rsid w:val="001059DC"/>
    <w:rsid w:val="0011530D"/>
    <w:rsid w:val="00121584"/>
    <w:rsid w:val="00127584"/>
    <w:rsid w:val="00131493"/>
    <w:rsid w:val="001327BC"/>
    <w:rsid w:val="0013390D"/>
    <w:rsid w:val="0014037C"/>
    <w:rsid w:val="00140F14"/>
    <w:rsid w:val="00144FCC"/>
    <w:rsid w:val="00150174"/>
    <w:rsid w:val="001510E9"/>
    <w:rsid w:val="00176651"/>
    <w:rsid w:val="00184123"/>
    <w:rsid w:val="0018688E"/>
    <w:rsid w:val="00192EC2"/>
    <w:rsid w:val="001A037B"/>
    <w:rsid w:val="001A3916"/>
    <w:rsid w:val="001B506F"/>
    <w:rsid w:val="001B520A"/>
    <w:rsid w:val="001B5CA8"/>
    <w:rsid w:val="001B7DFE"/>
    <w:rsid w:val="001E59E3"/>
    <w:rsid w:val="001F245A"/>
    <w:rsid w:val="001F2A28"/>
    <w:rsid w:val="001F660F"/>
    <w:rsid w:val="001F6C80"/>
    <w:rsid w:val="002059A1"/>
    <w:rsid w:val="002101CD"/>
    <w:rsid w:val="00210280"/>
    <w:rsid w:val="002131B9"/>
    <w:rsid w:val="00240F30"/>
    <w:rsid w:val="00244B99"/>
    <w:rsid w:val="00246FAB"/>
    <w:rsid w:val="00250097"/>
    <w:rsid w:val="00250EC3"/>
    <w:rsid w:val="00257D13"/>
    <w:rsid w:val="00257EAA"/>
    <w:rsid w:val="002708FC"/>
    <w:rsid w:val="00276D4A"/>
    <w:rsid w:val="002813AD"/>
    <w:rsid w:val="00286E02"/>
    <w:rsid w:val="00293474"/>
    <w:rsid w:val="00295B65"/>
    <w:rsid w:val="002972ED"/>
    <w:rsid w:val="002A3347"/>
    <w:rsid w:val="002A4EA4"/>
    <w:rsid w:val="002B042E"/>
    <w:rsid w:val="002C1D35"/>
    <w:rsid w:val="002C7EF3"/>
    <w:rsid w:val="002D0332"/>
    <w:rsid w:val="002E1FE1"/>
    <w:rsid w:val="002E229C"/>
    <w:rsid w:val="002E7C20"/>
    <w:rsid w:val="002F5298"/>
    <w:rsid w:val="002F5836"/>
    <w:rsid w:val="002F7414"/>
    <w:rsid w:val="003102CF"/>
    <w:rsid w:val="00320D70"/>
    <w:rsid w:val="00325625"/>
    <w:rsid w:val="00325E1B"/>
    <w:rsid w:val="00333A04"/>
    <w:rsid w:val="00335437"/>
    <w:rsid w:val="00345C9C"/>
    <w:rsid w:val="00352819"/>
    <w:rsid w:val="003571DC"/>
    <w:rsid w:val="003732BA"/>
    <w:rsid w:val="003744B2"/>
    <w:rsid w:val="00375E60"/>
    <w:rsid w:val="00394BD9"/>
    <w:rsid w:val="003B073C"/>
    <w:rsid w:val="003B2DAE"/>
    <w:rsid w:val="003C1461"/>
    <w:rsid w:val="003C4704"/>
    <w:rsid w:val="003C673B"/>
    <w:rsid w:val="003E0ACA"/>
    <w:rsid w:val="003E58BF"/>
    <w:rsid w:val="003E7494"/>
    <w:rsid w:val="00421421"/>
    <w:rsid w:val="00421D94"/>
    <w:rsid w:val="00435CF9"/>
    <w:rsid w:val="004403C4"/>
    <w:rsid w:val="00443D09"/>
    <w:rsid w:val="00450F2A"/>
    <w:rsid w:val="00452BD6"/>
    <w:rsid w:val="00453430"/>
    <w:rsid w:val="0045597D"/>
    <w:rsid w:val="0046134D"/>
    <w:rsid w:val="00465269"/>
    <w:rsid w:val="0046724B"/>
    <w:rsid w:val="00471F6B"/>
    <w:rsid w:val="004737A1"/>
    <w:rsid w:val="004770D4"/>
    <w:rsid w:val="00480F5B"/>
    <w:rsid w:val="00481C4E"/>
    <w:rsid w:val="00483B95"/>
    <w:rsid w:val="00485EFC"/>
    <w:rsid w:val="004905CF"/>
    <w:rsid w:val="00490FE1"/>
    <w:rsid w:val="004927A7"/>
    <w:rsid w:val="004A67E0"/>
    <w:rsid w:val="004B7711"/>
    <w:rsid w:val="004C0E8D"/>
    <w:rsid w:val="004C3334"/>
    <w:rsid w:val="004D303B"/>
    <w:rsid w:val="004E2B68"/>
    <w:rsid w:val="004E6DBC"/>
    <w:rsid w:val="004F0AEF"/>
    <w:rsid w:val="004F5922"/>
    <w:rsid w:val="00506C51"/>
    <w:rsid w:val="005105BE"/>
    <w:rsid w:val="00521048"/>
    <w:rsid w:val="005219C0"/>
    <w:rsid w:val="00524234"/>
    <w:rsid w:val="00525555"/>
    <w:rsid w:val="00527FB7"/>
    <w:rsid w:val="005355C3"/>
    <w:rsid w:val="00535E77"/>
    <w:rsid w:val="00540494"/>
    <w:rsid w:val="00540C28"/>
    <w:rsid w:val="005414C3"/>
    <w:rsid w:val="00542814"/>
    <w:rsid w:val="005669E8"/>
    <w:rsid w:val="005726C3"/>
    <w:rsid w:val="0057453B"/>
    <w:rsid w:val="00594B04"/>
    <w:rsid w:val="00594E66"/>
    <w:rsid w:val="00596A9F"/>
    <w:rsid w:val="00596D64"/>
    <w:rsid w:val="005A3B8C"/>
    <w:rsid w:val="005B1DD7"/>
    <w:rsid w:val="005B403F"/>
    <w:rsid w:val="005B6B07"/>
    <w:rsid w:val="005E1F4E"/>
    <w:rsid w:val="005E4CBF"/>
    <w:rsid w:val="005F3C09"/>
    <w:rsid w:val="005F670D"/>
    <w:rsid w:val="005F74DB"/>
    <w:rsid w:val="006002F8"/>
    <w:rsid w:val="00602FF5"/>
    <w:rsid w:val="006321B4"/>
    <w:rsid w:val="0063701D"/>
    <w:rsid w:val="00637CA0"/>
    <w:rsid w:val="006462FD"/>
    <w:rsid w:val="00652B98"/>
    <w:rsid w:val="0065753B"/>
    <w:rsid w:val="006676CB"/>
    <w:rsid w:val="006766B6"/>
    <w:rsid w:val="006773CF"/>
    <w:rsid w:val="00680357"/>
    <w:rsid w:val="006932C9"/>
    <w:rsid w:val="00694322"/>
    <w:rsid w:val="00695E6F"/>
    <w:rsid w:val="006A098A"/>
    <w:rsid w:val="006C1C1D"/>
    <w:rsid w:val="006D5DFF"/>
    <w:rsid w:val="006D69C9"/>
    <w:rsid w:val="006E73F7"/>
    <w:rsid w:val="00701CC6"/>
    <w:rsid w:val="007073CE"/>
    <w:rsid w:val="00713ED0"/>
    <w:rsid w:val="007155B3"/>
    <w:rsid w:val="00736501"/>
    <w:rsid w:val="00740E8A"/>
    <w:rsid w:val="007410F5"/>
    <w:rsid w:val="00743501"/>
    <w:rsid w:val="007467FD"/>
    <w:rsid w:val="00750D84"/>
    <w:rsid w:val="0075400E"/>
    <w:rsid w:val="007548C0"/>
    <w:rsid w:val="007561F6"/>
    <w:rsid w:val="00756DFE"/>
    <w:rsid w:val="0076164C"/>
    <w:rsid w:val="00761EF7"/>
    <w:rsid w:val="007659C9"/>
    <w:rsid w:val="00767FF0"/>
    <w:rsid w:val="00772D5C"/>
    <w:rsid w:val="00777CDC"/>
    <w:rsid w:val="0078151B"/>
    <w:rsid w:val="007866AA"/>
    <w:rsid w:val="00790BA6"/>
    <w:rsid w:val="00792B78"/>
    <w:rsid w:val="007A10E9"/>
    <w:rsid w:val="007A3E60"/>
    <w:rsid w:val="007B3902"/>
    <w:rsid w:val="007B5134"/>
    <w:rsid w:val="007B655A"/>
    <w:rsid w:val="007C3A03"/>
    <w:rsid w:val="007C3B6F"/>
    <w:rsid w:val="007C5A03"/>
    <w:rsid w:val="007C5CA3"/>
    <w:rsid w:val="007D077F"/>
    <w:rsid w:val="007D717D"/>
    <w:rsid w:val="007E14CC"/>
    <w:rsid w:val="007E274A"/>
    <w:rsid w:val="007E544C"/>
    <w:rsid w:val="007E6C56"/>
    <w:rsid w:val="007F16D4"/>
    <w:rsid w:val="007F7ECE"/>
    <w:rsid w:val="00811B52"/>
    <w:rsid w:val="008160DC"/>
    <w:rsid w:val="00831AA2"/>
    <w:rsid w:val="0083632A"/>
    <w:rsid w:val="008371A4"/>
    <w:rsid w:val="00851C4A"/>
    <w:rsid w:val="00853204"/>
    <w:rsid w:val="00856238"/>
    <w:rsid w:val="00856A33"/>
    <w:rsid w:val="00856DF5"/>
    <w:rsid w:val="00857174"/>
    <w:rsid w:val="00867C88"/>
    <w:rsid w:val="008710BD"/>
    <w:rsid w:val="008759B5"/>
    <w:rsid w:val="00876084"/>
    <w:rsid w:val="0088004C"/>
    <w:rsid w:val="008826C4"/>
    <w:rsid w:val="008918D7"/>
    <w:rsid w:val="0089504E"/>
    <w:rsid w:val="0089692E"/>
    <w:rsid w:val="008C3DA9"/>
    <w:rsid w:val="008C57F8"/>
    <w:rsid w:val="008C7097"/>
    <w:rsid w:val="008C7683"/>
    <w:rsid w:val="008D3C88"/>
    <w:rsid w:val="008D7019"/>
    <w:rsid w:val="008F1680"/>
    <w:rsid w:val="008F632A"/>
    <w:rsid w:val="00904DDA"/>
    <w:rsid w:val="009111D0"/>
    <w:rsid w:val="00912EF0"/>
    <w:rsid w:val="00914FC6"/>
    <w:rsid w:val="00923896"/>
    <w:rsid w:val="00925FE5"/>
    <w:rsid w:val="00940DD4"/>
    <w:rsid w:val="0095112E"/>
    <w:rsid w:val="0095114C"/>
    <w:rsid w:val="0096098F"/>
    <w:rsid w:val="00970BED"/>
    <w:rsid w:val="009734A3"/>
    <w:rsid w:val="0097397F"/>
    <w:rsid w:val="00974028"/>
    <w:rsid w:val="00974217"/>
    <w:rsid w:val="009746E3"/>
    <w:rsid w:val="00974A50"/>
    <w:rsid w:val="009802E9"/>
    <w:rsid w:val="0098286B"/>
    <w:rsid w:val="0098406A"/>
    <w:rsid w:val="009907F8"/>
    <w:rsid w:val="00995170"/>
    <w:rsid w:val="009951A3"/>
    <w:rsid w:val="009A1F2F"/>
    <w:rsid w:val="009B054A"/>
    <w:rsid w:val="009B46BD"/>
    <w:rsid w:val="009C30EA"/>
    <w:rsid w:val="009C5C1A"/>
    <w:rsid w:val="009D6239"/>
    <w:rsid w:val="009D66AF"/>
    <w:rsid w:val="009E0CF2"/>
    <w:rsid w:val="009E7D2A"/>
    <w:rsid w:val="009E7D49"/>
    <w:rsid w:val="00A038ED"/>
    <w:rsid w:val="00A05445"/>
    <w:rsid w:val="00A11163"/>
    <w:rsid w:val="00A13EB6"/>
    <w:rsid w:val="00A15B90"/>
    <w:rsid w:val="00A22ADC"/>
    <w:rsid w:val="00A23452"/>
    <w:rsid w:val="00A30750"/>
    <w:rsid w:val="00A350A1"/>
    <w:rsid w:val="00A40C7C"/>
    <w:rsid w:val="00A42E04"/>
    <w:rsid w:val="00A52C77"/>
    <w:rsid w:val="00A54F38"/>
    <w:rsid w:val="00A70728"/>
    <w:rsid w:val="00A71E87"/>
    <w:rsid w:val="00A8753B"/>
    <w:rsid w:val="00A91A79"/>
    <w:rsid w:val="00AA085D"/>
    <w:rsid w:val="00AA1557"/>
    <w:rsid w:val="00AA3A3C"/>
    <w:rsid w:val="00AA452E"/>
    <w:rsid w:val="00AB1AE8"/>
    <w:rsid w:val="00AB2F6D"/>
    <w:rsid w:val="00AB3E4A"/>
    <w:rsid w:val="00AB79D1"/>
    <w:rsid w:val="00AC326F"/>
    <w:rsid w:val="00AC79A6"/>
    <w:rsid w:val="00AD0C69"/>
    <w:rsid w:val="00AD315B"/>
    <w:rsid w:val="00AD7621"/>
    <w:rsid w:val="00AD7FC8"/>
    <w:rsid w:val="00AE3B1E"/>
    <w:rsid w:val="00AE5876"/>
    <w:rsid w:val="00AF3FE6"/>
    <w:rsid w:val="00B01D48"/>
    <w:rsid w:val="00B03EED"/>
    <w:rsid w:val="00B04AE2"/>
    <w:rsid w:val="00B10417"/>
    <w:rsid w:val="00B1158D"/>
    <w:rsid w:val="00B13D4D"/>
    <w:rsid w:val="00B15261"/>
    <w:rsid w:val="00B22F59"/>
    <w:rsid w:val="00B2519C"/>
    <w:rsid w:val="00B3048B"/>
    <w:rsid w:val="00B40117"/>
    <w:rsid w:val="00B45562"/>
    <w:rsid w:val="00B501D2"/>
    <w:rsid w:val="00B56A25"/>
    <w:rsid w:val="00B621A5"/>
    <w:rsid w:val="00B630AF"/>
    <w:rsid w:val="00B652F9"/>
    <w:rsid w:val="00B6717B"/>
    <w:rsid w:val="00B72AD4"/>
    <w:rsid w:val="00B819ED"/>
    <w:rsid w:val="00B841C4"/>
    <w:rsid w:val="00B8682C"/>
    <w:rsid w:val="00B8731A"/>
    <w:rsid w:val="00B91278"/>
    <w:rsid w:val="00B94539"/>
    <w:rsid w:val="00B967E0"/>
    <w:rsid w:val="00B974F9"/>
    <w:rsid w:val="00BA5626"/>
    <w:rsid w:val="00BB724E"/>
    <w:rsid w:val="00BD43C4"/>
    <w:rsid w:val="00BE2992"/>
    <w:rsid w:val="00BE7503"/>
    <w:rsid w:val="00BF6A51"/>
    <w:rsid w:val="00C015DB"/>
    <w:rsid w:val="00C14882"/>
    <w:rsid w:val="00C156BA"/>
    <w:rsid w:val="00C161A9"/>
    <w:rsid w:val="00C21214"/>
    <w:rsid w:val="00C279F3"/>
    <w:rsid w:val="00C308FA"/>
    <w:rsid w:val="00C41ABD"/>
    <w:rsid w:val="00C428C2"/>
    <w:rsid w:val="00C469DD"/>
    <w:rsid w:val="00C5186B"/>
    <w:rsid w:val="00C54DA6"/>
    <w:rsid w:val="00C6342C"/>
    <w:rsid w:val="00C63A75"/>
    <w:rsid w:val="00C77699"/>
    <w:rsid w:val="00CA5589"/>
    <w:rsid w:val="00CA5F87"/>
    <w:rsid w:val="00CB21D3"/>
    <w:rsid w:val="00CB2223"/>
    <w:rsid w:val="00CB4AE8"/>
    <w:rsid w:val="00CC1D76"/>
    <w:rsid w:val="00CE26DD"/>
    <w:rsid w:val="00CE61E0"/>
    <w:rsid w:val="00CF7FB6"/>
    <w:rsid w:val="00D13C45"/>
    <w:rsid w:val="00D21B53"/>
    <w:rsid w:val="00D34EA0"/>
    <w:rsid w:val="00D35D61"/>
    <w:rsid w:val="00D41FA4"/>
    <w:rsid w:val="00D66B99"/>
    <w:rsid w:val="00D6717B"/>
    <w:rsid w:val="00D745D8"/>
    <w:rsid w:val="00D80B9D"/>
    <w:rsid w:val="00D84EB3"/>
    <w:rsid w:val="00D85594"/>
    <w:rsid w:val="00D91E41"/>
    <w:rsid w:val="00D95B8F"/>
    <w:rsid w:val="00DA1C76"/>
    <w:rsid w:val="00DA5F18"/>
    <w:rsid w:val="00DC6A0C"/>
    <w:rsid w:val="00DD4676"/>
    <w:rsid w:val="00DD7258"/>
    <w:rsid w:val="00E04088"/>
    <w:rsid w:val="00E304B8"/>
    <w:rsid w:val="00E40848"/>
    <w:rsid w:val="00E5115D"/>
    <w:rsid w:val="00E554AA"/>
    <w:rsid w:val="00E576F4"/>
    <w:rsid w:val="00E6255E"/>
    <w:rsid w:val="00E86E3D"/>
    <w:rsid w:val="00E90AC8"/>
    <w:rsid w:val="00E93740"/>
    <w:rsid w:val="00EA5CF8"/>
    <w:rsid w:val="00EA7CA3"/>
    <w:rsid w:val="00EB130B"/>
    <w:rsid w:val="00EB2B00"/>
    <w:rsid w:val="00EC3B90"/>
    <w:rsid w:val="00EC678A"/>
    <w:rsid w:val="00ED0518"/>
    <w:rsid w:val="00ED3B87"/>
    <w:rsid w:val="00ED5019"/>
    <w:rsid w:val="00ED5A02"/>
    <w:rsid w:val="00ED5DF9"/>
    <w:rsid w:val="00ED6882"/>
    <w:rsid w:val="00EE2051"/>
    <w:rsid w:val="00EE43D8"/>
    <w:rsid w:val="00EF062B"/>
    <w:rsid w:val="00EF2FCB"/>
    <w:rsid w:val="00EF329B"/>
    <w:rsid w:val="00F00961"/>
    <w:rsid w:val="00F034A3"/>
    <w:rsid w:val="00F06F4E"/>
    <w:rsid w:val="00F10308"/>
    <w:rsid w:val="00F11DA5"/>
    <w:rsid w:val="00F2481E"/>
    <w:rsid w:val="00F2770F"/>
    <w:rsid w:val="00F277BC"/>
    <w:rsid w:val="00F32185"/>
    <w:rsid w:val="00F42581"/>
    <w:rsid w:val="00F47BFA"/>
    <w:rsid w:val="00F512E8"/>
    <w:rsid w:val="00F562A7"/>
    <w:rsid w:val="00F71A0B"/>
    <w:rsid w:val="00F74B99"/>
    <w:rsid w:val="00F84242"/>
    <w:rsid w:val="00F84341"/>
    <w:rsid w:val="00F86C90"/>
    <w:rsid w:val="00FA294B"/>
    <w:rsid w:val="00FA6517"/>
    <w:rsid w:val="00FB4BFF"/>
    <w:rsid w:val="00FC68ED"/>
    <w:rsid w:val="00FE1FE8"/>
    <w:rsid w:val="00FF39F9"/>
    <w:rsid w:val="00FF563F"/>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1</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7</cp:revision>
  <cp:lastPrinted>2021-07-30T07:47:00Z</cp:lastPrinted>
  <dcterms:created xsi:type="dcterms:W3CDTF">2021-07-28T08:39:00Z</dcterms:created>
  <dcterms:modified xsi:type="dcterms:W3CDTF">2021-07-30T08:35:00Z</dcterms:modified>
</cp:coreProperties>
</file>