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11" w:rsidRPr="008E1711" w:rsidRDefault="00411611" w:rsidP="00411611">
      <w:pPr>
        <w:spacing w:line="360" w:lineRule="auto"/>
        <w:rPr>
          <w:b/>
        </w:rPr>
      </w:pPr>
      <w:bookmarkStart w:id="0" w:name="_GoBack"/>
      <w:bookmarkEnd w:id="0"/>
      <w:r w:rsidRPr="008E1711">
        <w:rPr>
          <w:b/>
        </w:rPr>
        <w:t xml:space="preserve">THE LABOUR COURT OF ZIMBABWE      </w:t>
      </w:r>
      <w:r>
        <w:rPr>
          <w:b/>
        </w:rPr>
        <w:t xml:space="preserve">   </w:t>
      </w:r>
      <w:r w:rsidRPr="008E1711">
        <w:rPr>
          <w:b/>
        </w:rPr>
        <w:t>JUDGMENT NO. LC/H/</w:t>
      </w:r>
      <w:r w:rsidR="00A70C37">
        <w:rPr>
          <w:b/>
        </w:rPr>
        <w:t>48</w:t>
      </w:r>
      <w:r>
        <w:rPr>
          <w:b/>
        </w:rPr>
        <w:t>/2016</w:t>
      </w:r>
    </w:p>
    <w:p w:rsidR="00411611" w:rsidRDefault="00411611" w:rsidP="00411611">
      <w:pPr>
        <w:spacing w:line="360" w:lineRule="auto"/>
        <w:jc w:val="both"/>
        <w:rPr>
          <w:b/>
        </w:rPr>
      </w:pPr>
      <w:r>
        <w:rPr>
          <w:b/>
        </w:rPr>
        <w:t>HARARE, 22 JANUARY 2016</w:t>
      </w:r>
      <w:r w:rsidRPr="00047C13">
        <w:rPr>
          <w:b/>
        </w:rPr>
        <w:t xml:space="preserve">    </w:t>
      </w:r>
      <w:r w:rsidRPr="00047C13">
        <w:rPr>
          <w:b/>
        </w:rPr>
        <w:tab/>
      </w:r>
      <w:r w:rsidRPr="00047C13">
        <w:rPr>
          <w:b/>
        </w:rPr>
        <w:tab/>
        <w:t>CASE NO. LC/</w:t>
      </w:r>
      <w:r>
        <w:rPr>
          <w:b/>
        </w:rPr>
        <w:t>H/APP/1006/15</w:t>
      </w:r>
    </w:p>
    <w:p w:rsidR="00411611" w:rsidRDefault="00411611" w:rsidP="00411611">
      <w:pPr>
        <w:spacing w:line="360" w:lineRule="auto"/>
        <w:jc w:val="both"/>
        <w:rPr>
          <w:b/>
        </w:rPr>
      </w:pPr>
      <w:r>
        <w:rPr>
          <w:b/>
        </w:rPr>
        <w:t xml:space="preserve">AND </w:t>
      </w:r>
      <w:r w:rsidR="00A70C37">
        <w:rPr>
          <w:b/>
        </w:rPr>
        <w:t>5 FEBRUARY</w:t>
      </w:r>
      <w:r>
        <w:rPr>
          <w:b/>
        </w:rPr>
        <w:t xml:space="preserve"> 2016</w:t>
      </w:r>
    </w:p>
    <w:p w:rsidR="00411611" w:rsidRDefault="00411611" w:rsidP="00411611">
      <w:pPr>
        <w:jc w:val="both"/>
      </w:pPr>
      <w:r w:rsidRPr="00047C13">
        <w:t>In the matter between</w:t>
      </w:r>
      <w:r>
        <w:t>:-</w:t>
      </w:r>
    </w:p>
    <w:p w:rsidR="00411611" w:rsidRDefault="00411611" w:rsidP="00411611">
      <w:pPr>
        <w:jc w:val="both"/>
      </w:pPr>
    </w:p>
    <w:p w:rsidR="00411611" w:rsidRPr="00047C13" w:rsidRDefault="00411611" w:rsidP="00411611">
      <w:pPr>
        <w:jc w:val="both"/>
      </w:pPr>
    </w:p>
    <w:p w:rsidR="00411611" w:rsidRPr="00047C13" w:rsidRDefault="00411611" w:rsidP="00411611">
      <w:pPr>
        <w:spacing w:line="360" w:lineRule="auto"/>
        <w:jc w:val="both"/>
        <w:rPr>
          <w:b/>
        </w:rPr>
      </w:pPr>
      <w:r>
        <w:rPr>
          <w:b/>
        </w:rPr>
        <w:t>FRANCIS NYANDORO</w:t>
      </w:r>
      <w:r>
        <w:rPr>
          <w:b/>
        </w:rPr>
        <w:tab/>
      </w:r>
      <w:r>
        <w:rPr>
          <w:b/>
        </w:rPr>
        <w:tab/>
      </w:r>
      <w:r>
        <w:rPr>
          <w:b/>
        </w:rPr>
        <w:tab/>
      </w:r>
      <w:r>
        <w:rPr>
          <w:b/>
        </w:rPr>
        <w:tab/>
      </w:r>
      <w:r>
        <w:rPr>
          <w:b/>
        </w:rPr>
        <w:tab/>
        <w:t>Applicant</w:t>
      </w:r>
    </w:p>
    <w:p w:rsidR="00411611" w:rsidRPr="00047C13" w:rsidRDefault="00411611" w:rsidP="00411611">
      <w:pPr>
        <w:tabs>
          <w:tab w:val="left" w:pos="1995"/>
        </w:tabs>
        <w:spacing w:line="360" w:lineRule="auto"/>
        <w:jc w:val="both"/>
      </w:pPr>
      <w:r w:rsidRPr="00047C13">
        <w:t>And</w:t>
      </w:r>
      <w:r w:rsidRPr="00047C13">
        <w:tab/>
      </w:r>
    </w:p>
    <w:p w:rsidR="00411611" w:rsidRDefault="00602D77" w:rsidP="00411611">
      <w:pPr>
        <w:spacing w:line="360" w:lineRule="auto"/>
        <w:jc w:val="both"/>
        <w:rPr>
          <w:b/>
        </w:rPr>
      </w:pPr>
      <w:r>
        <w:rPr>
          <w:b/>
        </w:rPr>
        <w:t>CAPRI/</w:t>
      </w:r>
      <w:r w:rsidR="00411611">
        <w:rPr>
          <w:b/>
        </w:rPr>
        <w:t>INNSCOR APPLIANCES</w:t>
      </w:r>
      <w:r w:rsidR="00411611">
        <w:rPr>
          <w:b/>
        </w:rPr>
        <w:tab/>
      </w:r>
      <w:r w:rsidR="00411611">
        <w:rPr>
          <w:b/>
        </w:rPr>
        <w:tab/>
      </w:r>
      <w:r w:rsidR="00411611">
        <w:rPr>
          <w:b/>
        </w:rPr>
        <w:tab/>
        <w:t>Respondent</w:t>
      </w:r>
    </w:p>
    <w:p w:rsidR="00411611" w:rsidRDefault="00411611" w:rsidP="00411611">
      <w:pPr>
        <w:jc w:val="both"/>
        <w:rPr>
          <w:b/>
        </w:rPr>
      </w:pPr>
    </w:p>
    <w:p w:rsidR="00411611" w:rsidRDefault="00411611" w:rsidP="00411611">
      <w:pPr>
        <w:spacing w:line="360" w:lineRule="auto"/>
        <w:jc w:val="both"/>
      </w:pPr>
      <w:r>
        <w:t>Before Honourable P. Muzofa, Judge</w:t>
      </w:r>
    </w:p>
    <w:p w:rsidR="00411611" w:rsidRDefault="00411611" w:rsidP="00411611">
      <w:pPr>
        <w:jc w:val="both"/>
      </w:pPr>
      <w:r>
        <w:t xml:space="preserve">                             </w:t>
      </w:r>
    </w:p>
    <w:p w:rsidR="00411611" w:rsidRPr="00047C13" w:rsidRDefault="00411611" w:rsidP="00411611">
      <w:pPr>
        <w:jc w:val="both"/>
      </w:pPr>
      <w:r w:rsidRPr="00047C13">
        <w:tab/>
      </w:r>
      <w:r w:rsidRPr="00047C13">
        <w:tab/>
      </w:r>
      <w:r w:rsidRPr="00047C13">
        <w:tab/>
      </w:r>
    </w:p>
    <w:p w:rsidR="00411611" w:rsidRDefault="00411611" w:rsidP="00411611">
      <w:pPr>
        <w:jc w:val="both"/>
        <w:rPr>
          <w:b/>
        </w:rPr>
      </w:pPr>
      <w:r>
        <w:rPr>
          <w:b/>
        </w:rPr>
        <w:t xml:space="preserve">For </w:t>
      </w:r>
      <w:r w:rsidRPr="00047C13">
        <w:rPr>
          <w:b/>
        </w:rPr>
        <w:t>App</w:t>
      </w:r>
      <w:r>
        <w:rPr>
          <w:b/>
        </w:rPr>
        <w:t>licant</w:t>
      </w:r>
      <w:r>
        <w:rPr>
          <w:b/>
        </w:rPr>
        <w:tab/>
      </w:r>
      <w:r>
        <w:rPr>
          <w:b/>
        </w:rPr>
        <w:tab/>
        <w:t xml:space="preserve">S </w:t>
      </w:r>
      <w:proofErr w:type="spellStart"/>
      <w:r>
        <w:rPr>
          <w:b/>
        </w:rPr>
        <w:t>Masukume</w:t>
      </w:r>
      <w:proofErr w:type="spellEnd"/>
      <w:r>
        <w:rPr>
          <w:b/>
        </w:rPr>
        <w:t xml:space="preserve"> (Trade Union</w:t>
      </w:r>
      <w:r w:rsidR="00A70C37">
        <w:rPr>
          <w:b/>
        </w:rPr>
        <w:t>ist</w:t>
      </w:r>
      <w:r>
        <w:rPr>
          <w:b/>
        </w:rPr>
        <w:t>)</w:t>
      </w:r>
    </w:p>
    <w:p w:rsidR="00411611" w:rsidRPr="00047C13" w:rsidRDefault="00411611" w:rsidP="00411611">
      <w:pPr>
        <w:jc w:val="both"/>
        <w:rPr>
          <w:b/>
        </w:rPr>
      </w:pPr>
    </w:p>
    <w:p w:rsidR="00411611" w:rsidRDefault="00411611" w:rsidP="00411611">
      <w:pPr>
        <w:jc w:val="both"/>
        <w:rPr>
          <w:b/>
        </w:rPr>
      </w:pPr>
      <w:r>
        <w:rPr>
          <w:b/>
        </w:rPr>
        <w:t>For Respondent</w:t>
      </w:r>
      <w:r>
        <w:rPr>
          <w:b/>
        </w:rPr>
        <w:tab/>
      </w:r>
      <w:r w:rsidRPr="00047C13">
        <w:rPr>
          <w:b/>
        </w:rPr>
        <w:tab/>
      </w:r>
      <w:r>
        <w:rPr>
          <w:b/>
        </w:rPr>
        <w:t>E Donzvambeva (Legal Practitioner)</w:t>
      </w:r>
    </w:p>
    <w:p w:rsidR="00411611" w:rsidRDefault="00411611" w:rsidP="00411611">
      <w:pPr>
        <w:jc w:val="both"/>
        <w:rPr>
          <w:b/>
        </w:rPr>
      </w:pPr>
    </w:p>
    <w:p w:rsidR="00411611" w:rsidRPr="00047C13" w:rsidRDefault="00411611" w:rsidP="00411611">
      <w:pPr>
        <w:jc w:val="both"/>
        <w:rPr>
          <w:b/>
        </w:rPr>
      </w:pPr>
    </w:p>
    <w:p w:rsidR="00411611" w:rsidRDefault="00411611" w:rsidP="00411611">
      <w:pPr>
        <w:spacing w:line="360" w:lineRule="auto"/>
        <w:jc w:val="both"/>
        <w:rPr>
          <w:b/>
        </w:rPr>
      </w:pPr>
      <w:r>
        <w:rPr>
          <w:b/>
        </w:rPr>
        <w:t>MUZOFA, J:</w:t>
      </w:r>
    </w:p>
    <w:p w:rsidR="00411611" w:rsidRDefault="00411611" w:rsidP="00411611">
      <w:pPr>
        <w:spacing w:line="360" w:lineRule="auto"/>
        <w:jc w:val="both"/>
      </w:pPr>
    </w:p>
    <w:p w:rsidR="00066433" w:rsidRDefault="00555949" w:rsidP="00555949">
      <w:pPr>
        <w:spacing w:line="360" w:lineRule="auto"/>
        <w:jc w:val="both"/>
      </w:pPr>
      <w:r>
        <w:tab/>
        <w:t>This is an application for condonation for late noting of an application for rescission of a default judgment.</w:t>
      </w:r>
    </w:p>
    <w:p w:rsidR="00555949" w:rsidRDefault="00555949" w:rsidP="00E4668F">
      <w:pPr>
        <w:jc w:val="both"/>
      </w:pPr>
    </w:p>
    <w:p w:rsidR="00555949" w:rsidRDefault="00555949" w:rsidP="00555949">
      <w:pPr>
        <w:spacing w:line="360" w:lineRule="auto"/>
        <w:jc w:val="both"/>
      </w:pPr>
      <w:r>
        <w:tab/>
        <w:t>The respondent raised two preliminary points for determination</w:t>
      </w:r>
      <w:r w:rsidR="007617F7">
        <w:t>.</w:t>
      </w:r>
      <w:r>
        <w:t xml:space="preserve"> </w:t>
      </w:r>
    </w:p>
    <w:p w:rsidR="00CD1953" w:rsidRDefault="00CD1953" w:rsidP="00E4668F">
      <w:pPr>
        <w:jc w:val="both"/>
      </w:pPr>
    </w:p>
    <w:p w:rsidR="00CD1953" w:rsidRDefault="00CD1953" w:rsidP="00454044">
      <w:pPr>
        <w:spacing w:line="360" w:lineRule="auto"/>
        <w:ind w:firstLine="720"/>
        <w:jc w:val="both"/>
      </w:pPr>
      <w:r>
        <w:t xml:space="preserve">The first issue </w:t>
      </w:r>
      <w:r w:rsidR="007617F7">
        <w:t>was</w:t>
      </w:r>
      <w:r>
        <w:t xml:space="preserve"> </w:t>
      </w:r>
      <w:r w:rsidR="00454044">
        <w:t>that</w:t>
      </w:r>
      <w:r>
        <w:t xml:space="preserve"> the application for condonation </w:t>
      </w:r>
      <w:r w:rsidR="007617F7">
        <w:t>was</w:t>
      </w:r>
      <w:r>
        <w:t xml:space="preserve"> not supported by the </w:t>
      </w:r>
      <w:r w:rsidR="00454044">
        <w:t xml:space="preserve">founding affidavit.  To that extent there </w:t>
      </w:r>
      <w:r w:rsidR="007617F7">
        <w:t>was</w:t>
      </w:r>
      <w:r w:rsidR="00454044">
        <w:t xml:space="preserve"> no proper application for condonation for late noting of an application for rescission</w:t>
      </w:r>
      <w:r w:rsidR="007617F7">
        <w:t xml:space="preserve"> of</w:t>
      </w:r>
      <w:r w:rsidR="00454044">
        <w:t xml:space="preserve"> a default judgment.</w:t>
      </w:r>
    </w:p>
    <w:p w:rsidR="00454044" w:rsidRDefault="00454044" w:rsidP="00E4668F">
      <w:pPr>
        <w:ind w:firstLine="720"/>
        <w:jc w:val="both"/>
      </w:pPr>
    </w:p>
    <w:p w:rsidR="00403CBC" w:rsidRDefault="00403CBC" w:rsidP="00454044">
      <w:pPr>
        <w:spacing w:line="360" w:lineRule="auto"/>
        <w:ind w:firstLine="720"/>
        <w:jc w:val="both"/>
      </w:pPr>
      <w:r>
        <w:t>The applicant</w:t>
      </w:r>
      <w:r w:rsidR="00454044">
        <w:t xml:space="preserve"> had no meaningful submissions to make in response</w:t>
      </w:r>
      <w:r>
        <w:t>.</w:t>
      </w:r>
    </w:p>
    <w:p w:rsidR="00403CBC" w:rsidRDefault="00403CBC" w:rsidP="00E4668F">
      <w:pPr>
        <w:ind w:firstLine="720"/>
        <w:jc w:val="both"/>
      </w:pPr>
    </w:p>
    <w:p w:rsidR="00096147" w:rsidRDefault="00403CBC" w:rsidP="00454044">
      <w:pPr>
        <w:spacing w:line="360" w:lineRule="auto"/>
        <w:ind w:firstLine="720"/>
        <w:jc w:val="both"/>
      </w:pPr>
      <w:r>
        <w:t>It is settled that an application falls or stands on the found</w:t>
      </w:r>
      <w:r w:rsidR="00757EDB">
        <w:t>ing</w:t>
      </w:r>
      <w:r>
        <w:t xml:space="preserve"> papers.  </w:t>
      </w:r>
      <w:r w:rsidRPr="00CD31B4">
        <w:rPr>
          <w:i/>
        </w:rPr>
        <w:t>Moyo</w:t>
      </w:r>
      <w:r>
        <w:t xml:space="preserve"> v </w:t>
      </w:r>
      <w:r w:rsidRPr="00CD31B4">
        <w:rPr>
          <w:i/>
        </w:rPr>
        <w:t>Zvoma</w:t>
      </w:r>
      <w:r>
        <w:t xml:space="preserve"> SC 28/10.  The application is not what it terms itself to be.  According to the applicant’s founding affidavit this is an application for rescission of judgment.  T</w:t>
      </w:r>
      <w:r w:rsidR="006013F0">
        <w:t xml:space="preserve">he Notice of Application Form LC </w:t>
      </w:r>
      <w:r w:rsidR="00757EDB">
        <w:t>1 the brief facts show</w:t>
      </w:r>
      <w:r>
        <w:t xml:space="preserve"> that</w:t>
      </w:r>
      <w:r w:rsidR="00BB27F0">
        <w:t xml:space="preserve"> the application is for rescission of judgment.  The purported application for condonation of late noting of </w:t>
      </w:r>
      <w:r w:rsidR="00BB27F0">
        <w:lastRenderedPageBreak/>
        <w:t>an application for rescission of a default</w:t>
      </w:r>
      <w:r w:rsidR="00096147">
        <w:t xml:space="preserve"> judgment would remain unsubstantiated and therefore can only be dismissed.</w:t>
      </w:r>
    </w:p>
    <w:p w:rsidR="00096147" w:rsidRDefault="00096147" w:rsidP="00E4668F">
      <w:pPr>
        <w:ind w:firstLine="720"/>
        <w:jc w:val="both"/>
      </w:pPr>
    </w:p>
    <w:p w:rsidR="005E6F5B" w:rsidRDefault="00096147" w:rsidP="00454044">
      <w:pPr>
        <w:spacing w:line="360" w:lineRule="auto"/>
        <w:ind w:firstLine="720"/>
        <w:jc w:val="both"/>
      </w:pPr>
      <w:r>
        <w:t>Even if the court were to assume that the</w:t>
      </w:r>
      <w:r w:rsidR="00AC65F2">
        <w:t>re</w:t>
      </w:r>
      <w:r>
        <w:t xml:space="preserve"> is an application for rescission of a default order.  That application would be improperly before the court in that it was noted outside the prescribed period.  In terms of Rule 33 of the Labour Court Rules, 2006 applications for rescission of judgment should be made</w:t>
      </w:r>
      <w:r w:rsidR="005E6F5B">
        <w:t xml:space="preserve"> within thirty days from the date the applicant became aware of the order.</w:t>
      </w:r>
    </w:p>
    <w:p w:rsidR="005E6F5B" w:rsidRDefault="005E6F5B" w:rsidP="00E4668F">
      <w:pPr>
        <w:ind w:firstLine="720"/>
        <w:jc w:val="both"/>
      </w:pPr>
    </w:p>
    <w:p w:rsidR="003431B3" w:rsidRDefault="005E6F5B" w:rsidP="00454044">
      <w:pPr>
        <w:spacing w:line="360" w:lineRule="auto"/>
        <w:ind w:firstLine="720"/>
        <w:jc w:val="both"/>
      </w:pPr>
      <w:r>
        <w:t>The order which forms the basis of this application was issued</w:t>
      </w:r>
      <w:r w:rsidR="003431B3">
        <w:t xml:space="preserve"> on 4 August 2014.  This application was filed on 18 August 2015 almost one year later.  Prima facie the application was out of time it was, as of necessary incumbent that an application for condonation be made first.  So, the application for rescission of judgment would</w:t>
      </w:r>
      <w:r w:rsidR="00757EDB">
        <w:t xml:space="preserve"> be</w:t>
      </w:r>
      <w:r w:rsidR="003431B3">
        <w:t xml:space="preserve"> improperly before the court.</w:t>
      </w:r>
    </w:p>
    <w:p w:rsidR="003431B3" w:rsidRDefault="003431B3" w:rsidP="00E4668F">
      <w:pPr>
        <w:ind w:firstLine="720"/>
        <w:jc w:val="both"/>
      </w:pPr>
    </w:p>
    <w:p w:rsidR="006013F0" w:rsidRDefault="003431B3" w:rsidP="00454044">
      <w:pPr>
        <w:spacing w:line="360" w:lineRule="auto"/>
        <w:ind w:firstLine="720"/>
        <w:jc w:val="both"/>
      </w:pPr>
      <w:r>
        <w:t>I am persuaded by the respondent.  The applicant has not brought a proper application before the court.</w:t>
      </w:r>
    </w:p>
    <w:p w:rsidR="006013F0" w:rsidRDefault="006013F0" w:rsidP="00E4668F">
      <w:pPr>
        <w:ind w:firstLine="720"/>
        <w:jc w:val="both"/>
      </w:pPr>
    </w:p>
    <w:p w:rsidR="00454044" w:rsidRDefault="006013F0" w:rsidP="00454044">
      <w:pPr>
        <w:spacing w:line="360" w:lineRule="auto"/>
        <w:ind w:firstLine="720"/>
        <w:jc w:val="both"/>
      </w:pPr>
      <w:r>
        <w:t>The respondent also raised issue that applicant had not used Form LC 1 in making its application.  This point was withdrawn when applicant referred the res</w:t>
      </w:r>
      <w:r w:rsidR="00757EDB">
        <w:t>pondent to the attachments filed</w:t>
      </w:r>
      <w:r>
        <w:t xml:space="preserve"> with the court that included</w:t>
      </w:r>
      <w:r w:rsidR="00757EDB">
        <w:t xml:space="preserve"> the Form</w:t>
      </w:r>
      <w:r>
        <w:t xml:space="preserve"> LC 1.</w:t>
      </w:r>
      <w:r w:rsidR="005E6F5B">
        <w:t xml:space="preserve"> </w:t>
      </w:r>
      <w:r w:rsidR="00454044">
        <w:t xml:space="preserve"> </w:t>
      </w:r>
    </w:p>
    <w:p w:rsidR="0023021C" w:rsidRDefault="0023021C" w:rsidP="00E4668F">
      <w:pPr>
        <w:ind w:firstLine="720"/>
        <w:jc w:val="both"/>
      </w:pPr>
    </w:p>
    <w:p w:rsidR="0023021C" w:rsidRDefault="0023021C" w:rsidP="00454044">
      <w:pPr>
        <w:spacing w:line="360" w:lineRule="auto"/>
        <w:ind w:firstLine="720"/>
        <w:jc w:val="both"/>
      </w:pPr>
      <w:r>
        <w:t xml:space="preserve">The determination of the first preliminary point disposes of this matter.  </w:t>
      </w:r>
      <w:r w:rsidR="004043E5">
        <w:t>There is no need to address the other preliminary point.</w:t>
      </w:r>
    </w:p>
    <w:p w:rsidR="004043E5" w:rsidRDefault="004043E5" w:rsidP="00E4668F">
      <w:pPr>
        <w:ind w:firstLine="720"/>
        <w:jc w:val="both"/>
      </w:pPr>
    </w:p>
    <w:p w:rsidR="004043E5" w:rsidRDefault="004043E5" w:rsidP="00454044">
      <w:pPr>
        <w:spacing w:line="360" w:lineRule="auto"/>
        <w:ind w:firstLine="720"/>
        <w:jc w:val="both"/>
      </w:pPr>
      <w:r>
        <w:t xml:space="preserve">The respondent has requested for costs on a higher scale on the basis that this application is an abuse of court process.  I donot think so.  According to the </w:t>
      </w:r>
      <w:r w:rsidRPr="004043E5">
        <w:rPr>
          <w:i/>
        </w:rPr>
        <w:t>Bindura Municipality</w:t>
      </w:r>
      <w:r>
        <w:t xml:space="preserve"> v </w:t>
      </w:r>
      <w:r w:rsidRPr="004043E5">
        <w:rPr>
          <w:i/>
        </w:rPr>
        <w:t>Mugogo</w:t>
      </w:r>
      <w:r>
        <w:t xml:space="preserve"> SC 32/15 the proper course to follow where a matter has been struck off is to apply for condonation.  In </w:t>
      </w:r>
      <w:r w:rsidRPr="004043E5">
        <w:rPr>
          <w:i/>
        </w:rPr>
        <w:t>casu</w:t>
      </w:r>
      <w:r>
        <w:t xml:space="preserve"> applicant prima facie made an application for condonation of late noting of an application for rescission of judgment.  The application only met its demise due to the improper supporting documents.</w:t>
      </w:r>
    </w:p>
    <w:p w:rsidR="004043E5" w:rsidRDefault="004043E5" w:rsidP="004043E5">
      <w:pPr>
        <w:jc w:val="both"/>
      </w:pPr>
    </w:p>
    <w:p w:rsidR="004043E5" w:rsidRDefault="004043E5" w:rsidP="004043E5">
      <w:pPr>
        <w:spacing w:line="360" w:lineRule="auto"/>
        <w:jc w:val="both"/>
      </w:pPr>
      <w:r>
        <w:t>Accordingly the following order is made.</w:t>
      </w:r>
    </w:p>
    <w:p w:rsidR="004043E5" w:rsidRDefault="004043E5" w:rsidP="004043E5">
      <w:pPr>
        <w:spacing w:line="360" w:lineRule="auto"/>
        <w:jc w:val="both"/>
      </w:pPr>
    </w:p>
    <w:p w:rsidR="004043E5" w:rsidRDefault="004043E5" w:rsidP="004043E5">
      <w:pPr>
        <w:spacing w:line="360" w:lineRule="auto"/>
        <w:jc w:val="both"/>
      </w:pPr>
      <w:r>
        <w:t>The application for condonation for late noting of an application for rescission of judgment be and is hereby dismissed with costs on an ordinary scale.</w:t>
      </w:r>
    </w:p>
    <w:p w:rsidR="004043E5" w:rsidRDefault="004043E5" w:rsidP="004043E5">
      <w:pPr>
        <w:spacing w:line="360" w:lineRule="auto"/>
        <w:jc w:val="both"/>
      </w:pPr>
    </w:p>
    <w:p w:rsidR="004043E5" w:rsidRDefault="004043E5" w:rsidP="004043E5">
      <w:pPr>
        <w:spacing w:line="360" w:lineRule="auto"/>
        <w:jc w:val="both"/>
      </w:pPr>
    </w:p>
    <w:p w:rsidR="004043E5" w:rsidRDefault="004043E5" w:rsidP="004043E5">
      <w:pPr>
        <w:spacing w:line="360" w:lineRule="auto"/>
        <w:jc w:val="both"/>
      </w:pPr>
    </w:p>
    <w:p w:rsidR="004043E5" w:rsidRDefault="004043E5" w:rsidP="004043E5">
      <w:pPr>
        <w:spacing w:line="360" w:lineRule="auto"/>
        <w:jc w:val="both"/>
      </w:pPr>
      <w:r w:rsidRPr="004043E5">
        <w:rPr>
          <w:i/>
        </w:rPr>
        <w:t>Wintertons</w:t>
      </w:r>
      <w:r>
        <w:t>, respondent’s legal practitioners</w:t>
      </w:r>
    </w:p>
    <w:p w:rsidR="00454044" w:rsidRDefault="00454044" w:rsidP="00555949">
      <w:pPr>
        <w:spacing w:line="360" w:lineRule="auto"/>
        <w:jc w:val="both"/>
      </w:pPr>
    </w:p>
    <w:sectPr w:rsidR="00454044" w:rsidSect="00DE1A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197" w:rsidRDefault="00051197" w:rsidP="00DE1A06">
      <w:r>
        <w:separator/>
      </w:r>
    </w:p>
  </w:endnote>
  <w:endnote w:type="continuationSeparator" w:id="0">
    <w:p w:rsidR="00051197" w:rsidRDefault="00051197" w:rsidP="00DE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32" w:rsidRDefault="00107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111500"/>
      <w:docPartObj>
        <w:docPartGallery w:val="Page Numbers (Bottom of Page)"/>
        <w:docPartUnique/>
      </w:docPartObj>
    </w:sdtPr>
    <w:sdtEndPr>
      <w:rPr>
        <w:noProof/>
      </w:rPr>
    </w:sdtEndPr>
    <w:sdtContent>
      <w:p w:rsidR="00DE1A06" w:rsidRDefault="00DE1A06">
        <w:pPr>
          <w:pStyle w:val="Footer"/>
          <w:jc w:val="center"/>
        </w:pPr>
        <w:r>
          <w:fldChar w:fldCharType="begin"/>
        </w:r>
        <w:r>
          <w:instrText xml:space="preserve"> PAGE   \* MERGEFORMAT </w:instrText>
        </w:r>
        <w:r>
          <w:fldChar w:fldCharType="separate"/>
        </w:r>
        <w:r w:rsidR="00711E0F">
          <w:rPr>
            <w:noProof/>
          </w:rPr>
          <w:t>3</w:t>
        </w:r>
        <w:r>
          <w:rPr>
            <w:noProof/>
          </w:rPr>
          <w:fldChar w:fldCharType="end"/>
        </w:r>
      </w:p>
    </w:sdtContent>
  </w:sdt>
  <w:p w:rsidR="00DE1A06" w:rsidRDefault="00DE1A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32" w:rsidRDefault="0010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197" w:rsidRDefault="00051197" w:rsidP="00DE1A06">
      <w:r>
        <w:separator/>
      </w:r>
    </w:p>
  </w:footnote>
  <w:footnote w:type="continuationSeparator" w:id="0">
    <w:p w:rsidR="00051197" w:rsidRDefault="00051197" w:rsidP="00DE1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32" w:rsidRDefault="00107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06" w:rsidRDefault="00DE1A06">
    <w:pPr>
      <w:pStyle w:val="Header"/>
    </w:pPr>
    <w:r>
      <w:tab/>
    </w:r>
    <w:r>
      <w:tab/>
      <w:t>JUDGMENT NO. LC/H/</w:t>
    </w:r>
    <w:r w:rsidR="00107B32">
      <w:t>48</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32" w:rsidRDefault="00107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11"/>
    <w:rsid w:val="00051197"/>
    <w:rsid w:val="00066433"/>
    <w:rsid w:val="00096147"/>
    <w:rsid w:val="00107B32"/>
    <w:rsid w:val="001966EA"/>
    <w:rsid w:val="0023021C"/>
    <w:rsid w:val="002663D8"/>
    <w:rsid w:val="00313D0C"/>
    <w:rsid w:val="003431B3"/>
    <w:rsid w:val="00403CBC"/>
    <w:rsid w:val="004043E5"/>
    <w:rsid w:val="00411611"/>
    <w:rsid w:val="00454044"/>
    <w:rsid w:val="00555949"/>
    <w:rsid w:val="005E6F5B"/>
    <w:rsid w:val="006013F0"/>
    <w:rsid w:val="00602D77"/>
    <w:rsid w:val="00647846"/>
    <w:rsid w:val="00711E0F"/>
    <w:rsid w:val="00757EDB"/>
    <w:rsid w:val="007617F7"/>
    <w:rsid w:val="00A70C37"/>
    <w:rsid w:val="00A85EE0"/>
    <w:rsid w:val="00AC65F2"/>
    <w:rsid w:val="00BB27F0"/>
    <w:rsid w:val="00CD1953"/>
    <w:rsid w:val="00CD31B4"/>
    <w:rsid w:val="00D22107"/>
    <w:rsid w:val="00DA726F"/>
    <w:rsid w:val="00DE1A06"/>
    <w:rsid w:val="00E466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1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06"/>
    <w:pPr>
      <w:tabs>
        <w:tab w:val="center" w:pos="4513"/>
        <w:tab w:val="right" w:pos="9026"/>
      </w:tabs>
    </w:pPr>
  </w:style>
  <w:style w:type="character" w:customStyle="1" w:styleId="HeaderChar">
    <w:name w:val="Header Char"/>
    <w:basedOn w:val="DefaultParagraphFont"/>
    <w:link w:val="Header"/>
    <w:uiPriority w:val="99"/>
    <w:rsid w:val="00DE1A06"/>
    <w:rPr>
      <w:rFonts w:ascii="Tahoma" w:eastAsia="Times New Roman" w:hAnsi="Tahoma" w:cs="Times New Roman"/>
      <w:sz w:val="24"/>
      <w:szCs w:val="24"/>
      <w:lang w:val="en-US"/>
    </w:rPr>
  </w:style>
  <w:style w:type="paragraph" w:styleId="Footer">
    <w:name w:val="footer"/>
    <w:basedOn w:val="Normal"/>
    <w:link w:val="FooterChar"/>
    <w:uiPriority w:val="99"/>
    <w:unhideWhenUsed/>
    <w:rsid w:val="00DE1A06"/>
    <w:pPr>
      <w:tabs>
        <w:tab w:val="center" w:pos="4513"/>
        <w:tab w:val="right" w:pos="9026"/>
      </w:tabs>
    </w:pPr>
  </w:style>
  <w:style w:type="character" w:customStyle="1" w:styleId="FooterChar">
    <w:name w:val="Footer Char"/>
    <w:basedOn w:val="DefaultParagraphFont"/>
    <w:link w:val="Footer"/>
    <w:uiPriority w:val="99"/>
    <w:rsid w:val="00DE1A06"/>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02D77"/>
    <w:rPr>
      <w:rFonts w:cs="Tahoma"/>
      <w:sz w:val="16"/>
      <w:szCs w:val="16"/>
    </w:rPr>
  </w:style>
  <w:style w:type="character" w:customStyle="1" w:styleId="BalloonTextChar">
    <w:name w:val="Balloon Text Char"/>
    <w:basedOn w:val="DefaultParagraphFont"/>
    <w:link w:val="BalloonText"/>
    <w:uiPriority w:val="99"/>
    <w:semiHidden/>
    <w:rsid w:val="00602D7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1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06"/>
    <w:pPr>
      <w:tabs>
        <w:tab w:val="center" w:pos="4513"/>
        <w:tab w:val="right" w:pos="9026"/>
      </w:tabs>
    </w:pPr>
  </w:style>
  <w:style w:type="character" w:customStyle="1" w:styleId="HeaderChar">
    <w:name w:val="Header Char"/>
    <w:basedOn w:val="DefaultParagraphFont"/>
    <w:link w:val="Header"/>
    <w:uiPriority w:val="99"/>
    <w:rsid w:val="00DE1A06"/>
    <w:rPr>
      <w:rFonts w:ascii="Tahoma" w:eastAsia="Times New Roman" w:hAnsi="Tahoma" w:cs="Times New Roman"/>
      <w:sz w:val="24"/>
      <w:szCs w:val="24"/>
      <w:lang w:val="en-US"/>
    </w:rPr>
  </w:style>
  <w:style w:type="paragraph" w:styleId="Footer">
    <w:name w:val="footer"/>
    <w:basedOn w:val="Normal"/>
    <w:link w:val="FooterChar"/>
    <w:uiPriority w:val="99"/>
    <w:unhideWhenUsed/>
    <w:rsid w:val="00DE1A06"/>
    <w:pPr>
      <w:tabs>
        <w:tab w:val="center" w:pos="4513"/>
        <w:tab w:val="right" w:pos="9026"/>
      </w:tabs>
    </w:pPr>
  </w:style>
  <w:style w:type="character" w:customStyle="1" w:styleId="FooterChar">
    <w:name w:val="Footer Char"/>
    <w:basedOn w:val="DefaultParagraphFont"/>
    <w:link w:val="Footer"/>
    <w:uiPriority w:val="99"/>
    <w:rsid w:val="00DE1A06"/>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02D77"/>
    <w:rPr>
      <w:rFonts w:cs="Tahoma"/>
      <w:sz w:val="16"/>
      <w:szCs w:val="16"/>
    </w:rPr>
  </w:style>
  <w:style w:type="character" w:customStyle="1" w:styleId="BalloonTextChar">
    <w:name w:val="Balloon Text Char"/>
    <w:basedOn w:val="DefaultParagraphFont"/>
    <w:link w:val="BalloonText"/>
    <w:uiPriority w:val="99"/>
    <w:semiHidden/>
    <w:rsid w:val="00602D7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D399-7E1A-457D-BFAD-09A864C4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23</cp:revision>
  <cp:lastPrinted>2016-02-02T14:06:00Z</cp:lastPrinted>
  <dcterms:created xsi:type="dcterms:W3CDTF">2016-02-01T09:59:00Z</dcterms:created>
  <dcterms:modified xsi:type="dcterms:W3CDTF">2016-03-17T10:52:00Z</dcterms:modified>
</cp:coreProperties>
</file>