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63F" w:rsidRDefault="0016063F" w:rsidP="0016063F">
      <w:pPr>
        <w:pStyle w:val="NoSpacing"/>
        <w:jc w:val="both"/>
        <w:rPr>
          <w:b/>
          <w:szCs w:val="24"/>
        </w:rPr>
      </w:pPr>
      <w:r>
        <w:rPr>
          <w:b/>
          <w:szCs w:val="24"/>
        </w:rPr>
        <w:t>FRANCIS NYAMADZAWO</w:t>
      </w:r>
    </w:p>
    <w:p w:rsidR="0016063F" w:rsidRDefault="0016063F" w:rsidP="0016063F">
      <w:pPr>
        <w:pStyle w:val="NoSpacing"/>
        <w:jc w:val="both"/>
        <w:rPr>
          <w:b/>
          <w:szCs w:val="24"/>
        </w:rPr>
      </w:pPr>
    </w:p>
    <w:p w:rsidR="0016063F" w:rsidRDefault="0016063F" w:rsidP="0016063F">
      <w:pPr>
        <w:pStyle w:val="NoSpacing"/>
        <w:jc w:val="both"/>
        <w:rPr>
          <w:b/>
          <w:szCs w:val="24"/>
        </w:rPr>
      </w:pPr>
      <w:r>
        <w:rPr>
          <w:b/>
          <w:szCs w:val="24"/>
        </w:rPr>
        <w:t>And</w:t>
      </w:r>
    </w:p>
    <w:p w:rsidR="0016063F" w:rsidRDefault="0016063F" w:rsidP="0016063F">
      <w:pPr>
        <w:pStyle w:val="NoSpacing"/>
        <w:jc w:val="both"/>
        <w:rPr>
          <w:b/>
          <w:szCs w:val="24"/>
        </w:rPr>
      </w:pPr>
    </w:p>
    <w:p w:rsidR="0016063F" w:rsidRDefault="0016063F" w:rsidP="0016063F">
      <w:pPr>
        <w:pStyle w:val="NoSpacing"/>
        <w:jc w:val="both"/>
        <w:rPr>
          <w:b/>
          <w:szCs w:val="24"/>
        </w:rPr>
      </w:pPr>
      <w:r>
        <w:rPr>
          <w:b/>
          <w:szCs w:val="24"/>
        </w:rPr>
        <w:t>SIPIWE NYAMADZAWO</w:t>
      </w:r>
    </w:p>
    <w:p w:rsidR="0016063F" w:rsidRDefault="0016063F" w:rsidP="0016063F">
      <w:pPr>
        <w:pStyle w:val="NoSpacing"/>
        <w:jc w:val="both"/>
        <w:rPr>
          <w:b/>
          <w:szCs w:val="24"/>
        </w:rPr>
      </w:pPr>
    </w:p>
    <w:p w:rsidR="0016063F" w:rsidRDefault="0016063F" w:rsidP="0016063F">
      <w:pPr>
        <w:pStyle w:val="NoSpacing"/>
        <w:jc w:val="both"/>
        <w:rPr>
          <w:b/>
          <w:szCs w:val="24"/>
        </w:rPr>
      </w:pPr>
      <w:r>
        <w:rPr>
          <w:b/>
          <w:szCs w:val="24"/>
        </w:rPr>
        <w:t>Versus</w:t>
      </w:r>
    </w:p>
    <w:p w:rsidR="0016063F" w:rsidRDefault="0016063F" w:rsidP="0016063F">
      <w:pPr>
        <w:pStyle w:val="NoSpacing"/>
        <w:jc w:val="both"/>
        <w:rPr>
          <w:b/>
          <w:szCs w:val="24"/>
        </w:rPr>
      </w:pPr>
    </w:p>
    <w:p w:rsidR="0016063F" w:rsidRDefault="0016063F" w:rsidP="0016063F">
      <w:pPr>
        <w:pStyle w:val="NoSpacing"/>
        <w:jc w:val="both"/>
        <w:rPr>
          <w:b/>
          <w:szCs w:val="24"/>
        </w:rPr>
      </w:pPr>
      <w:r>
        <w:rPr>
          <w:b/>
          <w:szCs w:val="24"/>
        </w:rPr>
        <w:t>AGRIPPA HLABANGANA</w:t>
      </w:r>
    </w:p>
    <w:p w:rsidR="0016063F" w:rsidRDefault="0016063F" w:rsidP="0016063F">
      <w:pPr>
        <w:pStyle w:val="NoSpacing"/>
        <w:jc w:val="both"/>
        <w:rPr>
          <w:b/>
          <w:szCs w:val="24"/>
        </w:rPr>
      </w:pPr>
    </w:p>
    <w:p w:rsidR="0016063F" w:rsidRDefault="0016063F" w:rsidP="0016063F">
      <w:pPr>
        <w:pStyle w:val="NoSpacing"/>
        <w:jc w:val="both"/>
        <w:rPr>
          <w:b/>
          <w:szCs w:val="24"/>
        </w:rPr>
      </w:pPr>
      <w:r>
        <w:rPr>
          <w:b/>
          <w:szCs w:val="24"/>
        </w:rPr>
        <w:t>And</w:t>
      </w:r>
    </w:p>
    <w:p w:rsidR="0016063F" w:rsidRDefault="0016063F" w:rsidP="0016063F">
      <w:pPr>
        <w:pStyle w:val="NoSpacing"/>
        <w:jc w:val="both"/>
        <w:rPr>
          <w:b/>
          <w:szCs w:val="24"/>
        </w:rPr>
      </w:pPr>
    </w:p>
    <w:p w:rsidR="0016063F" w:rsidRDefault="0016063F" w:rsidP="0016063F">
      <w:pPr>
        <w:pStyle w:val="NoSpacing"/>
        <w:jc w:val="both"/>
        <w:rPr>
          <w:b/>
          <w:szCs w:val="24"/>
        </w:rPr>
      </w:pPr>
      <w:r>
        <w:rPr>
          <w:b/>
          <w:szCs w:val="24"/>
        </w:rPr>
        <w:t>BARBRA HLABANGANA</w:t>
      </w:r>
    </w:p>
    <w:p w:rsidR="0016063F" w:rsidRDefault="0016063F" w:rsidP="0016063F">
      <w:pPr>
        <w:pStyle w:val="NoSpacing"/>
        <w:jc w:val="both"/>
        <w:rPr>
          <w:b/>
          <w:szCs w:val="24"/>
        </w:rPr>
      </w:pPr>
    </w:p>
    <w:p w:rsidR="0016063F" w:rsidRDefault="0016063F" w:rsidP="0016063F">
      <w:pPr>
        <w:pStyle w:val="NoSpacing"/>
        <w:jc w:val="both"/>
        <w:rPr>
          <w:b/>
          <w:szCs w:val="24"/>
        </w:rPr>
      </w:pPr>
      <w:r>
        <w:rPr>
          <w:b/>
          <w:szCs w:val="24"/>
        </w:rPr>
        <w:t>And</w:t>
      </w:r>
    </w:p>
    <w:p w:rsidR="0016063F" w:rsidRDefault="0016063F" w:rsidP="0016063F">
      <w:pPr>
        <w:pStyle w:val="NoSpacing"/>
        <w:jc w:val="both"/>
        <w:rPr>
          <w:b/>
          <w:szCs w:val="24"/>
        </w:rPr>
      </w:pPr>
    </w:p>
    <w:p w:rsidR="0016063F" w:rsidRDefault="0016063F" w:rsidP="0016063F">
      <w:pPr>
        <w:pStyle w:val="NoSpacing"/>
        <w:jc w:val="both"/>
        <w:rPr>
          <w:szCs w:val="24"/>
        </w:rPr>
      </w:pPr>
      <w:r>
        <w:rPr>
          <w:b/>
          <w:szCs w:val="24"/>
        </w:rPr>
        <w:t>JOYCE SEVERINO</w:t>
      </w:r>
    </w:p>
    <w:p w:rsidR="0016063F" w:rsidRDefault="0016063F" w:rsidP="0016063F">
      <w:pPr>
        <w:pStyle w:val="NoSpacing"/>
        <w:jc w:val="both"/>
        <w:rPr>
          <w:szCs w:val="24"/>
        </w:rPr>
      </w:pPr>
    </w:p>
    <w:p w:rsidR="0016063F" w:rsidRDefault="0016063F" w:rsidP="0016063F">
      <w:pPr>
        <w:pStyle w:val="NoSpacing"/>
        <w:jc w:val="both"/>
        <w:rPr>
          <w:szCs w:val="24"/>
        </w:rPr>
      </w:pPr>
    </w:p>
    <w:p w:rsidR="0016063F" w:rsidRDefault="0016063F" w:rsidP="0016063F">
      <w:pPr>
        <w:pStyle w:val="NoSpacing"/>
        <w:jc w:val="both"/>
        <w:rPr>
          <w:szCs w:val="24"/>
        </w:rPr>
      </w:pPr>
      <w:r>
        <w:rPr>
          <w:szCs w:val="24"/>
        </w:rPr>
        <w:t>IN THE HIGH COURT OF ZIMBABWE</w:t>
      </w:r>
    </w:p>
    <w:p w:rsidR="0016063F" w:rsidRDefault="0016063F" w:rsidP="0016063F">
      <w:pPr>
        <w:pStyle w:val="NoSpacing"/>
        <w:jc w:val="both"/>
        <w:rPr>
          <w:szCs w:val="24"/>
        </w:rPr>
      </w:pPr>
      <w:r>
        <w:rPr>
          <w:szCs w:val="24"/>
        </w:rPr>
        <w:t>KABASA J</w:t>
      </w:r>
    </w:p>
    <w:p w:rsidR="0016063F" w:rsidRDefault="0016063F" w:rsidP="0016063F">
      <w:pPr>
        <w:pStyle w:val="NoSpacing"/>
        <w:jc w:val="both"/>
        <w:rPr>
          <w:szCs w:val="24"/>
        </w:rPr>
      </w:pPr>
      <w:r>
        <w:rPr>
          <w:szCs w:val="24"/>
        </w:rPr>
        <w:t>BULAWAYO 2 AND 5 OCTOBER 2023</w:t>
      </w:r>
    </w:p>
    <w:p w:rsidR="0016063F" w:rsidRDefault="0016063F" w:rsidP="0016063F">
      <w:pPr>
        <w:pStyle w:val="NoSpacing"/>
        <w:jc w:val="both"/>
        <w:rPr>
          <w:szCs w:val="24"/>
        </w:rPr>
      </w:pPr>
    </w:p>
    <w:p w:rsidR="0016063F" w:rsidRDefault="0016063F" w:rsidP="0016063F">
      <w:pPr>
        <w:pStyle w:val="NoSpacing"/>
        <w:jc w:val="both"/>
        <w:rPr>
          <w:szCs w:val="24"/>
        </w:rPr>
      </w:pPr>
    </w:p>
    <w:p w:rsidR="0016063F" w:rsidRDefault="0016063F" w:rsidP="0016063F">
      <w:pPr>
        <w:pStyle w:val="NoSpacing"/>
        <w:jc w:val="both"/>
        <w:rPr>
          <w:b/>
          <w:szCs w:val="24"/>
        </w:rPr>
      </w:pPr>
      <w:r>
        <w:rPr>
          <w:b/>
          <w:szCs w:val="24"/>
        </w:rPr>
        <w:t>Opposed Application</w:t>
      </w:r>
    </w:p>
    <w:p w:rsidR="0016063F" w:rsidRDefault="0016063F" w:rsidP="0016063F">
      <w:pPr>
        <w:pStyle w:val="NoSpacing"/>
        <w:jc w:val="both"/>
        <w:rPr>
          <w:b/>
          <w:szCs w:val="24"/>
        </w:rPr>
      </w:pPr>
    </w:p>
    <w:p w:rsidR="0016063F" w:rsidRDefault="0016063F" w:rsidP="0016063F">
      <w:pPr>
        <w:pStyle w:val="NoSpacing"/>
        <w:jc w:val="both"/>
        <w:rPr>
          <w:b/>
          <w:szCs w:val="24"/>
        </w:rPr>
      </w:pPr>
    </w:p>
    <w:p w:rsidR="0016063F" w:rsidRPr="0016063F" w:rsidRDefault="0016063F" w:rsidP="0016063F">
      <w:pPr>
        <w:pStyle w:val="NoSpacing"/>
        <w:jc w:val="both"/>
        <w:rPr>
          <w:szCs w:val="24"/>
        </w:rPr>
      </w:pPr>
      <w:r>
        <w:rPr>
          <w:szCs w:val="24"/>
        </w:rPr>
        <w:t>Applicants in person</w:t>
      </w:r>
    </w:p>
    <w:p w:rsidR="0016063F" w:rsidRDefault="0016063F" w:rsidP="0016063F">
      <w:pPr>
        <w:pStyle w:val="NoSpacing"/>
        <w:jc w:val="both"/>
        <w:rPr>
          <w:szCs w:val="24"/>
        </w:rPr>
      </w:pPr>
      <w:r>
        <w:rPr>
          <w:i/>
          <w:szCs w:val="24"/>
        </w:rPr>
        <w:t>T. Marume,</w:t>
      </w:r>
      <w:r>
        <w:rPr>
          <w:szCs w:val="24"/>
        </w:rPr>
        <w:t xml:space="preserve"> for the 1</w:t>
      </w:r>
      <w:r>
        <w:rPr>
          <w:szCs w:val="24"/>
          <w:vertAlign w:val="superscript"/>
        </w:rPr>
        <w:t>st</w:t>
      </w:r>
      <w:r>
        <w:rPr>
          <w:szCs w:val="24"/>
        </w:rPr>
        <w:t xml:space="preserve"> and 2</w:t>
      </w:r>
      <w:r w:rsidRPr="0016063F">
        <w:rPr>
          <w:szCs w:val="24"/>
          <w:vertAlign w:val="superscript"/>
        </w:rPr>
        <w:t>nd</w:t>
      </w:r>
      <w:r>
        <w:rPr>
          <w:szCs w:val="24"/>
        </w:rPr>
        <w:t xml:space="preserve"> respondents</w:t>
      </w:r>
    </w:p>
    <w:p w:rsidR="0016063F" w:rsidRDefault="0016063F" w:rsidP="0016063F">
      <w:pPr>
        <w:pStyle w:val="NoSpacing"/>
        <w:jc w:val="both"/>
        <w:rPr>
          <w:szCs w:val="24"/>
        </w:rPr>
      </w:pPr>
      <w:r>
        <w:rPr>
          <w:szCs w:val="24"/>
        </w:rPr>
        <w:t>No appearance for the 3</w:t>
      </w:r>
      <w:r w:rsidRPr="0016063F">
        <w:rPr>
          <w:szCs w:val="24"/>
          <w:vertAlign w:val="superscript"/>
        </w:rPr>
        <w:t>rd</w:t>
      </w:r>
      <w:r>
        <w:rPr>
          <w:szCs w:val="24"/>
        </w:rPr>
        <w:t xml:space="preserve"> respondent</w:t>
      </w:r>
    </w:p>
    <w:p w:rsidR="002D1101" w:rsidRDefault="002D1101" w:rsidP="0016063F">
      <w:pPr>
        <w:pStyle w:val="NoSpacing"/>
        <w:jc w:val="both"/>
        <w:rPr>
          <w:szCs w:val="24"/>
        </w:rPr>
      </w:pPr>
    </w:p>
    <w:p w:rsidR="002D1101" w:rsidRDefault="002D1101" w:rsidP="002D1101">
      <w:pPr>
        <w:pStyle w:val="NoSpacing"/>
        <w:spacing w:line="360" w:lineRule="auto"/>
        <w:ind w:firstLine="720"/>
        <w:jc w:val="both"/>
        <w:rPr>
          <w:szCs w:val="24"/>
        </w:rPr>
      </w:pPr>
    </w:p>
    <w:p w:rsidR="00E6619D" w:rsidRDefault="00E6619D" w:rsidP="00B97E94">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Any litigation must come to an end.  The principle of finality to litigation is</w:t>
      </w:r>
      <w:r w:rsidR="00593D9B">
        <w:rPr>
          <w:rFonts w:ascii="Times New Roman" w:hAnsi="Times New Roman" w:cs="Times New Roman"/>
          <w:sz w:val="24"/>
          <w:szCs w:val="24"/>
        </w:rPr>
        <w:t xml:space="preserve"> in the interests of the public policy. </w:t>
      </w:r>
      <w:r>
        <w:rPr>
          <w:rFonts w:ascii="Times New Roman" w:hAnsi="Times New Roman" w:cs="Times New Roman"/>
          <w:sz w:val="24"/>
          <w:szCs w:val="24"/>
        </w:rPr>
        <w:t>Rule 59 (15) (b) of the High Court Rules SI 202/2021 espouses this policy.</w:t>
      </w:r>
    </w:p>
    <w:p w:rsidR="0016063F" w:rsidRDefault="00E6619D" w:rsidP="00B97E94">
      <w:pPr>
        <w:pStyle w:val="NoSpacing"/>
        <w:spacing w:line="480" w:lineRule="auto"/>
        <w:ind w:firstLine="720"/>
        <w:jc w:val="both"/>
        <w:rPr>
          <w:szCs w:val="24"/>
        </w:rPr>
      </w:pPr>
      <w:r>
        <w:rPr>
          <w:szCs w:val="24"/>
        </w:rPr>
        <w:t>Rule 59 (15) (b) provides that:-</w:t>
      </w:r>
    </w:p>
    <w:p w:rsidR="00B97E94" w:rsidRDefault="00B97E94" w:rsidP="005A47FB">
      <w:pPr>
        <w:pStyle w:val="NoSpacing"/>
        <w:ind w:left="720"/>
        <w:jc w:val="both"/>
        <w:rPr>
          <w:szCs w:val="24"/>
        </w:rPr>
      </w:pPr>
      <w:r>
        <w:rPr>
          <w:szCs w:val="24"/>
        </w:rPr>
        <w:lastRenderedPageBreak/>
        <w:t>“Where the respondent has filed a notice of opposition and an opposing affidavit and within one month thereafter, the applicant has neither filed an answering affidavit nor set the matter down for hearing, the respondent, on notice to the applicant, may either –</w:t>
      </w:r>
    </w:p>
    <w:p w:rsidR="00B97E94" w:rsidRDefault="00593D9B" w:rsidP="005A47FB">
      <w:pPr>
        <w:pStyle w:val="NoSpacing"/>
        <w:ind w:left="720"/>
        <w:jc w:val="both"/>
        <w:rPr>
          <w:szCs w:val="24"/>
        </w:rPr>
      </w:pPr>
      <w:r>
        <w:rPr>
          <w:szCs w:val="24"/>
        </w:rPr>
        <w:t>(a)</w:t>
      </w:r>
      <w:r>
        <w:rPr>
          <w:szCs w:val="24"/>
        </w:rPr>
        <w:tab/>
        <w:t>…</w:t>
      </w:r>
      <w:r w:rsidR="00B97E94">
        <w:rPr>
          <w:szCs w:val="24"/>
        </w:rPr>
        <w:t xml:space="preserve"> or</w:t>
      </w:r>
    </w:p>
    <w:p w:rsidR="00B97E94" w:rsidRDefault="00B97E94" w:rsidP="005A47FB">
      <w:pPr>
        <w:pStyle w:val="NoSpacing"/>
        <w:ind w:left="1440" w:hanging="720"/>
        <w:jc w:val="both"/>
        <w:rPr>
          <w:szCs w:val="24"/>
        </w:rPr>
      </w:pPr>
      <w:r>
        <w:rPr>
          <w:szCs w:val="24"/>
        </w:rPr>
        <w:t>(b)</w:t>
      </w:r>
      <w:r>
        <w:rPr>
          <w:szCs w:val="24"/>
        </w:rPr>
        <w:tab/>
        <w:t>make a chamber application</w:t>
      </w:r>
      <w:r w:rsidR="005A47FB">
        <w:rPr>
          <w:szCs w:val="24"/>
        </w:rPr>
        <w:t xml:space="preserve"> to dismiss the matter for wan</w:t>
      </w:r>
      <w:r>
        <w:rPr>
          <w:szCs w:val="24"/>
        </w:rPr>
        <w:t>t of prosecution, and the Judge may order the matter to be dismissed with costs or make such order on such terms as he or she thinks fit.”</w:t>
      </w:r>
    </w:p>
    <w:p w:rsidR="005A47FB" w:rsidRDefault="005A47FB" w:rsidP="00B97E94">
      <w:pPr>
        <w:pStyle w:val="NoSpacing"/>
        <w:spacing w:line="480" w:lineRule="auto"/>
        <w:ind w:firstLine="720"/>
        <w:jc w:val="both"/>
        <w:rPr>
          <w:szCs w:val="24"/>
        </w:rPr>
      </w:pPr>
    </w:p>
    <w:p w:rsidR="00B97E94" w:rsidRDefault="00B97E94" w:rsidP="00B97E94">
      <w:pPr>
        <w:pStyle w:val="NoSpacing"/>
        <w:spacing w:line="480" w:lineRule="auto"/>
        <w:ind w:firstLine="720"/>
        <w:jc w:val="both"/>
        <w:rPr>
          <w:szCs w:val="24"/>
        </w:rPr>
      </w:pPr>
      <w:r>
        <w:rPr>
          <w:szCs w:val="24"/>
        </w:rPr>
        <w:t>The applicants seek the dismissal of a</w:t>
      </w:r>
      <w:r w:rsidR="00593D9B">
        <w:rPr>
          <w:szCs w:val="24"/>
        </w:rPr>
        <w:t xml:space="preserve">n application which granted a provisional </w:t>
      </w:r>
      <w:proofErr w:type="gramStart"/>
      <w:r w:rsidR="00593D9B">
        <w:rPr>
          <w:szCs w:val="24"/>
        </w:rPr>
        <w:t xml:space="preserve">order </w:t>
      </w:r>
      <w:r>
        <w:rPr>
          <w:szCs w:val="24"/>
        </w:rPr>
        <w:t xml:space="preserve"> on</w:t>
      </w:r>
      <w:proofErr w:type="gramEnd"/>
      <w:r>
        <w:rPr>
          <w:szCs w:val="24"/>
        </w:rPr>
        <w:t xml:space="preserve"> 21 October 2008 under HC 2079/08 because the respondents have not set the matter down for its confirmation or discharge.</w:t>
      </w:r>
    </w:p>
    <w:p w:rsidR="00B97E94" w:rsidRDefault="00B97E94" w:rsidP="00B97E94">
      <w:pPr>
        <w:pStyle w:val="NoSpacing"/>
        <w:spacing w:line="480" w:lineRule="auto"/>
        <w:ind w:firstLine="720"/>
        <w:jc w:val="both"/>
        <w:rPr>
          <w:szCs w:val="24"/>
        </w:rPr>
      </w:pPr>
      <w:r>
        <w:rPr>
          <w:szCs w:val="24"/>
        </w:rPr>
        <w:t>The background to the matter is this:  The 3</w:t>
      </w:r>
      <w:r w:rsidRPr="00B97E94">
        <w:rPr>
          <w:szCs w:val="24"/>
          <w:vertAlign w:val="superscript"/>
        </w:rPr>
        <w:t>rd</w:t>
      </w:r>
      <w:r>
        <w:rPr>
          <w:szCs w:val="24"/>
        </w:rPr>
        <w:t xml:space="preserve"> respondent sold her house, Number 6460 Mkoba North Township to the applicants.  The same property was also sold to the respondents in what appears to be a double sale.  The applican</w:t>
      </w:r>
      <w:r w:rsidR="00593D9B">
        <w:rPr>
          <w:szCs w:val="24"/>
        </w:rPr>
        <w:t>ts subsequently approached the magistrates c</w:t>
      </w:r>
      <w:r>
        <w:rPr>
          <w:szCs w:val="24"/>
        </w:rPr>
        <w:t>ourt under case number 1965/02 seek</w:t>
      </w:r>
      <w:r w:rsidR="002E75A3">
        <w:rPr>
          <w:szCs w:val="24"/>
        </w:rPr>
        <w:t>i</w:t>
      </w:r>
      <w:r>
        <w:rPr>
          <w:szCs w:val="24"/>
        </w:rPr>
        <w:t>ng the ejectment of the occupants of 6460 Mkoba, the contentious house.  The applicants cited the 3</w:t>
      </w:r>
      <w:r w:rsidRPr="00B97E94">
        <w:rPr>
          <w:szCs w:val="24"/>
          <w:vertAlign w:val="superscript"/>
        </w:rPr>
        <w:t>rd</w:t>
      </w:r>
      <w:r>
        <w:rPr>
          <w:szCs w:val="24"/>
        </w:rPr>
        <w:t xml:space="preserve"> responde</w:t>
      </w:r>
      <w:r w:rsidR="00FB56A8">
        <w:rPr>
          <w:szCs w:val="24"/>
        </w:rPr>
        <w:t>nt only.  The second respondent was the one in occupation and upon obtaining judgment, the writ of ejectment and notice of ejectment was duly served on the occupants.  Ejectment was set for 25 August 2008.  That ejectment proceeded and the 1</w:t>
      </w:r>
      <w:r w:rsidR="00FB56A8" w:rsidRPr="00FB56A8">
        <w:rPr>
          <w:szCs w:val="24"/>
          <w:vertAlign w:val="superscript"/>
        </w:rPr>
        <w:t>st</w:t>
      </w:r>
      <w:r w:rsidR="00FB56A8">
        <w:rPr>
          <w:szCs w:val="24"/>
        </w:rPr>
        <w:t xml:space="preserve"> and 2</w:t>
      </w:r>
      <w:r w:rsidR="00FB56A8" w:rsidRPr="00FB56A8">
        <w:rPr>
          <w:szCs w:val="24"/>
          <w:vertAlign w:val="superscript"/>
        </w:rPr>
        <w:t>nd</w:t>
      </w:r>
      <w:r w:rsidR="00FB56A8">
        <w:rPr>
          <w:szCs w:val="24"/>
        </w:rPr>
        <w:t xml:space="preserve"> respondents were duly evicted.  The 1</w:t>
      </w:r>
      <w:r w:rsidR="00FB56A8" w:rsidRPr="00FB56A8">
        <w:rPr>
          <w:szCs w:val="24"/>
          <w:vertAlign w:val="superscript"/>
        </w:rPr>
        <w:t>st</w:t>
      </w:r>
      <w:r w:rsidR="00FB56A8">
        <w:rPr>
          <w:szCs w:val="24"/>
        </w:rPr>
        <w:t xml:space="preserve"> respondent was however not at the premises due to work commitments.</w:t>
      </w:r>
    </w:p>
    <w:p w:rsidR="00FB56A8" w:rsidRDefault="00FB56A8" w:rsidP="00B97E94">
      <w:pPr>
        <w:pStyle w:val="NoSpacing"/>
        <w:spacing w:line="480" w:lineRule="auto"/>
        <w:ind w:firstLine="720"/>
        <w:jc w:val="both"/>
        <w:rPr>
          <w:szCs w:val="24"/>
        </w:rPr>
      </w:pPr>
      <w:r>
        <w:rPr>
          <w:szCs w:val="24"/>
        </w:rPr>
        <w:t>On 17 October 2008 the 1</w:t>
      </w:r>
      <w:r w:rsidRPr="00FB56A8">
        <w:rPr>
          <w:szCs w:val="24"/>
          <w:vertAlign w:val="superscript"/>
        </w:rPr>
        <w:t>st</w:t>
      </w:r>
      <w:r>
        <w:rPr>
          <w:szCs w:val="24"/>
        </w:rPr>
        <w:t xml:space="preserve"> and 2</w:t>
      </w:r>
      <w:r w:rsidRPr="00FB56A8">
        <w:rPr>
          <w:szCs w:val="24"/>
          <w:vertAlign w:val="superscript"/>
        </w:rPr>
        <w:t>nd</w:t>
      </w:r>
      <w:r>
        <w:rPr>
          <w:szCs w:val="24"/>
        </w:rPr>
        <w:t xml:space="preserve"> respondent filed an urgent chamber application in which they stated that they had been evicted from 6460 Mkoba and needed protection from the court.  This application was filed as an </w:t>
      </w:r>
      <w:r w:rsidRPr="005A47FB">
        <w:rPr>
          <w:i/>
          <w:szCs w:val="24"/>
        </w:rPr>
        <w:t>ex-parte</w:t>
      </w:r>
      <w:r>
        <w:rPr>
          <w:szCs w:val="24"/>
        </w:rPr>
        <w:t xml:space="preserve"> application and was duly granted.  The interim relief was that:-</w:t>
      </w:r>
    </w:p>
    <w:p w:rsidR="00FB56A8" w:rsidRDefault="00FB56A8" w:rsidP="005A47FB">
      <w:pPr>
        <w:pStyle w:val="NoSpacing"/>
        <w:ind w:left="720"/>
        <w:jc w:val="both"/>
        <w:rPr>
          <w:szCs w:val="24"/>
        </w:rPr>
      </w:pPr>
      <w:r>
        <w:rPr>
          <w:szCs w:val="24"/>
        </w:rPr>
        <w:lastRenderedPageBreak/>
        <w:t>“Execution of the writ issued by the Magistrates Court Gweru in Case No. 1965/02 dated 5</w:t>
      </w:r>
      <w:r w:rsidRPr="00FB56A8">
        <w:rPr>
          <w:szCs w:val="24"/>
          <w:vertAlign w:val="superscript"/>
        </w:rPr>
        <w:t>th</w:t>
      </w:r>
      <w:r>
        <w:rPr>
          <w:szCs w:val="24"/>
        </w:rPr>
        <w:t xml:space="preserve"> August 2008 is hereby suspended pending the confirmation or discharge of this Provisional Order.”</w:t>
      </w:r>
    </w:p>
    <w:p w:rsidR="005A47FB" w:rsidRDefault="005A47FB" w:rsidP="00FB56A8">
      <w:pPr>
        <w:pStyle w:val="NoSpacing"/>
        <w:spacing w:line="480" w:lineRule="auto"/>
        <w:ind w:left="720"/>
        <w:jc w:val="both"/>
        <w:rPr>
          <w:szCs w:val="24"/>
        </w:rPr>
      </w:pPr>
    </w:p>
    <w:p w:rsidR="00FB56A8" w:rsidRDefault="00FB56A8" w:rsidP="00FB56A8">
      <w:pPr>
        <w:pStyle w:val="NoSpacing"/>
        <w:spacing w:line="480" w:lineRule="auto"/>
        <w:ind w:left="720"/>
        <w:jc w:val="both"/>
        <w:rPr>
          <w:szCs w:val="24"/>
        </w:rPr>
      </w:pPr>
      <w:r>
        <w:rPr>
          <w:szCs w:val="24"/>
        </w:rPr>
        <w:t>The final relief which was being sought was that:-</w:t>
      </w:r>
    </w:p>
    <w:p w:rsidR="00FB56A8" w:rsidRDefault="00FB56A8" w:rsidP="005A47FB">
      <w:pPr>
        <w:pStyle w:val="NoSpacing"/>
        <w:ind w:left="720"/>
        <w:jc w:val="both"/>
        <w:rPr>
          <w:szCs w:val="24"/>
        </w:rPr>
      </w:pPr>
      <w:r>
        <w:rPr>
          <w:szCs w:val="24"/>
        </w:rPr>
        <w:t>“Pending finalisation of the applicants’ claim in Case No. HC 2078/2008 applicants are hereby allowed to remain in occupation of Stand No. 6460 Mkoba North Township of Mkoba otherwise</w:t>
      </w:r>
      <w:r w:rsidR="00897D1D">
        <w:rPr>
          <w:szCs w:val="24"/>
        </w:rPr>
        <w:t xml:space="preserve"> known as House No. 6460 Mkoba </w:t>
      </w:r>
      <w:r>
        <w:rPr>
          <w:szCs w:val="24"/>
        </w:rPr>
        <w:t>18 Gweru.</w:t>
      </w:r>
      <w:r w:rsidR="00B33B48">
        <w:rPr>
          <w:szCs w:val="24"/>
        </w:rPr>
        <w:t>”</w:t>
      </w:r>
    </w:p>
    <w:p w:rsidR="005A47FB" w:rsidRDefault="005A47FB" w:rsidP="00B33B48">
      <w:pPr>
        <w:pStyle w:val="NoSpacing"/>
        <w:spacing w:line="480" w:lineRule="auto"/>
        <w:ind w:firstLine="720"/>
        <w:jc w:val="both"/>
        <w:rPr>
          <w:szCs w:val="24"/>
        </w:rPr>
      </w:pPr>
    </w:p>
    <w:p w:rsidR="00B33B48" w:rsidRDefault="00B33B48" w:rsidP="00B33B48">
      <w:pPr>
        <w:pStyle w:val="NoSpacing"/>
        <w:spacing w:line="480" w:lineRule="auto"/>
        <w:ind w:firstLine="720"/>
        <w:jc w:val="both"/>
        <w:rPr>
          <w:szCs w:val="24"/>
        </w:rPr>
      </w:pPr>
      <w:r>
        <w:rPr>
          <w:szCs w:val="24"/>
        </w:rPr>
        <w:t>The applicants were served with the provisional order and duly f</w:t>
      </w:r>
      <w:r w:rsidR="00593D9B">
        <w:rPr>
          <w:szCs w:val="24"/>
        </w:rPr>
        <w:t xml:space="preserve">iled their notice of opposition, opposing the confirmation of the provisional order. </w:t>
      </w:r>
      <w:r>
        <w:rPr>
          <w:szCs w:val="24"/>
        </w:rPr>
        <w:t>The matter then stalled.  The present application was</w:t>
      </w:r>
      <w:r w:rsidR="00593D9B">
        <w:rPr>
          <w:szCs w:val="24"/>
        </w:rPr>
        <w:t xml:space="preserve"> then</w:t>
      </w:r>
      <w:r>
        <w:rPr>
          <w:szCs w:val="24"/>
        </w:rPr>
        <w:t xml:space="preserve"> filed</w:t>
      </w:r>
      <w:r w:rsidR="00593D9B">
        <w:rPr>
          <w:szCs w:val="24"/>
        </w:rPr>
        <w:t xml:space="preserve"> seeking</w:t>
      </w:r>
      <w:r>
        <w:rPr>
          <w:szCs w:val="24"/>
        </w:rPr>
        <w:t xml:space="preserve"> to dismiss</w:t>
      </w:r>
      <w:r w:rsidR="00593D9B">
        <w:rPr>
          <w:szCs w:val="24"/>
        </w:rPr>
        <w:t xml:space="preserve"> the application filed under HC 2079/08, for want of prosecution.</w:t>
      </w:r>
    </w:p>
    <w:p w:rsidR="00B33B48" w:rsidRDefault="00B33B48" w:rsidP="00B33B48">
      <w:pPr>
        <w:pStyle w:val="NoSpacing"/>
        <w:spacing w:line="480" w:lineRule="auto"/>
        <w:ind w:firstLine="720"/>
        <w:jc w:val="both"/>
        <w:rPr>
          <w:szCs w:val="24"/>
        </w:rPr>
      </w:pPr>
      <w:r>
        <w:rPr>
          <w:szCs w:val="24"/>
        </w:rPr>
        <w:t>When the matter was initially set down for hearing the 1</w:t>
      </w:r>
      <w:r w:rsidRPr="00B33B48">
        <w:rPr>
          <w:szCs w:val="24"/>
          <w:vertAlign w:val="superscript"/>
        </w:rPr>
        <w:t>st</w:t>
      </w:r>
      <w:r>
        <w:rPr>
          <w:szCs w:val="24"/>
        </w:rPr>
        <w:t xml:space="preserve"> and 2</w:t>
      </w:r>
      <w:r w:rsidRPr="00B33B48">
        <w:rPr>
          <w:szCs w:val="24"/>
          <w:vertAlign w:val="superscript"/>
        </w:rPr>
        <w:t>nd</w:t>
      </w:r>
      <w:r>
        <w:rPr>
          <w:szCs w:val="24"/>
        </w:rPr>
        <w:t xml:space="preserve"> respondents appeared in person and exhibited a lack of comprehension of what the matter was about.  The court advised them to seek legal representation.  They had however filed their opposing papers.  </w:t>
      </w:r>
      <w:r w:rsidRPr="00CD0D72">
        <w:rPr>
          <w:i/>
          <w:szCs w:val="24"/>
        </w:rPr>
        <w:t>Mr</w:t>
      </w:r>
      <w:r w:rsidR="00593D9B">
        <w:rPr>
          <w:i/>
          <w:szCs w:val="24"/>
        </w:rPr>
        <w:t>.</w:t>
      </w:r>
      <w:r w:rsidRPr="00CD0D72">
        <w:rPr>
          <w:i/>
          <w:szCs w:val="24"/>
        </w:rPr>
        <w:t xml:space="preserve"> Chizhande</w:t>
      </w:r>
      <w:r>
        <w:rPr>
          <w:szCs w:val="24"/>
        </w:rPr>
        <w:t xml:space="preserve"> was then engaged to represent the respondents and the court duly allowed counsel to file heads of argument.  The parties proceeded to file a set of new opposing papers and the applicant also filed heads of argument.  Such papers were not filed with the le</w:t>
      </w:r>
      <w:r w:rsidR="00593D9B">
        <w:rPr>
          <w:szCs w:val="24"/>
        </w:rPr>
        <w:t>ave of the court and so are</w:t>
      </w:r>
      <w:r>
        <w:rPr>
          <w:szCs w:val="24"/>
        </w:rPr>
        <w:t xml:space="preserve"> expunged from the record.  The record the court considered is therefore the one which was before it at the time the matter was postponed to allow the 1</w:t>
      </w:r>
      <w:r w:rsidRPr="00B33B48">
        <w:rPr>
          <w:szCs w:val="24"/>
          <w:vertAlign w:val="superscript"/>
        </w:rPr>
        <w:t>st</w:t>
      </w:r>
      <w:r>
        <w:rPr>
          <w:szCs w:val="24"/>
        </w:rPr>
        <w:t xml:space="preserve"> and 2</w:t>
      </w:r>
      <w:r w:rsidRPr="00B33B48">
        <w:rPr>
          <w:szCs w:val="24"/>
          <w:vertAlign w:val="superscript"/>
        </w:rPr>
        <w:t>nd</w:t>
      </w:r>
      <w:r>
        <w:rPr>
          <w:szCs w:val="24"/>
        </w:rPr>
        <w:t xml:space="preserve"> respondents to get legal representation.</w:t>
      </w:r>
    </w:p>
    <w:p w:rsidR="00B33B48" w:rsidRDefault="00B33B48" w:rsidP="00B33B48">
      <w:pPr>
        <w:pStyle w:val="NoSpacing"/>
        <w:spacing w:line="480" w:lineRule="auto"/>
        <w:ind w:firstLine="720"/>
        <w:jc w:val="both"/>
        <w:rPr>
          <w:szCs w:val="24"/>
        </w:rPr>
      </w:pPr>
      <w:r>
        <w:rPr>
          <w:szCs w:val="24"/>
        </w:rPr>
        <w:lastRenderedPageBreak/>
        <w:t>The mat</w:t>
      </w:r>
      <w:r w:rsidR="002B7941">
        <w:rPr>
          <w:szCs w:val="24"/>
        </w:rPr>
        <w:t>ter was subsequently set down for</w:t>
      </w:r>
      <w:r>
        <w:rPr>
          <w:szCs w:val="24"/>
        </w:rPr>
        <w:t xml:space="preserve"> 2 October 2023 and argued.  The applicants’ contention was that the delay in setting down HC 2079/08 is unreasonable and inordinate.  The provisional order’s confirmation has no prospects of success as it was obtained fraudulently.  The application was </w:t>
      </w:r>
      <w:r w:rsidRPr="00CD0D72">
        <w:rPr>
          <w:i/>
          <w:szCs w:val="24"/>
        </w:rPr>
        <w:t>ex parte</w:t>
      </w:r>
      <w:r>
        <w:rPr>
          <w:szCs w:val="24"/>
        </w:rPr>
        <w:t xml:space="preserve"> seeking to stop an eviction which had already occurred.  The confirmation is also anchored on HC 2078/08 a </w:t>
      </w:r>
      <w:r w:rsidR="005C3ABA">
        <w:rPr>
          <w:szCs w:val="24"/>
        </w:rPr>
        <w:t>matter where the 1</w:t>
      </w:r>
      <w:r w:rsidR="005C3ABA" w:rsidRPr="005C3ABA">
        <w:rPr>
          <w:szCs w:val="24"/>
          <w:vertAlign w:val="superscript"/>
        </w:rPr>
        <w:t>st</w:t>
      </w:r>
      <w:r w:rsidR="005C3ABA">
        <w:rPr>
          <w:szCs w:val="24"/>
        </w:rPr>
        <w:t xml:space="preserve"> and 2</w:t>
      </w:r>
      <w:r w:rsidR="005C3ABA" w:rsidRPr="005C3ABA">
        <w:rPr>
          <w:szCs w:val="24"/>
          <w:vertAlign w:val="superscript"/>
        </w:rPr>
        <w:t>nd</w:t>
      </w:r>
      <w:r w:rsidR="005C3ABA">
        <w:rPr>
          <w:szCs w:val="24"/>
        </w:rPr>
        <w:t xml:space="preserve"> respondents were claiming ownership of the house in question.  That matter HC 2078/08 was however removed from the roll by M</w:t>
      </w:r>
      <w:r w:rsidR="005C3ABA" w:rsidRPr="00CD0D72">
        <w:rPr>
          <w:sz w:val="20"/>
          <w:szCs w:val="20"/>
        </w:rPr>
        <w:t>AKONESE J</w:t>
      </w:r>
      <w:r w:rsidR="005C3ABA">
        <w:rPr>
          <w:szCs w:val="24"/>
        </w:rPr>
        <w:t xml:space="preserve"> on 12 January 2012.  It was subsequently deemed abandoned and dismissed by operation of law. The confirmation of HC 2079/08 therefore stands on nothing.</w:t>
      </w:r>
    </w:p>
    <w:p w:rsidR="00903769" w:rsidRDefault="00882A70" w:rsidP="00B33B48">
      <w:pPr>
        <w:pStyle w:val="NoSpacing"/>
        <w:spacing w:line="480" w:lineRule="auto"/>
        <w:ind w:firstLine="720"/>
        <w:jc w:val="both"/>
        <w:rPr>
          <w:szCs w:val="24"/>
        </w:rPr>
      </w:pPr>
      <w:r>
        <w:rPr>
          <w:szCs w:val="24"/>
        </w:rPr>
        <w:t>In opposing the application counsel for the 1</w:t>
      </w:r>
      <w:r w:rsidRPr="00882A70">
        <w:rPr>
          <w:szCs w:val="24"/>
          <w:vertAlign w:val="superscript"/>
        </w:rPr>
        <w:t>st</w:t>
      </w:r>
      <w:r>
        <w:rPr>
          <w:szCs w:val="24"/>
        </w:rPr>
        <w:t xml:space="preserve"> and 2</w:t>
      </w:r>
      <w:r w:rsidRPr="00882A70">
        <w:rPr>
          <w:szCs w:val="24"/>
          <w:vertAlign w:val="superscript"/>
        </w:rPr>
        <w:t>nd</w:t>
      </w:r>
      <w:r>
        <w:rPr>
          <w:szCs w:val="24"/>
        </w:rPr>
        <w:t xml:space="preserve"> respondents had taken points </w:t>
      </w:r>
      <w:r w:rsidRPr="00CD0D72">
        <w:rPr>
          <w:i/>
          <w:szCs w:val="24"/>
        </w:rPr>
        <w:t>in limine</w:t>
      </w:r>
      <w:r>
        <w:rPr>
          <w:szCs w:val="24"/>
        </w:rPr>
        <w:t xml:space="preserve"> which he abandoned on the day of the hearing.  I will therefore not consider these points.  Suffice to say the decision by counsel</w:t>
      </w:r>
      <w:r w:rsidR="002B7941">
        <w:rPr>
          <w:szCs w:val="24"/>
        </w:rPr>
        <w:t xml:space="preserve"> to abandon the points </w:t>
      </w:r>
      <w:r w:rsidR="002B7941" w:rsidRPr="002B7941">
        <w:rPr>
          <w:i/>
          <w:szCs w:val="24"/>
        </w:rPr>
        <w:t>in limine</w:t>
      </w:r>
      <w:r>
        <w:rPr>
          <w:szCs w:val="24"/>
        </w:rPr>
        <w:t xml:space="preserve"> was wise.  This being so because the attack on th</w:t>
      </w:r>
      <w:r w:rsidR="002B7941">
        <w:rPr>
          <w:szCs w:val="24"/>
        </w:rPr>
        <w:t>e citation of r 236 and not r 59(15) of the new High Court Rules, 2021 sought to put emphasis</w:t>
      </w:r>
      <w:r>
        <w:rPr>
          <w:szCs w:val="24"/>
        </w:rPr>
        <w:t xml:space="preserve"> on form rather </w:t>
      </w:r>
      <w:r w:rsidR="00CD0D72">
        <w:rPr>
          <w:szCs w:val="24"/>
        </w:rPr>
        <w:t xml:space="preserve">than </w:t>
      </w:r>
      <w:r>
        <w:rPr>
          <w:szCs w:val="24"/>
        </w:rPr>
        <w:t>substance</w:t>
      </w:r>
      <w:r w:rsidR="002B7941">
        <w:rPr>
          <w:szCs w:val="24"/>
        </w:rPr>
        <w:t>.  T</w:t>
      </w:r>
      <w:r>
        <w:rPr>
          <w:szCs w:val="24"/>
        </w:rPr>
        <w:t>he</w:t>
      </w:r>
      <w:r w:rsidR="002B7941">
        <w:rPr>
          <w:szCs w:val="24"/>
        </w:rPr>
        <w:t xml:space="preserve"> second point </w:t>
      </w:r>
      <w:r w:rsidR="002B7941" w:rsidRPr="002B7941">
        <w:rPr>
          <w:i/>
          <w:szCs w:val="24"/>
        </w:rPr>
        <w:t>in limine</w:t>
      </w:r>
      <w:r w:rsidR="002B7941">
        <w:rPr>
          <w:szCs w:val="24"/>
        </w:rPr>
        <w:t xml:space="preserve"> on</w:t>
      </w:r>
      <w:r>
        <w:rPr>
          <w:szCs w:val="24"/>
        </w:rPr>
        <w:t xml:space="preserve"> </w:t>
      </w:r>
      <w:r w:rsidRPr="00CD0D72">
        <w:rPr>
          <w:i/>
          <w:szCs w:val="24"/>
        </w:rPr>
        <w:t>res judicata</w:t>
      </w:r>
      <w:r>
        <w:rPr>
          <w:szCs w:val="24"/>
        </w:rPr>
        <w:t xml:space="preserve"> was untenable as there never was a determination of the application </w:t>
      </w:r>
      <w:r w:rsidRPr="00CD0D72">
        <w:rPr>
          <w:i/>
          <w:szCs w:val="24"/>
        </w:rPr>
        <w:t>in casu</w:t>
      </w:r>
      <w:r>
        <w:rPr>
          <w:szCs w:val="24"/>
        </w:rPr>
        <w:t xml:space="preserve">.  The matter was never finally and definitely dealt with in prior proceedings (See </w:t>
      </w:r>
      <w:r w:rsidRPr="00CD0D72">
        <w:rPr>
          <w:i/>
          <w:szCs w:val="24"/>
        </w:rPr>
        <w:t>Chimpondah &amp; Anor</w:t>
      </w:r>
      <w:r>
        <w:rPr>
          <w:szCs w:val="24"/>
        </w:rPr>
        <w:t xml:space="preserve"> v </w:t>
      </w:r>
      <w:r w:rsidRPr="00CD0D72">
        <w:rPr>
          <w:i/>
          <w:szCs w:val="24"/>
        </w:rPr>
        <w:t xml:space="preserve">Muvami </w:t>
      </w:r>
      <w:r>
        <w:rPr>
          <w:szCs w:val="24"/>
        </w:rPr>
        <w:t>2007 (2) ZLR 326 (H)).</w:t>
      </w:r>
    </w:p>
    <w:p w:rsidR="00F57B77" w:rsidRDefault="00903769" w:rsidP="00B33B48">
      <w:pPr>
        <w:pStyle w:val="NoSpacing"/>
        <w:spacing w:line="480" w:lineRule="auto"/>
        <w:ind w:firstLine="720"/>
        <w:jc w:val="both"/>
        <w:rPr>
          <w:szCs w:val="24"/>
        </w:rPr>
      </w:pPr>
      <w:r>
        <w:rPr>
          <w:szCs w:val="24"/>
        </w:rPr>
        <w:t xml:space="preserve">On the merits counsel’s argument was that the delay in prosecuting HC 2079/08 was due to financial constraints.  The applicants acquiesced for the past 10 years and in HB 7/11 the parties were advised to focus on resolving the real </w:t>
      </w:r>
      <w:r w:rsidR="00F57B77">
        <w:rPr>
          <w:szCs w:val="24"/>
        </w:rPr>
        <w:t xml:space="preserve">dispute.  That </w:t>
      </w:r>
      <w:r w:rsidR="002B7941">
        <w:rPr>
          <w:szCs w:val="24"/>
        </w:rPr>
        <w:t>advice</w:t>
      </w:r>
      <w:r w:rsidR="00F57B77">
        <w:rPr>
          <w:szCs w:val="24"/>
        </w:rPr>
        <w:t xml:space="preserve"> by the court interfered with the process in that the parties were both obligated to see the matter to finality.</w:t>
      </w:r>
    </w:p>
    <w:p w:rsidR="00F57B77" w:rsidRDefault="00F57B77" w:rsidP="00B33B48">
      <w:pPr>
        <w:pStyle w:val="NoSpacing"/>
        <w:spacing w:line="480" w:lineRule="auto"/>
        <w:ind w:firstLine="720"/>
        <w:jc w:val="both"/>
        <w:rPr>
          <w:szCs w:val="24"/>
        </w:rPr>
      </w:pPr>
      <w:r>
        <w:rPr>
          <w:szCs w:val="24"/>
        </w:rPr>
        <w:lastRenderedPageBreak/>
        <w:t>As regards prospects of success counsel’s argument was that the matter involves an immovable property worth thousands of dollars.  It is therefore important for the matter to be resolved so each party knows where they stand as regards their competing claims to the property.  The respondents purchased the property unaware that the applicants had already entered into an agreement of sale with the 3</w:t>
      </w:r>
      <w:r w:rsidRPr="00F57B77">
        <w:rPr>
          <w:szCs w:val="24"/>
          <w:vertAlign w:val="superscript"/>
        </w:rPr>
        <w:t>rd</w:t>
      </w:r>
      <w:r>
        <w:rPr>
          <w:szCs w:val="24"/>
        </w:rPr>
        <w:t xml:space="preserve"> respondent.  The 1</w:t>
      </w:r>
      <w:r w:rsidRPr="00F57B77">
        <w:rPr>
          <w:szCs w:val="24"/>
          <w:vertAlign w:val="superscript"/>
        </w:rPr>
        <w:t>st</w:t>
      </w:r>
      <w:r>
        <w:rPr>
          <w:szCs w:val="24"/>
        </w:rPr>
        <w:t xml:space="preserve"> and 2</w:t>
      </w:r>
      <w:r w:rsidRPr="00F57B77">
        <w:rPr>
          <w:szCs w:val="24"/>
          <w:vertAlign w:val="superscript"/>
        </w:rPr>
        <w:t>nd</w:t>
      </w:r>
      <w:r>
        <w:rPr>
          <w:szCs w:val="24"/>
        </w:rPr>
        <w:t xml:space="preserve"> respondents have paid the full purchase price for the property and are residing thereat.  The balance of convenience favours them as a dismissal of their application on technical grounds would prejudice them.</w:t>
      </w:r>
    </w:p>
    <w:p w:rsidR="00F57B77" w:rsidRDefault="00F57B77" w:rsidP="00B33B48">
      <w:pPr>
        <w:pStyle w:val="NoSpacing"/>
        <w:spacing w:line="480" w:lineRule="auto"/>
        <w:ind w:firstLine="720"/>
        <w:jc w:val="both"/>
        <w:rPr>
          <w:szCs w:val="24"/>
        </w:rPr>
      </w:pPr>
      <w:r>
        <w:rPr>
          <w:szCs w:val="24"/>
        </w:rPr>
        <w:t>It is important to set out that the application sought to be dismissed is HC 2079/08</w:t>
      </w:r>
      <w:r w:rsidR="002B7941">
        <w:rPr>
          <w:szCs w:val="24"/>
        </w:rPr>
        <w:t xml:space="preserve"> which</w:t>
      </w:r>
      <w:r>
        <w:rPr>
          <w:szCs w:val="24"/>
        </w:rPr>
        <w:t xml:space="preserve"> granted a provisional order whose confirmation is anchored on the finalisation of HC 2078/08.</w:t>
      </w:r>
      <w:r w:rsidR="002B7941">
        <w:rPr>
          <w:szCs w:val="24"/>
        </w:rPr>
        <w:t xml:space="preserve"> The matter under HC 2078/08 in which the issue of the parties’ competing claims to this property was to be determined is not what is sought to be dismissed, as counsel appears to suggest.</w:t>
      </w:r>
    </w:p>
    <w:p w:rsidR="00C006EB" w:rsidRDefault="00F57B77" w:rsidP="00B33B48">
      <w:pPr>
        <w:pStyle w:val="NoSpacing"/>
        <w:spacing w:line="480" w:lineRule="auto"/>
        <w:ind w:firstLine="720"/>
        <w:jc w:val="both"/>
        <w:rPr>
          <w:szCs w:val="24"/>
        </w:rPr>
      </w:pPr>
      <w:r>
        <w:rPr>
          <w:szCs w:val="24"/>
        </w:rPr>
        <w:t xml:space="preserve">With that said in </w:t>
      </w:r>
      <w:r w:rsidRPr="00CD0D72">
        <w:rPr>
          <w:i/>
          <w:szCs w:val="24"/>
        </w:rPr>
        <w:t>Guardforce Investments (Pvt) Ltd</w:t>
      </w:r>
      <w:r>
        <w:rPr>
          <w:szCs w:val="24"/>
        </w:rPr>
        <w:t xml:space="preserve"> v </w:t>
      </w:r>
      <w:r w:rsidR="00CD0D72">
        <w:rPr>
          <w:i/>
          <w:szCs w:val="24"/>
        </w:rPr>
        <w:t>Ndlovu &amp; Ors</w:t>
      </w:r>
      <w:r>
        <w:rPr>
          <w:szCs w:val="24"/>
        </w:rPr>
        <w:t xml:space="preserve"> SC 24-16 C</w:t>
      </w:r>
      <w:r w:rsidRPr="00CD0D72">
        <w:rPr>
          <w:sz w:val="20"/>
          <w:szCs w:val="20"/>
        </w:rPr>
        <w:t>HIDYAUSIKU CJ</w:t>
      </w:r>
      <w:r>
        <w:rPr>
          <w:szCs w:val="24"/>
        </w:rPr>
        <w:t xml:space="preserve"> set out what the court </w:t>
      </w:r>
      <w:r w:rsidR="00C006EB">
        <w:rPr>
          <w:szCs w:val="24"/>
        </w:rPr>
        <w:t>should look at in applications of this nature.</w:t>
      </w:r>
    </w:p>
    <w:p w:rsidR="00882A70" w:rsidRDefault="00C006EB" w:rsidP="00CD0D72">
      <w:pPr>
        <w:pStyle w:val="NoSpacing"/>
        <w:ind w:left="720"/>
        <w:jc w:val="both"/>
        <w:rPr>
          <w:szCs w:val="24"/>
        </w:rPr>
      </w:pPr>
      <w:r>
        <w:rPr>
          <w:szCs w:val="24"/>
        </w:rPr>
        <w:t>“The discretion to dismiss a matter for want of prosecution is a jud</w:t>
      </w:r>
      <w:r w:rsidR="00CD0D72">
        <w:rPr>
          <w:szCs w:val="24"/>
        </w:rPr>
        <w:t>icial discretion to be exercised</w:t>
      </w:r>
      <w:r>
        <w:rPr>
          <w:szCs w:val="24"/>
        </w:rPr>
        <w:t xml:space="preserve"> taking the following factors into consideration –</w:t>
      </w:r>
      <w:r w:rsidR="00882A70">
        <w:rPr>
          <w:szCs w:val="24"/>
        </w:rPr>
        <w:t xml:space="preserve"> </w:t>
      </w:r>
    </w:p>
    <w:p w:rsidR="00C006EB" w:rsidRDefault="00C006EB" w:rsidP="00CD0D72">
      <w:pPr>
        <w:pStyle w:val="NoSpacing"/>
        <w:numPr>
          <w:ilvl w:val="0"/>
          <w:numId w:val="1"/>
        </w:numPr>
        <w:jc w:val="both"/>
        <w:rPr>
          <w:szCs w:val="24"/>
        </w:rPr>
      </w:pPr>
      <w:r>
        <w:rPr>
          <w:szCs w:val="24"/>
        </w:rPr>
        <w:t>the length of the delay and the explanation thereof.</w:t>
      </w:r>
    </w:p>
    <w:p w:rsidR="00C006EB" w:rsidRDefault="00C006EB" w:rsidP="00CD0D72">
      <w:pPr>
        <w:pStyle w:val="NoSpacing"/>
        <w:numPr>
          <w:ilvl w:val="0"/>
          <w:numId w:val="1"/>
        </w:numPr>
        <w:jc w:val="both"/>
        <w:rPr>
          <w:szCs w:val="24"/>
        </w:rPr>
      </w:pPr>
      <w:r>
        <w:rPr>
          <w:szCs w:val="24"/>
        </w:rPr>
        <w:t>the prospects of success on the merits.</w:t>
      </w:r>
    </w:p>
    <w:p w:rsidR="00C006EB" w:rsidRDefault="00714BC0" w:rsidP="00CD0D72">
      <w:pPr>
        <w:pStyle w:val="NoSpacing"/>
        <w:numPr>
          <w:ilvl w:val="0"/>
          <w:numId w:val="1"/>
        </w:numPr>
        <w:jc w:val="both"/>
        <w:rPr>
          <w:szCs w:val="24"/>
        </w:rPr>
      </w:pPr>
      <w:r>
        <w:rPr>
          <w:szCs w:val="24"/>
        </w:rPr>
        <w:t>t</w:t>
      </w:r>
      <w:r w:rsidR="00C006EB">
        <w:rPr>
          <w:szCs w:val="24"/>
        </w:rPr>
        <w:t>he balance of convenience and the possible prejudice to the applicant caused by the other party’s failure to prosecute its case on time.”</w:t>
      </w:r>
    </w:p>
    <w:p w:rsidR="00CD0D72" w:rsidRDefault="00CD0D72" w:rsidP="00C006EB">
      <w:pPr>
        <w:pStyle w:val="NoSpacing"/>
        <w:spacing w:line="480" w:lineRule="auto"/>
        <w:ind w:firstLine="720"/>
        <w:jc w:val="both"/>
        <w:rPr>
          <w:szCs w:val="24"/>
        </w:rPr>
      </w:pPr>
    </w:p>
    <w:p w:rsidR="00C006EB" w:rsidRDefault="00C006EB" w:rsidP="00C006EB">
      <w:pPr>
        <w:pStyle w:val="NoSpacing"/>
        <w:spacing w:line="480" w:lineRule="auto"/>
        <w:ind w:firstLine="720"/>
        <w:jc w:val="both"/>
        <w:rPr>
          <w:szCs w:val="24"/>
        </w:rPr>
      </w:pPr>
      <w:r>
        <w:rPr>
          <w:szCs w:val="24"/>
        </w:rPr>
        <w:lastRenderedPageBreak/>
        <w:t xml:space="preserve">Turning to the facts </w:t>
      </w:r>
      <w:r w:rsidRPr="00CD0D72">
        <w:rPr>
          <w:i/>
          <w:szCs w:val="24"/>
        </w:rPr>
        <w:t>in casu</w:t>
      </w:r>
      <w:r>
        <w:rPr>
          <w:szCs w:val="24"/>
        </w:rPr>
        <w:t xml:space="preserve">, the provisional order was granted in 2008.  When the present application was filed 14 years had lapsed without </w:t>
      </w:r>
      <w:r w:rsidR="00785126">
        <w:rPr>
          <w:szCs w:val="24"/>
        </w:rPr>
        <w:t xml:space="preserve">the respondents </w:t>
      </w:r>
      <w:r>
        <w:rPr>
          <w:szCs w:val="24"/>
        </w:rPr>
        <w:t>seeking its confirmation</w:t>
      </w:r>
      <w:r w:rsidR="00785126">
        <w:rPr>
          <w:szCs w:val="24"/>
        </w:rPr>
        <w:t xml:space="preserve">. </w:t>
      </w:r>
    </w:p>
    <w:p w:rsidR="002033C5" w:rsidRDefault="002033C5" w:rsidP="00C006EB">
      <w:pPr>
        <w:pStyle w:val="NoSpacing"/>
        <w:spacing w:line="480" w:lineRule="auto"/>
        <w:ind w:firstLine="720"/>
        <w:jc w:val="both"/>
        <w:rPr>
          <w:szCs w:val="24"/>
        </w:rPr>
      </w:pPr>
      <w:r>
        <w:rPr>
          <w:szCs w:val="24"/>
        </w:rPr>
        <w:t xml:space="preserve">It would appear the applicants filed several applications which all appear to have suffered a still birth.  In </w:t>
      </w:r>
      <w:r w:rsidRPr="00CD0D72">
        <w:rPr>
          <w:i/>
          <w:szCs w:val="24"/>
        </w:rPr>
        <w:t>Nyamadzawo and Anor</w:t>
      </w:r>
      <w:r>
        <w:rPr>
          <w:szCs w:val="24"/>
        </w:rPr>
        <w:t xml:space="preserve"> v </w:t>
      </w:r>
      <w:r w:rsidRPr="00CD0D72">
        <w:rPr>
          <w:i/>
          <w:szCs w:val="24"/>
        </w:rPr>
        <w:t>Gweru Magistrate (Mhlanga) &amp; Ors</w:t>
      </w:r>
      <w:r w:rsidR="00AC22C8">
        <w:rPr>
          <w:szCs w:val="24"/>
        </w:rPr>
        <w:t xml:space="preserve"> HB 07/</w:t>
      </w:r>
      <w:r>
        <w:rPr>
          <w:szCs w:val="24"/>
        </w:rPr>
        <w:t>11 M</w:t>
      </w:r>
      <w:r w:rsidRPr="00CD0D72">
        <w:rPr>
          <w:sz w:val="20"/>
          <w:szCs w:val="20"/>
        </w:rPr>
        <w:t>ATHONSI J</w:t>
      </w:r>
      <w:r>
        <w:rPr>
          <w:szCs w:val="24"/>
        </w:rPr>
        <w:t xml:space="preserve"> (as he then was) adjudicated in a matter where the applicants were seeking the consolidation of HC 2335/08, HC 2078/08 and HC 2079/08 and the dismissal and discharge </w:t>
      </w:r>
      <w:r w:rsidR="00714FCC">
        <w:rPr>
          <w:szCs w:val="24"/>
        </w:rPr>
        <w:t>of a provisional order issued by the Gweru Magistrates Court on 29 October 2008 under Case No. 1965/02.  After bemoaning the proliferation of litigation between the parties the learned Judge dismissed the application and concluded:-</w:t>
      </w:r>
    </w:p>
    <w:p w:rsidR="00714FCC" w:rsidRDefault="00037CBE" w:rsidP="0000270A">
      <w:pPr>
        <w:pStyle w:val="NoSpacing"/>
        <w:ind w:left="720"/>
        <w:jc w:val="both"/>
        <w:rPr>
          <w:szCs w:val="24"/>
        </w:rPr>
      </w:pPr>
      <w:r>
        <w:rPr>
          <w:szCs w:val="24"/>
        </w:rPr>
        <w:t>“The only remaining matters are HC 2078/08 which is a summons action still pending and HC 2079/08 where a provisional order protecting 2</w:t>
      </w:r>
      <w:r w:rsidRPr="00037CBE">
        <w:rPr>
          <w:szCs w:val="24"/>
          <w:vertAlign w:val="superscript"/>
        </w:rPr>
        <w:t>nd</w:t>
      </w:r>
      <w:r>
        <w:rPr>
          <w:szCs w:val="24"/>
        </w:rPr>
        <w:t xml:space="preserve"> and 3</w:t>
      </w:r>
      <w:r w:rsidRPr="00037CBE">
        <w:rPr>
          <w:szCs w:val="24"/>
          <w:vertAlign w:val="superscript"/>
        </w:rPr>
        <w:t>rd</w:t>
      </w:r>
      <w:r>
        <w:rPr>
          <w:szCs w:val="24"/>
        </w:rPr>
        <w:t xml:space="preserve"> respondents’ occupation of the disputed house was granted and its confirmation has been opposed by the applicants.  Nothing will be served by consolidating those 2 matters and if the parties genuinely want to bring the matter to finality they should agree to either the confirmation or discharge of the provisional order in HC 2079/08 and strive to set down the main action for trial.</w:t>
      </w:r>
    </w:p>
    <w:p w:rsidR="00AC22C8" w:rsidRDefault="00AC22C8" w:rsidP="0000270A">
      <w:pPr>
        <w:pStyle w:val="NoSpacing"/>
        <w:ind w:left="720"/>
        <w:jc w:val="both"/>
        <w:rPr>
          <w:szCs w:val="24"/>
        </w:rPr>
      </w:pPr>
    </w:p>
    <w:p w:rsidR="00037CBE" w:rsidRDefault="00037CBE" w:rsidP="0000270A">
      <w:pPr>
        <w:pStyle w:val="NoSpacing"/>
        <w:ind w:left="720"/>
        <w:jc w:val="both"/>
        <w:rPr>
          <w:szCs w:val="24"/>
        </w:rPr>
      </w:pPr>
      <w:r>
        <w:rPr>
          <w:szCs w:val="24"/>
        </w:rPr>
        <w:t>That way the respective rights of the parties will be determined once and</w:t>
      </w:r>
      <w:r w:rsidR="00AC22C8">
        <w:rPr>
          <w:szCs w:val="24"/>
        </w:rPr>
        <w:t xml:space="preserve"> for</w:t>
      </w:r>
      <w:r>
        <w:rPr>
          <w:szCs w:val="24"/>
        </w:rPr>
        <w:t xml:space="preserve"> all instead of perpetuating the proliferation of litigation which does not even attempt to bring the matter to finality.”</w:t>
      </w:r>
    </w:p>
    <w:p w:rsidR="0000270A" w:rsidRDefault="0000270A" w:rsidP="00037CBE">
      <w:pPr>
        <w:pStyle w:val="NoSpacing"/>
        <w:spacing w:line="480" w:lineRule="auto"/>
        <w:ind w:firstLine="720"/>
        <w:jc w:val="both"/>
        <w:rPr>
          <w:szCs w:val="24"/>
        </w:rPr>
      </w:pPr>
    </w:p>
    <w:p w:rsidR="00037CBE" w:rsidRDefault="00037CBE" w:rsidP="00037CBE">
      <w:pPr>
        <w:pStyle w:val="NoSpacing"/>
        <w:spacing w:line="480" w:lineRule="auto"/>
        <w:ind w:firstLine="720"/>
        <w:jc w:val="both"/>
        <w:rPr>
          <w:szCs w:val="24"/>
        </w:rPr>
      </w:pPr>
      <w:r>
        <w:rPr>
          <w:szCs w:val="24"/>
        </w:rPr>
        <w:t>Th</w:t>
      </w:r>
      <w:r w:rsidR="00874834">
        <w:rPr>
          <w:szCs w:val="24"/>
        </w:rPr>
        <w:t>is sound advice was not heeded, w</w:t>
      </w:r>
      <w:r>
        <w:rPr>
          <w:szCs w:val="24"/>
        </w:rPr>
        <w:t>ith the 1</w:t>
      </w:r>
      <w:r w:rsidRPr="00037CBE">
        <w:rPr>
          <w:szCs w:val="24"/>
          <w:vertAlign w:val="superscript"/>
        </w:rPr>
        <w:t>st</w:t>
      </w:r>
      <w:r>
        <w:rPr>
          <w:szCs w:val="24"/>
        </w:rPr>
        <w:t xml:space="preserve"> and 2</w:t>
      </w:r>
      <w:r w:rsidRPr="00037CBE">
        <w:rPr>
          <w:szCs w:val="24"/>
          <w:vertAlign w:val="superscript"/>
        </w:rPr>
        <w:t>nd</w:t>
      </w:r>
      <w:r>
        <w:rPr>
          <w:szCs w:val="24"/>
        </w:rPr>
        <w:t xml:space="preserve"> respondents</w:t>
      </w:r>
      <w:r w:rsidR="00874834">
        <w:rPr>
          <w:szCs w:val="24"/>
        </w:rPr>
        <w:t xml:space="preserve"> presumably</w:t>
      </w:r>
      <w:r>
        <w:rPr>
          <w:szCs w:val="24"/>
        </w:rPr>
        <w:t xml:space="preserve"> preferring to enjoy the protection afforded by HC 2079/08.</w:t>
      </w:r>
    </w:p>
    <w:p w:rsidR="00A36A04" w:rsidRDefault="00A36A04" w:rsidP="00037CBE">
      <w:pPr>
        <w:pStyle w:val="NoSpacing"/>
        <w:spacing w:line="480" w:lineRule="auto"/>
        <w:ind w:firstLine="720"/>
        <w:jc w:val="both"/>
        <w:rPr>
          <w:szCs w:val="24"/>
        </w:rPr>
      </w:pPr>
      <w:r>
        <w:rPr>
          <w:szCs w:val="24"/>
        </w:rPr>
        <w:lastRenderedPageBreak/>
        <w:t>M</w:t>
      </w:r>
      <w:r w:rsidRPr="0000270A">
        <w:rPr>
          <w:sz w:val="20"/>
          <w:szCs w:val="20"/>
        </w:rPr>
        <w:t>ATHONSI J’</w:t>
      </w:r>
      <w:r>
        <w:rPr>
          <w:szCs w:val="24"/>
        </w:rPr>
        <w:t>s judgment was handed down on 27 January 2011.  The pleadings in</w:t>
      </w:r>
      <w:r w:rsidR="003F31CF">
        <w:rPr>
          <w:szCs w:val="24"/>
        </w:rPr>
        <w:t xml:space="preserve"> HC 2078/08 must have</w:t>
      </w:r>
      <w:r w:rsidR="00874834">
        <w:rPr>
          <w:szCs w:val="24"/>
        </w:rPr>
        <w:t xml:space="preserve"> subsequently</w:t>
      </w:r>
      <w:r w:rsidR="003F31CF">
        <w:rPr>
          <w:szCs w:val="24"/>
        </w:rPr>
        <w:t xml:space="preserve"> been closed as the matter appeared before M</w:t>
      </w:r>
      <w:r w:rsidR="003F31CF" w:rsidRPr="0000270A">
        <w:rPr>
          <w:sz w:val="20"/>
          <w:szCs w:val="20"/>
        </w:rPr>
        <w:t>AKONESE J</w:t>
      </w:r>
      <w:r w:rsidR="003F31CF">
        <w:rPr>
          <w:szCs w:val="24"/>
        </w:rPr>
        <w:t xml:space="preserve"> on 12 January 2012.  It was removed from the roll.  The 1</w:t>
      </w:r>
      <w:r w:rsidR="003F31CF" w:rsidRPr="003F31CF">
        <w:rPr>
          <w:szCs w:val="24"/>
          <w:vertAlign w:val="superscript"/>
        </w:rPr>
        <w:t>st</w:t>
      </w:r>
      <w:r w:rsidR="003F31CF">
        <w:rPr>
          <w:szCs w:val="24"/>
        </w:rPr>
        <w:t xml:space="preserve"> applicant who was the 2</w:t>
      </w:r>
      <w:r w:rsidR="003F31CF" w:rsidRPr="003F31CF">
        <w:rPr>
          <w:szCs w:val="24"/>
          <w:vertAlign w:val="superscript"/>
        </w:rPr>
        <w:t>nd</w:t>
      </w:r>
      <w:r w:rsidR="003F31CF">
        <w:rPr>
          <w:szCs w:val="24"/>
        </w:rPr>
        <w:t xml:space="preserve"> defendant therein was the</w:t>
      </w:r>
      <w:r w:rsidR="00FE0137">
        <w:rPr>
          <w:szCs w:val="24"/>
        </w:rPr>
        <w:t xml:space="preserve"> only one who appeared.  HC</w:t>
      </w:r>
      <w:r w:rsidR="00B623A0">
        <w:rPr>
          <w:szCs w:val="24"/>
        </w:rPr>
        <w:t xml:space="preserve"> </w:t>
      </w:r>
      <w:r w:rsidR="00FE0137">
        <w:rPr>
          <w:szCs w:val="24"/>
        </w:rPr>
        <w:t>2078/08 is</w:t>
      </w:r>
      <w:r w:rsidR="003F31CF">
        <w:rPr>
          <w:szCs w:val="24"/>
        </w:rPr>
        <w:t xml:space="preserve"> the matter which sought to pronounce the rights of </w:t>
      </w:r>
      <w:r w:rsidR="00FE0137">
        <w:rPr>
          <w:szCs w:val="24"/>
        </w:rPr>
        <w:t>the parties to this house.  The</w:t>
      </w:r>
      <w:r w:rsidR="003F31CF">
        <w:rPr>
          <w:szCs w:val="24"/>
        </w:rPr>
        <w:t xml:space="preserve"> removal of the matter came about a year after M</w:t>
      </w:r>
      <w:r w:rsidR="003F31CF" w:rsidRPr="00244A37">
        <w:rPr>
          <w:sz w:val="20"/>
          <w:szCs w:val="20"/>
        </w:rPr>
        <w:t>ATHONSI J</w:t>
      </w:r>
      <w:r w:rsidR="003F31CF">
        <w:rPr>
          <w:szCs w:val="24"/>
        </w:rPr>
        <w:t>’s judgment in HB 7-11.  I was not favoured with</w:t>
      </w:r>
      <w:r w:rsidR="00FE0137">
        <w:rPr>
          <w:szCs w:val="24"/>
        </w:rPr>
        <w:t xml:space="preserve"> an</w:t>
      </w:r>
      <w:r w:rsidR="003F31CF">
        <w:rPr>
          <w:szCs w:val="24"/>
        </w:rPr>
        <w:t xml:space="preserve"> explanation of what became of that matter which was then obviously deemed abandoned and dis</w:t>
      </w:r>
      <w:r w:rsidR="00FE0137">
        <w:rPr>
          <w:szCs w:val="24"/>
        </w:rPr>
        <w:t>missed at the lapse of 3 months, reckoned from 27 January 2012.</w:t>
      </w:r>
      <w:bookmarkStart w:id="0" w:name="_GoBack"/>
      <w:bookmarkEnd w:id="0"/>
    </w:p>
    <w:p w:rsidR="003F31CF" w:rsidRDefault="003F31CF" w:rsidP="00037CBE">
      <w:pPr>
        <w:pStyle w:val="NoSpacing"/>
        <w:spacing w:line="480" w:lineRule="auto"/>
        <w:ind w:firstLine="720"/>
        <w:jc w:val="both"/>
        <w:rPr>
          <w:szCs w:val="24"/>
        </w:rPr>
      </w:pPr>
      <w:r>
        <w:rPr>
          <w:szCs w:val="24"/>
        </w:rPr>
        <w:t>The delay has therefore been inordinate and the explanation unreasonable.  I say so because the 1</w:t>
      </w:r>
      <w:r w:rsidRPr="003F31CF">
        <w:rPr>
          <w:szCs w:val="24"/>
          <w:vertAlign w:val="superscript"/>
        </w:rPr>
        <w:t>st</w:t>
      </w:r>
      <w:r>
        <w:rPr>
          <w:szCs w:val="24"/>
        </w:rPr>
        <w:t xml:space="preserve"> and 2</w:t>
      </w:r>
      <w:r w:rsidRPr="003F31CF">
        <w:rPr>
          <w:szCs w:val="24"/>
          <w:vertAlign w:val="superscript"/>
        </w:rPr>
        <w:t>nd</w:t>
      </w:r>
      <w:r>
        <w:rPr>
          <w:szCs w:val="24"/>
        </w:rPr>
        <w:t xml:space="preserve"> respondents cannot hide behind financial constraints when in 2012 they had HC 2078/08 set down but did not appear on the day of hearing.</w:t>
      </w:r>
    </w:p>
    <w:p w:rsidR="003F31CF" w:rsidRDefault="003F31CF" w:rsidP="00037CBE">
      <w:pPr>
        <w:pStyle w:val="NoSpacing"/>
        <w:spacing w:line="480" w:lineRule="auto"/>
        <w:ind w:firstLine="720"/>
        <w:jc w:val="both"/>
        <w:rPr>
          <w:szCs w:val="24"/>
        </w:rPr>
      </w:pPr>
      <w:r>
        <w:rPr>
          <w:szCs w:val="24"/>
        </w:rPr>
        <w:t>We are talking of a period in excess of 10 years since the grant of HC 2079/08.  The applicants have been self-actors and the 1</w:t>
      </w:r>
      <w:r w:rsidRPr="003F31CF">
        <w:rPr>
          <w:szCs w:val="24"/>
          <w:vertAlign w:val="superscript"/>
        </w:rPr>
        <w:t>st</w:t>
      </w:r>
      <w:r>
        <w:rPr>
          <w:szCs w:val="24"/>
        </w:rPr>
        <w:t xml:space="preserve"> and 2</w:t>
      </w:r>
      <w:r w:rsidRPr="003F31CF">
        <w:rPr>
          <w:szCs w:val="24"/>
          <w:vertAlign w:val="superscript"/>
        </w:rPr>
        <w:t>nd</w:t>
      </w:r>
      <w:r>
        <w:rPr>
          <w:szCs w:val="24"/>
        </w:rPr>
        <w:t xml:space="preserve"> respondents could have sought to have HC 2079/08 confirmed as </w:t>
      </w:r>
      <w:r w:rsidR="00043B07">
        <w:rPr>
          <w:szCs w:val="24"/>
        </w:rPr>
        <w:t>self-actors</w:t>
      </w:r>
      <w:r>
        <w:rPr>
          <w:szCs w:val="24"/>
        </w:rPr>
        <w:t>.  Would they have not acted had they not been enjoying the protection afforded by the provisional order?  They surely would have.</w:t>
      </w:r>
    </w:p>
    <w:p w:rsidR="003F31CF" w:rsidRDefault="003F31CF" w:rsidP="00037CBE">
      <w:pPr>
        <w:pStyle w:val="NoSpacing"/>
        <w:spacing w:line="480" w:lineRule="auto"/>
        <w:ind w:firstLine="720"/>
        <w:jc w:val="both"/>
        <w:rPr>
          <w:szCs w:val="24"/>
        </w:rPr>
      </w:pPr>
      <w:r>
        <w:rPr>
          <w:szCs w:val="24"/>
        </w:rPr>
        <w:t>Litigation cannot be held in limbo for over 10 years with no definitive end to it.</w:t>
      </w:r>
    </w:p>
    <w:p w:rsidR="003F31CF" w:rsidRDefault="003F31CF" w:rsidP="00037CBE">
      <w:pPr>
        <w:pStyle w:val="NoSpacing"/>
        <w:spacing w:line="480" w:lineRule="auto"/>
        <w:ind w:firstLine="720"/>
        <w:jc w:val="both"/>
        <w:rPr>
          <w:szCs w:val="24"/>
        </w:rPr>
      </w:pPr>
      <w:r>
        <w:rPr>
          <w:szCs w:val="24"/>
        </w:rPr>
        <w:t xml:space="preserve">In </w:t>
      </w:r>
      <w:r w:rsidRPr="00244A37">
        <w:rPr>
          <w:i/>
          <w:szCs w:val="24"/>
        </w:rPr>
        <w:t>Guardforce (supra)</w:t>
      </w:r>
      <w:r>
        <w:rPr>
          <w:szCs w:val="24"/>
        </w:rPr>
        <w:t xml:space="preserve"> the point was made that a respondent faced with an application for dismissal can proceed to attend to the complaint, in other words do that which had caused th</w:t>
      </w:r>
      <w:r w:rsidR="00043B07">
        <w:rPr>
          <w:szCs w:val="24"/>
        </w:rPr>
        <w:t>e other party to seek dismissal of the matter.</w:t>
      </w:r>
    </w:p>
    <w:p w:rsidR="003F31CF" w:rsidRDefault="003F31CF" w:rsidP="00037CBE">
      <w:pPr>
        <w:pStyle w:val="NoSpacing"/>
        <w:spacing w:line="480" w:lineRule="auto"/>
        <w:ind w:firstLine="720"/>
        <w:jc w:val="both"/>
        <w:rPr>
          <w:szCs w:val="24"/>
        </w:rPr>
      </w:pPr>
      <w:r w:rsidRPr="00244A37">
        <w:rPr>
          <w:i/>
          <w:szCs w:val="24"/>
        </w:rPr>
        <w:lastRenderedPageBreak/>
        <w:t>In casu</w:t>
      </w:r>
      <w:r>
        <w:rPr>
          <w:szCs w:val="24"/>
        </w:rPr>
        <w:t xml:space="preserve"> the respondents have done absolutely nothing except oppose</w:t>
      </w:r>
      <w:r w:rsidR="00EC5FB3">
        <w:rPr>
          <w:szCs w:val="24"/>
        </w:rPr>
        <w:t xml:space="preserve"> the</w:t>
      </w:r>
      <w:r>
        <w:rPr>
          <w:szCs w:val="24"/>
        </w:rPr>
        <w:t xml:space="preserve"> </w:t>
      </w:r>
      <w:r w:rsidR="00EC5FB3">
        <w:rPr>
          <w:szCs w:val="24"/>
        </w:rPr>
        <w:t>present</w:t>
      </w:r>
      <w:r>
        <w:rPr>
          <w:szCs w:val="24"/>
        </w:rPr>
        <w:t xml:space="preserve"> application.  There has been no attempt to set HC 2079/08 down for its confirmation/discharge and no attempt at all to attend to HC 2078/08 upon which the confirmation of HC 2079/08 rests.</w:t>
      </w:r>
    </w:p>
    <w:p w:rsidR="003F31CF" w:rsidRDefault="000D375D" w:rsidP="00037CBE">
      <w:pPr>
        <w:pStyle w:val="NoSpacing"/>
        <w:spacing w:line="480" w:lineRule="auto"/>
        <w:ind w:firstLine="720"/>
        <w:jc w:val="both"/>
        <w:rPr>
          <w:szCs w:val="24"/>
        </w:rPr>
      </w:pPr>
      <w:r>
        <w:rPr>
          <w:szCs w:val="24"/>
        </w:rPr>
        <w:t>This brings me to the prospe</w:t>
      </w:r>
      <w:r w:rsidR="003F31CF">
        <w:rPr>
          <w:szCs w:val="24"/>
        </w:rPr>
        <w:t>cts of</w:t>
      </w:r>
      <w:r w:rsidR="00AF6087">
        <w:rPr>
          <w:szCs w:val="24"/>
        </w:rPr>
        <w:t xml:space="preserve"> success.  If HC 2079/08 is anchored on HC 2078/08 and HC 2078/08 is no longer before the court as it was deemed abandoned and dismissed, how can one talk of prospects of success for HC 2079/08.  What is there to confirm when such confirmation speaks to the finalisation of HC 2078/08, which matter is not before the courts for such </w:t>
      </w:r>
      <w:r w:rsidR="00EC5FB3">
        <w:rPr>
          <w:szCs w:val="24"/>
        </w:rPr>
        <w:t>finalisation?</w:t>
      </w:r>
      <w:r w:rsidR="00AF6087">
        <w:rPr>
          <w:szCs w:val="24"/>
        </w:rPr>
        <w:t xml:space="preserve"> </w:t>
      </w:r>
    </w:p>
    <w:p w:rsidR="002C280F" w:rsidRDefault="002C280F" w:rsidP="00037CBE">
      <w:pPr>
        <w:pStyle w:val="NoSpacing"/>
        <w:spacing w:line="480" w:lineRule="auto"/>
        <w:ind w:firstLine="720"/>
        <w:jc w:val="both"/>
        <w:rPr>
          <w:szCs w:val="24"/>
        </w:rPr>
      </w:pPr>
      <w:r>
        <w:rPr>
          <w:szCs w:val="24"/>
        </w:rPr>
        <w:t>Had the</w:t>
      </w:r>
      <w:r w:rsidR="00EC5FB3">
        <w:rPr>
          <w:szCs w:val="24"/>
        </w:rPr>
        <w:t xml:space="preserve"> 1</w:t>
      </w:r>
      <w:r w:rsidR="00EC5FB3" w:rsidRPr="00EC5FB3">
        <w:rPr>
          <w:szCs w:val="24"/>
          <w:vertAlign w:val="superscript"/>
        </w:rPr>
        <w:t>st</w:t>
      </w:r>
      <w:r w:rsidR="00EC5FB3">
        <w:rPr>
          <w:szCs w:val="24"/>
        </w:rPr>
        <w:t xml:space="preserve"> an</w:t>
      </w:r>
      <w:r w:rsidR="0096005F">
        <w:rPr>
          <w:szCs w:val="24"/>
        </w:rPr>
        <w:t>d</w:t>
      </w:r>
      <w:r w:rsidR="0021085E">
        <w:rPr>
          <w:szCs w:val="24"/>
        </w:rPr>
        <w:t xml:space="preserve"> </w:t>
      </w:r>
      <w:r w:rsidR="004D1ACE">
        <w:rPr>
          <w:szCs w:val="24"/>
        </w:rPr>
        <w:t>2</w:t>
      </w:r>
      <w:r w:rsidR="004D1ACE" w:rsidRPr="0021085E">
        <w:rPr>
          <w:szCs w:val="24"/>
          <w:vertAlign w:val="superscript"/>
        </w:rPr>
        <w:t>nd</w:t>
      </w:r>
      <w:r w:rsidR="0021085E">
        <w:rPr>
          <w:szCs w:val="24"/>
        </w:rPr>
        <w:t xml:space="preserve"> </w:t>
      </w:r>
      <w:r>
        <w:rPr>
          <w:szCs w:val="24"/>
        </w:rPr>
        <w:t>respondents shown that they were reacting to the application by seeking the confirmation of HC 2079/08 or even attending to HC 2078/08 I would have had reason to make an order other than dismissal (</w:t>
      </w:r>
      <w:r w:rsidRPr="00244A37">
        <w:rPr>
          <w:i/>
          <w:szCs w:val="24"/>
        </w:rPr>
        <w:t>Scotfin Ltd</w:t>
      </w:r>
      <w:r>
        <w:rPr>
          <w:szCs w:val="24"/>
        </w:rPr>
        <w:t xml:space="preserve"> v </w:t>
      </w:r>
      <w:r w:rsidRPr="00244A37">
        <w:rPr>
          <w:i/>
          <w:szCs w:val="24"/>
        </w:rPr>
        <w:t xml:space="preserve">Mtetwa </w:t>
      </w:r>
      <w:r>
        <w:rPr>
          <w:szCs w:val="24"/>
        </w:rPr>
        <w:t>2001 (1) ZLR 249).</w:t>
      </w:r>
    </w:p>
    <w:p w:rsidR="007728D6" w:rsidRDefault="002C280F" w:rsidP="00037CBE">
      <w:pPr>
        <w:pStyle w:val="NoSpacing"/>
        <w:spacing w:line="480" w:lineRule="auto"/>
        <w:ind w:firstLine="720"/>
        <w:jc w:val="both"/>
        <w:rPr>
          <w:szCs w:val="24"/>
        </w:rPr>
      </w:pPr>
      <w:r>
        <w:rPr>
          <w:szCs w:val="24"/>
        </w:rPr>
        <w:t xml:space="preserve">In </w:t>
      </w:r>
      <w:r w:rsidRPr="00244A37">
        <w:rPr>
          <w:i/>
          <w:szCs w:val="24"/>
        </w:rPr>
        <w:t>Masulani</w:t>
      </w:r>
      <w:r>
        <w:rPr>
          <w:szCs w:val="24"/>
        </w:rPr>
        <w:t xml:space="preserve"> v </w:t>
      </w:r>
      <w:r w:rsidRPr="00244A37">
        <w:rPr>
          <w:i/>
          <w:szCs w:val="24"/>
        </w:rPr>
        <w:t>Masulani &amp; Ors</w:t>
      </w:r>
      <w:r>
        <w:rPr>
          <w:szCs w:val="24"/>
        </w:rPr>
        <w:t xml:space="preserve"> </w:t>
      </w:r>
      <w:r w:rsidR="0096005F">
        <w:rPr>
          <w:szCs w:val="24"/>
        </w:rPr>
        <w:t>2008 (1) ZLR 491(H)</w:t>
      </w:r>
      <w:r>
        <w:rPr>
          <w:szCs w:val="24"/>
        </w:rPr>
        <w:t xml:space="preserve"> M</w:t>
      </w:r>
      <w:r w:rsidRPr="00244A37">
        <w:rPr>
          <w:sz w:val="20"/>
          <w:szCs w:val="20"/>
        </w:rPr>
        <w:t>AKARAU J</w:t>
      </w:r>
      <w:r>
        <w:rPr>
          <w:szCs w:val="24"/>
        </w:rPr>
        <w:t xml:space="preserve"> (as she then was) unde</w:t>
      </w:r>
      <w:r w:rsidR="00992F6A">
        <w:rPr>
          <w:szCs w:val="24"/>
        </w:rPr>
        <w:t>rscored the interests of public policy in seeing finality to litigation.  Granted, the dismissal of HC 2079/08, is not the ideal finality as the parties’ wrangle over ownership of the house is in limbo.  It will however not be</w:t>
      </w:r>
      <w:r w:rsidR="007728D6">
        <w:rPr>
          <w:szCs w:val="24"/>
        </w:rPr>
        <w:t xml:space="preserve"> a proper exercise of my discretion to refuse to dismiss HC 2079/08 given the circumstances already highlighted herein.</w:t>
      </w:r>
    </w:p>
    <w:p w:rsidR="00267D3E" w:rsidRDefault="0096005F" w:rsidP="00037CBE">
      <w:pPr>
        <w:pStyle w:val="NoSpacing"/>
        <w:spacing w:line="480" w:lineRule="auto"/>
        <w:ind w:firstLine="720"/>
        <w:jc w:val="both"/>
        <w:rPr>
          <w:szCs w:val="24"/>
        </w:rPr>
      </w:pPr>
      <w:r>
        <w:rPr>
          <w:szCs w:val="24"/>
        </w:rPr>
        <w:t>If the removal of the HC 2079</w:t>
      </w:r>
      <w:r w:rsidR="007728D6">
        <w:rPr>
          <w:szCs w:val="24"/>
        </w:rPr>
        <w:t>/08 protection results in galvanizing the 1</w:t>
      </w:r>
      <w:r w:rsidR="007728D6" w:rsidRPr="007728D6">
        <w:rPr>
          <w:szCs w:val="24"/>
          <w:vertAlign w:val="superscript"/>
        </w:rPr>
        <w:t>st</w:t>
      </w:r>
      <w:r w:rsidR="007728D6">
        <w:rPr>
          <w:szCs w:val="24"/>
        </w:rPr>
        <w:t xml:space="preserve"> and 2</w:t>
      </w:r>
      <w:r w:rsidR="007728D6" w:rsidRPr="007728D6">
        <w:rPr>
          <w:szCs w:val="24"/>
          <w:vertAlign w:val="superscript"/>
        </w:rPr>
        <w:t>nd</w:t>
      </w:r>
      <w:r w:rsidR="007728D6">
        <w:rPr>
          <w:szCs w:val="24"/>
        </w:rPr>
        <w:t xml:space="preserve"> respondents into action then </w:t>
      </w:r>
      <w:r w:rsidR="00267D3E">
        <w:rPr>
          <w:szCs w:val="24"/>
        </w:rPr>
        <w:t>that is what would be ideal.  Whatever action they deem fit to pursue given the fate of HC 2078/08 is for them to decide.</w:t>
      </w:r>
    </w:p>
    <w:p w:rsidR="00267D3E" w:rsidRDefault="00267D3E" w:rsidP="00037CBE">
      <w:pPr>
        <w:pStyle w:val="NoSpacing"/>
        <w:spacing w:line="480" w:lineRule="auto"/>
        <w:ind w:firstLine="720"/>
        <w:jc w:val="both"/>
        <w:rPr>
          <w:szCs w:val="24"/>
        </w:rPr>
      </w:pPr>
      <w:r>
        <w:rPr>
          <w:szCs w:val="24"/>
        </w:rPr>
        <w:lastRenderedPageBreak/>
        <w:t>The balance of convenience and resultant possible prejudice applies equally to both parties.  The applicants who have been up and down seeking to assert a right to this house on one hand and the 1</w:t>
      </w:r>
      <w:r w:rsidRPr="00267D3E">
        <w:rPr>
          <w:szCs w:val="24"/>
          <w:vertAlign w:val="superscript"/>
        </w:rPr>
        <w:t>st</w:t>
      </w:r>
      <w:r>
        <w:rPr>
          <w:szCs w:val="24"/>
        </w:rPr>
        <w:t xml:space="preserve"> and 2</w:t>
      </w:r>
      <w:r w:rsidRPr="00267D3E">
        <w:rPr>
          <w:szCs w:val="24"/>
          <w:vertAlign w:val="superscript"/>
        </w:rPr>
        <w:t>nd</w:t>
      </w:r>
      <w:r>
        <w:rPr>
          <w:szCs w:val="24"/>
        </w:rPr>
        <w:t xml:space="preserve"> respondents who have been staying in the contentious house for a long time.  The respondents’ inertia has largely contributed to the merry-go-round the parties have been on and the dismissal of HC 2079/08 must, hopefully, result in some effort to resolve the impasse.  I have deliberately refrained from commenting on the applicants’ amended draft order wherein they sought eviction of the responde</w:t>
      </w:r>
      <w:r w:rsidR="004D1ACE">
        <w:rPr>
          <w:szCs w:val="24"/>
        </w:rPr>
        <w:t>nts ,</w:t>
      </w:r>
      <w:r>
        <w:rPr>
          <w:szCs w:val="24"/>
        </w:rPr>
        <w:t xml:space="preserve"> the </w:t>
      </w:r>
      <w:r w:rsidR="0096005F">
        <w:rPr>
          <w:szCs w:val="24"/>
        </w:rPr>
        <w:t>lifting of the</w:t>
      </w:r>
      <w:r>
        <w:rPr>
          <w:szCs w:val="24"/>
        </w:rPr>
        <w:t xml:space="preserve"> suspension of the order of the </w:t>
      </w:r>
      <w:r w:rsidR="004D1ACE">
        <w:rPr>
          <w:szCs w:val="24"/>
        </w:rPr>
        <w:t>Magistrates Court under 1965/02 and the right to be placed in occupation of the property.</w:t>
      </w:r>
      <w:r w:rsidR="0096005F">
        <w:rPr>
          <w:szCs w:val="24"/>
        </w:rPr>
        <w:t xml:space="preserve"> This is because the issue regarding the rightful owner of this property is yet to be decided. The double sale saga has to be adjudicated on and resolved. Only then can either party claim ownership and the right to occupy the property. This application is not about the resolution</w:t>
      </w:r>
      <w:r w:rsidR="00E24B7B">
        <w:rPr>
          <w:szCs w:val="24"/>
        </w:rPr>
        <w:t xml:space="preserve"> of</w:t>
      </w:r>
      <w:r w:rsidR="0096005F">
        <w:rPr>
          <w:szCs w:val="24"/>
        </w:rPr>
        <w:t xml:space="preserve"> this issue.</w:t>
      </w:r>
    </w:p>
    <w:p w:rsidR="000E2CB9" w:rsidRDefault="00267D3E" w:rsidP="00037CBE">
      <w:pPr>
        <w:pStyle w:val="NoSpacing"/>
        <w:spacing w:line="480" w:lineRule="auto"/>
        <w:ind w:firstLine="720"/>
        <w:jc w:val="both"/>
        <w:rPr>
          <w:szCs w:val="24"/>
        </w:rPr>
      </w:pPr>
      <w:r>
        <w:rPr>
          <w:szCs w:val="24"/>
        </w:rPr>
        <w:t>As regards costs, costs usually follow the cause unless there is some justification to depart from that norm.  I am of the view that the applicants could have set HC 2079/08 down for its confirmation or discharge, in line with the sentiments expressed by MAT</w:t>
      </w:r>
      <w:r w:rsidR="004D1ACE">
        <w:rPr>
          <w:szCs w:val="24"/>
        </w:rPr>
        <w:t>H</w:t>
      </w:r>
      <w:r>
        <w:rPr>
          <w:szCs w:val="24"/>
        </w:rPr>
        <w:t xml:space="preserve">ONSI J in </w:t>
      </w:r>
      <w:r w:rsidR="000E2CB9">
        <w:rPr>
          <w:szCs w:val="24"/>
        </w:rPr>
        <w:t>HB 7/11 but chose not to.  Both parties appeared content to unnecessarily drag this matter with no resolution for over a decade.</w:t>
      </w:r>
    </w:p>
    <w:p w:rsidR="000E2CB9" w:rsidRDefault="000E2CB9" w:rsidP="00037CBE">
      <w:pPr>
        <w:pStyle w:val="NoSpacing"/>
        <w:spacing w:line="480" w:lineRule="auto"/>
        <w:ind w:firstLine="720"/>
        <w:jc w:val="both"/>
        <w:rPr>
          <w:szCs w:val="24"/>
        </w:rPr>
      </w:pPr>
      <w:r>
        <w:rPr>
          <w:szCs w:val="24"/>
        </w:rPr>
        <w:t>This is a good case for ordering each party to bear its own costs.</w:t>
      </w:r>
    </w:p>
    <w:p w:rsidR="000E2CB9" w:rsidRDefault="000E2CB9" w:rsidP="00037CBE">
      <w:pPr>
        <w:pStyle w:val="NoSpacing"/>
        <w:spacing w:line="480" w:lineRule="auto"/>
        <w:ind w:firstLine="720"/>
        <w:jc w:val="both"/>
        <w:rPr>
          <w:szCs w:val="24"/>
        </w:rPr>
      </w:pPr>
      <w:r>
        <w:rPr>
          <w:szCs w:val="24"/>
        </w:rPr>
        <w:t>With that said, I make the following order:-</w:t>
      </w:r>
    </w:p>
    <w:p w:rsidR="002C280F" w:rsidRDefault="000E2CB9" w:rsidP="000E2CB9">
      <w:pPr>
        <w:pStyle w:val="NoSpacing"/>
        <w:spacing w:line="480" w:lineRule="auto"/>
        <w:ind w:left="1440" w:hanging="720"/>
        <w:jc w:val="both"/>
        <w:rPr>
          <w:szCs w:val="24"/>
        </w:rPr>
      </w:pPr>
      <w:r>
        <w:rPr>
          <w:szCs w:val="24"/>
        </w:rPr>
        <w:t>1.</w:t>
      </w:r>
      <w:r>
        <w:rPr>
          <w:szCs w:val="24"/>
        </w:rPr>
        <w:tab/>
        <w:t>The 1</w:t>
      </w:r>
      <w:r w:rsidRPr="000E2CB9">
        <w:rPr>
          <w:szCs w:val="24"/>
          <w:vertAlign w:val="superscript"/>
        </w:rPr>
        <w:t>st</w:t>
      </w:r>
      <w:r>
        <w:rPr>
          <w:szCs w:val="24"/>
        </w:rPr>
        <w:t xml:space="preserve"> and 2</w:t>
      </w:r>
      <w:r w:rsidRPr="000E2CB9">
        <w:rPr>
          <w:szCs w:val="24"/>
          <w:vertAlign w:val="superscript"/>
        </w:rPr>
        <w:t>nd</w:t>
      </w:r>
      <w:r>
        <w:rPr>
          <w:szCs w:val="24"/>
        </w:rPr>
        <w:t xml:space="preserve"> respondents’ application under HC 2079/08 be and is hereby dismissed for want of prosecution.</w:t>
      </w:r>
      <w:r w:rsidR="002C280F">
        <w:rPr>
          <w:szCs w:val="24"/>
        </w:rPr>
        <w:t xml:space="preserve"> </w:t>
      </w:r>
    </w:p>
    <w:p w:rsidR="000E2CB9" w:rsidRDefault="000E2CB9" w:rsidP="000E2CB9">
      <w:pPr>
        <w:pStyle w:val="NoSpacing"/>
        <w:spacing w:line="480" w:lineRule="auto"/>
        <w:ind w:left="1440" w:hanging="720"/>
        <w:jc w:val="both"/>
        <w:rPr>
          <w:szCs w:val="24"/>
        </w:rPr>
      </w:pPr>
      <w:r>
        <w:rPr>
          <w:szCs w:val="24"/>
        </w:rPr>
        <w:lastRenderedPageBreak/>
        <w:t>2.</w:t>
      </w:r>
      <w:r>
        <w:rPr>
          <w:szCs w:val="24"/>
        </w:rPr>
        <w:tab/>
        <w:t>Each party shall bear its own costs.</w:t>
      </w:r>
    </w:p>
    <w:p w:rsidR="00EE4567" w:rsidRDefault="00EE4567" w:rsidP="00EE4567">
      <w:pPr>
        <w:pStyle w:val="NoSpacing"/>
        <w:spacing w:line="480" w:lineRule="auto"/>
        <w:jc w:val="both"/>
        <w:rPr>
          <w:szCs w:val="24"/>
        </w:rPr>
      </w:pPr>
    </w:p>
    <w:p w:rsidR="00EE4567" w:rsidRDefault="00EE4567" w:rsidP="00EE4567">
      <w:pPr>
        <w:pStyle w:val="NoSpacing"/>
        <w:spacing w:line="480" w:lineRule="auto"/>
        <w:jc w:val="both"/>
        <w:rPr>
          <w:szCs w:val="24"/>
        </w:rPr>
      </w:pPr>
    </w:p>
    <w:p w:rsidR="00EE4567" w:rsidRPr="00FA1D80" w:rsidRDefault="00EE4567" w:rsidP="00FA1D80">
      <w:pPr>
        <w:pStyle w:val="NoSpacing"/>
      </w:pPr>
      <w:r w:rsidRPr="00FA1D80">
        <w:rPr>
          <w:i/>
        </w:rPr>
        <w:t>Marume &amp; Furidzo c/o Masamvu &amp; Da Silva-Gustavo Law Chambers</w:t>
      </w:r>
      <w:r w:rsidRPr="00FA1D80">
        <w:t xml:space="preserve">, 1st and 2nd </w:t>
      </w:r>
      <w:r w:rsidR="00957046" w:rsidRPr="00FA1D80">
        <w:t>respondents’ legal practitioners</w:t>
      </w:r>
    </w:p>
    <w:p w:rsidR="00037CBE" w:rsidRDefault="00037CBE" w:rsidP="00037CBE">
      <w:pPr>
        <w:pStyle w:val="NoSpacing"/>
        <w:spacing w:line="480" w:lineRule="auto"/>
        <w:ind w:left="720"/>
        <w:jc w:val="both"/>
        <w:rPr>
          <w:szCs w:val="24"/>
        </w:rPr>
      </w:pPr>
    </w:p>
    <w:p w:rsidR="00037CBE" w:rsidRDefault="00037CBE" w:rsidP="00037CBE">
      <w:pPr>
        <w:pStyle w:val="NoSpacing"/>
        <w:spacing w:line="480" w:lineRule="auto"/>
        <w:jc w:val="both"/>
        <w:rPr>
          <w:szCs w:val="24"/>
        </w:rPr>
      </w:pPr>
    </w:p>
    <w:p w:rsidR="00C006EB" w:rsidRDefault="00C006EB" w:rsidP="00C006EB">
      <w:pPr>
        <w:pStyle w:val="NoSpacing"/>
        <w:spacing w:line="480" w:lineRule="auto"/>
        <w:ind w:left="720"/>
        <w:jc w:val="both"/>
        <w:rPr>
          <w:szCs w:val="24"/>
        </w:rPr>
      </w:pPr>
      <w:r>
        <w:rPr>
          <w:szCs w:val="24"/>
        </w:rPr>
        <w:t xml:space="preserve"> </w:t>
      </w:r>
    </w:p>
    <w:p w:rsidR="00FB56A8" w:rsidRDefault="00FB56A8" w:rsidP="00FB56A8">
      <w:pPr>
        <w:pStyle w:val="NoSpacing"/>
        <w:spacing w:line="480" w:lineRule="auto"/>
        <w:ind w:left="720"/>
        <w:jc w:val="both"/>
        <w:rPr>
          <w:szCs w:val="24"/>
        </w:rPr>
      </w:pPr>
    </w:p>
    <w:p w:rsidR="00B97E94" w:rsidRDefault="00B97E94" w:rsidP="00B97E94">
      <w:pPr>
        <w:pStyle w:val="NoSpacing"/>
        <w:spacing w:line="480" w:lineRule="auto"/>
        <w:ind w:firstLine="720"/>
        <w:jc w:val="both"/>
        <w:rPr>
          <w:szCs w:val="24"/>
        </w:rPr>
      </w:pPr>
    </w:p>
    <w:p w:rsidR="00B97E94" w:rsidRDefault="00B97E94" w:rsidP="00B97E94">
      <w:pPr>
        <w:pStyle w:val="NoSpacing"/>
        <w:spacing w:line="480" w:lineRule="auto"/>
        <w:ind w:firstLine="720"/>
        <w:jc w:val="both"/>
        <w:rPr>
          <w:szCs w:val="24"/>
        </w:rPr>
      </w:pPr>
    </w:p>
    <w:p w:rsidR="00223694" w:rsidRDefault="00223694" w:rsidP="00B97E94">
      <w:pPr>
        <w:spacing w:line="480" w:lineRule="auto"/>
      </w:pPr>
    </w:p>
    <w:sectPr w:rsidR="002236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5F" w:rsidRDefault="0096005F" w:rsidP="00CD4F72">
      <w:pPr>
        <w:spacing w:after="0" w:line="240" w:lineRule="auto"/>
      </w:pPr>
      <w:r>
        <w:separator/>
      </w:r>
    </w:p>
  </w:endnote>
  <w:endnote w:type="continuationSeparator" w:id="0">
    <w:p w:rsidR="0096005F" w:rsidRDefault="0096005F" w:rsidP="00CD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5F" w:rsidRDefault="0096005F" w:rsidP="00CD4F72">
      <w:pPr>
        <w:spacing w:after="0" w:line="240" w:lineRule="auto"/>
      </w:pPr>
      <w:r>
        <w:separator/>
      </w:r>
    </w:p>
  </w:footnote>
  <w:footnote w:type="continuationSeparator" w:id="0">
    <w:p w:rsidR="0096005F" w:rsidRDefault="0096005F" w:rsidP="00CD4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429746"/>
      <w:docPartObj>
        <w:docPartGallery w:val="Page Numbers (Top of Page)"/>
        <w:docPartUnique/>
      </w:docPartObj>
    </w:sdtPr>
    <w:sdtEndPr>
      <w:rPr>
        <w:rFonts w:ascii="Times New Roman" w:hAnsi="Times New Roman" w:cs="Times New Roman"/>
        <w:noProof/>
        <w:sz w:val="24"/>
        <w:szCs w:val="24"/>
      </w:rPr>
    </w:sdtEndPr>
    <w:sdtContent>
      <w:p w:rsidR="0096005F" w:rsidRPr="00CD4F72" w:rsidRDefault="0096005F">
        <w:pPr>
          <w:pStyle w:val="Header"/>
          <w:jc w:val="right"/>
          <w:rPr>
            <w:rFonts w:ascii="Times New Roman" w:hAnsi="Times New Roman" w:cs="Times New Roman"/>
            <w:noProof/>
            <w:sz w:val="24"/>
            <w:szCs w:val="24"/>
          </w:rPr>
        </w:pPr>
        <w:r w:rsidRPr="00CD4F72">
          <w:rPr>
            <w:rFonts w:ascii="Times New Roman" w:hAnsi="Times New Roman" w:cs="Times New Roman"/>
            <w:sz w:val="24"/>
            <w:szCs w:val="24"/>
          </w:rPr>
          <w:fldChar w:fldCharType="begin"/>
        </w:r>
        <w:r w:rsidRPr="00CD4F72">
          <w:rPr>
            <w:rFonts w:ascii="Times New Roman" w:hAnsi="Times New Roman" w:cs="Times New Roman"/>
            <w:sz w:val="24"/>
            <w:szCs w:val="24"/>
          </w:rPr>
          <w:instrText xml:space="preserve"> PAGE   \* MERGEFORMAT </w:instrText>
        </w:r>
        <w:r w:rsidRPr="00CD4F72">
          <w:rPr>
            <w:rFonts w:ascii="Times New Roman" w:hAnsi="Times New Roman" w:cs="Times New Roman"/>
            <w:sz w:val="24"/>
            <w:szCs w:val="24"/>
          </w:rPr>
          <w:fldChar w:fldCharType="separate"/>
        </w:r>
        <w:r w:rsidR="00CE18F3">
          <w:rPr>
            <w:rFonts w:ascii="Times New Roman" w:hAnsi="Times New Roman" w:cs="Times New Roman"/>
            <w:noProof/>
            <w:sz w:val="24"/>
            <w:szCs w:val="24"/>
          </w:rPr>
          <w:t>8</w:t>
        </w:r>
        <w:r w:rsidRPr="00CD4F72">
          <w:rPr>
            <w:rFonts w:ascii="Times New Roman" w:hAnsi="Times New Roman" w:cs="Times New Roman"/>
            <w:noProof/>
            <w:sz w:val="24"/>
            <w:szCs w:val="24"/>
          </w:rPr>
          <w:fldChar w:fldCharType="end"/>
        </w:r>
      </w:p>
      <w:p w:rsidR="0096005F" w:rsidRPr="00CD4F72" w:rsidRDefault="0096005F">
        <w:pPr>
          <w:pStyle w:val="Header"/>
          <w:jc w:val="right"/>
          <w:rPr>
            <w:rFonts w:ascii="Times New Roman" w:hAnsi="Times New Roman" w:cs="Times New Roman"/>
            <w:noProof/>
            <w:sz w:val="24"/>
            <w:szCs w:val="24"/>
          </w:rPr>
        </w:pPr>
        <w:r w:rsidRPr="00CD4F72">
          <w:rPr>
            <w:rFonts w:ascii="Times New Roman" w:hAnsi="Times New Roman" w:cs="Times New Roman"/>
            <w:noProof/>
            <w:sz w:val="24"/>
            <w:szCs w:val="24"/>
          </w:rPr>
          <w:t>HB</w:t>
        </w:r>
        <w:r w:rsidR="00ED2204">
          <w:rPr>
            <w:rFonts w:ascii="Times New Roman" w:hAnsi="Times New Roman" w:cs="Times New Roman"/>
            <w:noProof/>
            <w:sz w:val="24"/>
            <w:szCs w:val="24"/>
          </w:rPr>
          <w:t xml:space="preserve"> 199/23</w:t>
        </w:r>
      </w:p>
      <w:p w:rsidR="0096005F" w:rsidRPr="00CD4F72" w:rsidRDefault="00ED2204">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HC 915/22 </w:t>
        </w:r>
      </w:p>
      <w:p w:rsidR="0096005F" w:rsidRPr="00CD4F72" w:rsidRDefault="0096005F">
        <w:pPr>
          <w:pStyle w:val="Header"/>
          <w:jc w:val="right"/>
          <w:rPr>
            <w:rFonts w:ascii="Times New Roman" w:hAnsi="Times New Roman" w:cs="Times New Roman"/>
            <w:noProof/>
            <w:sz w:val="24"/>
            <w:szCs w:val="24"/>
          </w:rPr>
        </w:pPr>
        <w:r w:rsidRPr="00CD4F72">
          <w:rPr>
            <w:rFonts w:ascii="Times New Roman" w:hAnsi="Times New Roman" w:cs="Times New Roman"/>
            <w:noProof/>
            <w:sz w:val="24"/>
            <w:szCs w:val="24"/>
          </w:rPr>
          <w:t>CHAA 114/22</w:t>
        </w:r>
      </w:p>
      <w:p w:rsidR="0096005F" w:rsidRPr="00CD4F72" w:rsidRDefault="0096005F">
        <w:pPr>
          <w:pStyle w:val="Header"/>
          <w:jc w:val="right"/>
          <w:rPr>
            <w:rFonts w:ascii="Times New Roman" w:hAnsi="Times New Roman" w:cs="Times New Roman"/>
            <w:noProof/>
            <w:sz w:val="24"/>
            <w:szCs w:val="24"/>
          </w:rPr>
        </w:pPr>
        <w:r w:rsidRPr="00CD4F72">
          <w:rPr>
            <w:rFonts w:ascii="Times New Roman" w:hAnsi="Times New Roman" w:cs="Times New Roman"/>
            <w:noProof/>
            <w:sz w:val="24"/>
            <w:szCs w:val="24"/>
          </w:rPr>
          <w:t>XREF 2079/08</w:t>
        </w:r>
      </w:p>
      <w:p w:rsidR="0096005F" w:rsidRPr="00CD4F72" w:rsidRDefault="0096005F">
        <w:pPr>
          <w:pStyle w:val="Header"/>
          <w:jc w:val="right"/>
          <w:rPr>
            <w:rFonts w:ascii="Times New Roman" w:hAnsi="Times New Roman" w:cs="Times New Roman"/>
            <w:noProof/>
            <w:sz w:val="24"/>
            <w:szCs w:val="24"/>
          </w:rPr>
        </w:pPr>
        <w:r w:rsidRPr="00CD4F72">
          <w:rPr>
            <w:rFonts w:ascii="Times New Roman" w:hAnsi="Times New Roman" w:cs="Times New Roman"/>
            <w:noProof/>
            <w:sz w:val="24"/>
            <w:szCs w:val="24"/>
          </w:rPr>
          <w:t>XREF 2078/08</w:t>
        </w:r>
      </w:p>
      <w:p w:rsidR="0096005F" w:rsidRPr="00CD4F72" w:rsidRDefault="0096005F">
        <w:pPr>
          <w:pStyle w:val="Header"/>
          <w:jc w:val="right"/>
          <w:rPr>
            <w:rFonts w:ascii="Times New Roman" w:hAnsi="Times New Roman" w:cs="Times New Roman"/>
            <w:noProof/>
            <w:sz w:val="24"/>
            <w:szCs w:val="24"/>
          </w:rPr>
        </w:pPr>
        <w:r w:rsidRPr="00CD4F72">
          <w:rPr>
            <w:rFonts w:ascii="Times New Roman" w:hAnsi="Times New Roman" w:cs="Times New Roman"/>
            <w:noProof/>
            <w:sz w:val="24"/>
            <w:szCs w:val="24"/>
          </w:rPr>
          <w:t>XREF 687/08</w:t>
        </w:r>
      </w:p>
      <w:p w:rsidR="0096005F" w:rsidRPr="00CD4F72" w:rsidRDefault="0096005F">
        <w:pPr>
          <w:pStyle w:val="Header"/>
          <w:jc w:val="right"/>
          <w:rPr>
            <w:rFonts w:ascii="Times New Roman" w:hAnsi="Times New Roman" w:cs="Times New Roman"/>
            <w:noProof/>
            <w:sz w:val="24"/>
            <w:szCs w:val="24"/>
          </w:rPr>
        </w:pPr>
        <w:r w:rsidRPr="00CD4F72">
          <w:rPr>
            <w:rFonts w:ascii="Times New Roman" w:hAnsi="Times New Roman" w:cs="Times New Roman"/>
            <w:noProof/>
            <w:sz w:val="24"/>
            <w:szCs w:val="24"/>
          </w:rPr>
          <w:t>XREF 2335/08</w:t>
        </w:r>
      </w:p>
      <w:p w:rsidR="0096005F" w:rsidRPr="00CD4F72" w:rsidRDefault="0096005F">
        <w:pPr>
          <w:pStyle w:val="Header"/>
          <w:jc w:val="right"/>
          <w:rPr>
            <w:rFonts w:ascii="Times New Roman" w:hAnsi="Times New Roman" w:cs="Times New Roman"/>
            <w:noProof/>
            <w:sz w:val="24"/>
            <w:szCs w:val="24"/>
          </w:rPr>
        </w:pPr>
        <w:r w:rsidRPr="00CD4F72">
          <w:rPr>
            <w:rFonts w:ascii="Times New Roman" w:hAnsi="Times New Roman" w:cs="Times New Roman"/>
            <w:noProof/>
            <w:sz w:val="24"/>
            <w:szCs w:val="24"/>
          </w:rPr>
          <w:t>XREF 1579/07</w:t>
        </w:r>
      </w:p>
      <w:p w:rsidR="0096005F" w:rsidRPr="00CD4F72" w:rsidRDefault="0096005F">
        <w:pPr>
          <w:pStyle w:val="Header"/>
          <w:jc w:val="right"/>
          <w:rPr>
            <w:rFonts w:ascii="Times New Roman" w:hAnsi="Times New Roman" w:cs="Times New Roman"/>
            <w:sz w:val="24"/>
            <w:szCs w:val="24"/>
          </w:rPr>
        </w:pPr>
        <w:r w:rsidRPr="00CD4F72">
          <w:rPr>
            <w:rFonts w:ascii="Times New Roman" w:hAnsi="Times New Roman" w:cs="Times New Roman"/>
            <w:noProof/>
            <w:sz w:val="24"/>
            <w:szCs w:val="24"/>
          </w:rPr>
          <w:t>XREF 1966/09</w:t>
        </w:r>
      </w:p>
    </w:sdtContent>
  </w:sdt>
  <w:p w:rsidR="0096005F" w:rsidRDefault="009600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D112E"/>
    <w:multiLevelType w:val="hybridMultilevel"/>
    <w:tmpl w:val="E522FCD6"/>
    <w:lvl w:ilvl="0" w:tplc="76DAE78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3F"/>
    <w:rsid w:val="0000270A"/>
    <w:rsid w:val="00037CBE"/>
    <w:rsid w:val="00043B07"/>
    <w:rsid w:val="000D375D"/>
    <w:rsid w:val="000E2CB9"/>
    <w:rsid w:val="0016063F"/>
    <w:rsid w:val="002033C5"/>
    <w:rsid w:val="0021085E"/>
    <w:rsid w:val="00223694"/>
    <w:rsid w:val="00244A37"/>
    <w:rsid w:val="00267D3E"/>
    <w:rsid w:val="002905AD"/>
    <w:rsid w:val="002B7941"/>
    <w:rsid w:val="002C280F"/>
    <w:rsid w:val="002D1101"/>
    <w:rsid w:val="002E75A3"/>
    <w:rsid w:val="003F31CF"/>
    <w:rsid w:val="004D1ACE"/>
    <w:rsid w:val="00593D9B"/>
    <w:rsid w:val="005A47FB"/>
    <w:rsid w:val="005C3ABA"/>
    <w:rsid w:val="006775A7"/>
    <w:rsid w:val="00714BC0"/>
    <w:rsid w:val="00714FCC"/>
    <w:rsid w:val="00752099"/>
    <w:rsid w:val="007728D6"/>
    <w:rsid w:val="00785126"/>
    <w:rsid w:val="00874834"/>
    <w:rsid w:val="00882A70"/>
    <w:rsid w:val="00897D1D"/>
    <w:rsid w:val="00903769"/>
    <w:rsid w:val="00957046"/>
    <w:rsid w:val="0096005F"/>
    <w:rsid w:val="00992F6A"/>
    <w:rsid w:val="009A497F"/>
    <w:rsid w:val="00A36A04"/>
    <w:rsid w:val="00AC22C8"/>
    <w:rsid w:val="00AC6C47"/>
    <w:rsid w:val="00AF6087"/>
    <w:rsid w:val="00B33B48"/>
    <w:rsid w:val="00B623A0"/>
    <w:rsid w:val="00B8235D"/>
    <w:rsid w:val="00B97E94"/>
    <w:rsid w:val="00C006EB"/>
    <w:rsid w:val="00C6550F"/>
    <w:rsid w:val="00CD0D72"/>
    <w:rsid w:val="00CD4F72"/>
    <w:rsid w:val="00CE18F3"/>
    <w:rsid w:val="00DC2BF8"/>
    <w:rsid w:val="00DF014D"/>
    <w:rsid w:val="00E24B7B"/>
    <w:rsid w:val="00E6619D"/>
    <w:rsid w:val="00EC5FB3"/>
    <w:rsid w:val="00ED2204"/>
    <w:rsid w:val="00EE4567"/>
    <w:rsid w:val="00F57B77"/>
    <w:rsid w:val="00FA1D80"/>
    <w:rsid w:val="00FB56A8"/>
    <w:rsid w:val="00FE01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24EE9-F3B0-47C8-8E53-FAAAD555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9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63F"/>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CD4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F72"/>
    <w:rPr>
      <w:rFonts w:eastAsiaTheme="minorEastAsia"/>
      <w:lang w:val="en-US"/>
    </w:rPr>
  </w:style>
  <w:style w:type="paragraph" w:styleId="Footer">
    <w:name w:val="footer"/>
    <w:basedOn w:val="Normal"/>
    <w:link w:val="FooterChar"/>
    <w:uiPriority w:val="99"/>
    <w:unhideWhenUsed/>
    <w:rsid w:val="00CD4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F7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97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10</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42</cp:revision>
  <dcterms:created xsi:type="dcterms:W3CDTF">2023-10-04T07:14:00Z</dcterms:created>
  <dcterms:modified xsi:type="dcterms:W3CDTF">2023-10-04T13:58:00Z</dcterms:modified>
</cp:coreProperties>
</file>