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BDE" w:rsidRDefault="003C7925" w:rsidP="00352002">
      <w:pPr>
        <w:spacing w:line="360" w:lineRule="auto"/>
        <w:jc w:val="both"/>
        <w:rPr>
          <w:b/>
          <w:sz w:val="28"/>
          <w:szCs w:val="28"/>
        </w:rPr>
      </w:pPr>
      <w:bookmarkStart w:id="0" w:name="_GoBack"/>
      <w:bookmarkEnd w:id="0"/>
      <w:r>
        <w:rPr>
          <w:b/>
          <w:sz w:val="28"/>
          <w:szCs w:val="28"/>
        </w:rPr>
        <w:t>I</w:t>
      </w:r>
      <w:r w:rsidR="00FF0283">
        <w:rPr>
          <w:b/>
          <w:sz w:val="28"/>
          <w:szCs w:val="28"/>
        </w:rPr>
        <w:t>N THE LABOUR COURT OF ZIMBABWE</w:t>
      </w:r>
      <w:r w:rsidR="00FF0283">
        <w:rPr>
          <w:b/>
          <w:sz w:val="28"/>
          <w:szCs w:val="28"/>
        </w:rPr>
        <w:tab/>
      </w:r>
      <w:r>
        <w:rPr>
          <w:b/>
          <w:sz w:val="28"/>
          <w:szCs w:val="28"/>
        </w:rPr>
        <w:t>JUDGMENT NO LC/H/</w:t>
      </w:r>
      <w:r w:rsidR="00FF0283">
        <w:rPr>
          <w:b/>
          <w:sz w:val="28"/>
          <w:szCs w:val="28"/>
        </w:rPr>
        <w:t>152</w:t>
      </w:r>
      <w:r>
        <w:rPr>
          <w:b/>
          <w:sz w:val="28"/>
          <w:szCs w:val="28"/>
        </w:rPr>
        <w:t>/14</w:t>
      </w:r>
    </w:p>
    <w:p w:rsidR="003C7925" w:rsidRDefault="003C7925" w:rsidP="00352002">
      <w:pPr>
        <w:spacing w:line="360" w:lineRule="auto"/>
        <w:jc w:val="both"/>
        <w:rPr>
          <w:b/>
          <w:sz w:val="28"/>
          <w:szCs w:val="28"/>
        </w:rPr>
      </w:pPr>
      <w:r>
        <w:rPr>
          <w:b/>
          <w:sz w:val="28"/>
          <w:szCs w:val="28"/>
        </w:rPr>
        <w:t xml:space="preserve">HELD AT HARARE </w:t>
      </w:r>
      <w:r w:rsidR="00352002">
        <w:rPr>
          <w:b/>
          <w:sz w:val="28"/>
          <w:szCs w:val="28"/>
        </w:rPr>
        <w:t>24</w:t>
      </w:r>
      <w:r w:rsidR="00352002" w:rsidRPr="00352002">
        <w:rPr>
          <w:b/>
          <w:sz w:val="28"/>
          <w:szCs w:val="28"/>
          <w:vertAlign w:val="superscript"/>
        </w:rPr>
        <w:t>TH</w:t>
      </w:r>
      <w:r w:rsidR="00352002">
        <w:rPr>
          <w:b/>
          <w:sz w:val="28"/>
          <w:szCs w:val="28"/>
        </w:rPr>
        <w:t xml:space="preserve"> FEBRUARY 2014</w:t>
      </w:r>
      <w:r w:rsidR="00352002">
        <w:rPr>
          <w:b/>
          <w:sz w:val="28"/>
          <w:szCs w:val="28"/>
        </w:rPr>
        <w:tab/>
      </w:r>
      <w:r w:rsidR="00352002">
        <w:rPr>
          <w:b/>
          <w:sz w:val="28"/>
          <w:szCs w:val="28"/>
        </w:rPr>
        <w:tab/>
        <w:t>CASE NO LC/H/11/13</w:t>
      </w:r>
    </w:p>
    <w:p w:rsidR="00807250" w:rsidRDefault="00807250" w:rsidP="00352002">
      <w:pPr>
        <w:spacing w:line="360" w:lineRule="auto"/>
        <w:jc w:val="both"/>
        <w:rPr>
          <w:b/>
          <w:sz w:val="28"/>
          <w:szCs w:val="28"/>
        </w:rPr>
      </w:pPr>
      <w:r>
        <w:rPr>
          <w:b/>
          <w:sz w:val="28"/>
          <w:szCs w:val="28"/>
        </w:rPr>
        <w:t>&amp; 28</w:t>
      </w:r>
      <w:r w:rsidRPr="00807250">
        <w:rPr>
          <w:b/>
          <w:sz w:val="28"/>
          <w:szCs w:val="28"/>
          <w:vertAlign w:val="superscript"/>
        </w:rPr>
        <w:t>TH</w:t>
      </w:r>
      <w:r>
        <w:rPr>
          <w:b/>
          <w:sz w:val="28"/>
          <w:szCs w:val="28"/>
        </w:rPr>
        <w:t xml:space="preserve"> MARCH 2014</w:t>
      </w:r>
    </w:p>
    <w:p w:rsidR="00352002" w:rsidRDefault="00352002" w:rsidP="00352002">
      <w:pPr>
        <w:spacing w:line="360" w:lineRule="auto"/>
        <w:jc w:val="both"/>
        <w:rPr>
          <w:sz w:val="28"/>
          <w:szCs w:val="28"/>
        </w:rPr>
      </w:pPr>
      <w:r>
        <w:rPr>
          <w:sz w:val="28"/>
          <w:szCs w:val="28"/>
        </w:rPr>
        <w:t>In the matter between:-</w:t>
      </w:r>
    </w:p>
    <w:p w:rsidR="00352002" w:rsidRDefault="00352002" w:rsidP="00352002">
      <w:pPr>
        <w:spacing w:line="360" w:lineRule="auto"/>
        <w:jc w:val="both"/>
        <w:rPr>
          <w:b/>
          <w:sz w:val="28"/>
          <w:szCs w:val="28"/>
        </w:rPr>
      </w:pPr>
      <w:r>
        <w:rPr>
          <w:b/>
          <w:sz w:val="28"/>
          <w:szCs w:val="28"/>
        </w:rPr>
        <w:t>FOSTER MUSINDO</w:t>
      </w:r>
      <w:r>
        <w:rPr>
          <w:b/>
          <w:sz w:val="28"/>
          <w:szCs w:val="28"/>
        </w:rPr>
        <w:tab/>
      </w:r>
      <w:r>
        <w:rPr>
          <w:b/>
          <w:sz w:val="28"/>
          <w:szCs w:val="28"/>
        </w:rPr>
        <w:tab/>
      </w:r>
      <w:r>
        <w:rPr>
          <w:b/>
          <w:sz w:val="28"/>
          <w:szCs w:val="28"/>
        </w:rPr>
        <w:tab/>
      </w:r>
      <w:r>
        <w:rPr>
          <w:b/>
          <w:sz w:val="28"/>
          <w:szCs w:val="28"/>
        </w:rPr>
        <w:tab/>
      </w:r>
      <w:r>
        <w:rPr>
          <w:b/>
          <w:sz w:val="28"/>
          <w:szCs w:val="28"/>
        </w:rPr>
        <w:tab/>
        <w:t>Appellant</w:t>
      </w:r>
    </w:p>
    <w:p w:rsidR="00352002" w:rsidRDefault="00352002" w:rsidP="00352002">
      <w:pPr>
        <w:spacing w:line="360" w:lineRule="auto"/>
        <w:jc w:val="both"/>
        <w:rPr>
          <w:b/>
          <w:sz w:val="28"/>
          <w:szCs w:val="28"/>
        </w:rPr>
      </w:pPr>
      <w:r>
        <w:rPr>
          <w:b/>
          <w:sz w:val="28"/>
          <w:szCs w:val="28"/>
        </w:rPr>
        <w:t>And</w:t>
      </w:r>
    </w:p>
    <w:p w:rsidR="00F75B37" w:rsidRDefault="00F75B37" w:rsidP="00352002">
      <w:pPr>
        <w:spacing w:line="360" w:lineRule="auto"/>
        <w:jc w:val="both"/>
        <w:rPr>
          <w:b/>
          <w:sz w:val="28"/>
          <w:szCs w:val="28"/>
        </w:rPr>
      </w:pPr>
      <w:r>
        <w:rPr>
          <w:b/>
          <w:sz w:val="28"/>
          <w:szCs w:val="28"/>
        </w:rPr>
        <w:t>IMTEC SALES</w:t>
      </w:r>
      <w:r>
        <w:rPr>
          <w:b/>
          <w:sz w:val="28"/>
          <w:szCs w:val="28"/>
        </w:rPr>
        <w:tab/>
      </w:r>
      <w:r>
        <w:rPr>
          <w:b/>
          <w:sz w:val="28"/>
          <w:szCs w:val="28"/>
        </w:rPr>
        <w:tab/>
      </w:r>
      <w:r>
        <w:rPr>
          <w:b/>
          <w:sz w:val="28"/>
          <w:szCs w:val="28"/>
        </w:rPr>
        <w:tab/>
      </w:r>
      <w:r>
        <w:rPr>
          <w:b/>
          <w:sz w:val="28"/>
          <w:szCs w:val="28"/>
        </w:rPr>
        <w:tab/>
      </w:r>
      <w:r>
        <w:rPr>
          <w:b/>
          <w:sz w:val="28"/>
          <w:szCs w:val="28"/>
        </w:rPr>
        <w:tab/>
        <w:t>1</w:t>
      </w:r>
      <w:r w:rsidRPr="00F75B37">
        <w:rPr>
          <w:b/>
          <w:sz w:val="28"/>
          <w:szCs w:val="28"/>
          <w:vertAlign w:val="superscript"/>
        </w:rPr>
        <w:t>st</w:t>
      </w:r>
      <w:r>
        <w:rPr>
          <w:b/>
          <w:sz w:val="28"/>
          <w:szCs w:val="28"/>
        </w:rPr>
        <w:t xml:space="preserve"> Respondent</w:t>
      </w:r>
    </w:p>
    <w:p w:rsidR="00F75B37" w:rsidRDefault="00F75B37" w:rsidP="00352002">
      <w:pPr>
        <w:spacing w:line="360" w:lineRule="auto"/>
        <w:jc w:val="both"/>
        <w:rPr>
          <w:b/>
          <w:sz w:val="28"/>
          <w:szCs w:val="28"/>
        </w:rPr>
      </w:pPr>
      <w:r>
        <w:rPr>
          <w:b/>
          <w:sz w:val="28"/>
          <w:szCs w:val="28"/>
        </w:rPr>
        <w:t>And</w:t>
      </w:r>
    </w:p>
    <w:p w:rsidR="00352002" w:rsidRDefault="00352002" w:rsidP="00352002">
      <w:pPr>
        <w:spacing w:line="360" w:lineRule="auto"/>
        <w:jc w:val="both"/>
        <w:rPr>
          <w:b/>
          <w:sz w:val="28"/>
          <w:szCs w:val="28"/>
        </w:rPr>
      </w:pPr>
      <w:r>
        <w:rPr>
          <w:b/>
          <w:sz w:val="28"/>
          <w:szCs w:val="28"/>
        </w:rPr>
        <w:t>MINISTRY OF LABOUR</w:t>
      </w:r>
      <w:r>
        <w:rPr>
          <w:b/>
          <w:sz w:val="28"/>
          <w:szCs w:val="28"/>
        </w:rPr>
        <w:tab/>
      </w:r>
      <w:r>
        <w:rPr>
          <w:b/>
          <w:sz w:val="28"/>
          <w:szCs w:val="28"/>
        </w:rPr>
        <w:tab/>
      </w:r>
      <w:r>
        <w:rPr>
          <w:b/>
          <w:sz w:val="28"/>
          <w:szCs w:val="28"/>
        </w:rPr>
        <w:tab/>
      </w:r>
      <w:r>
        <w:rPr>
          <w:b/>
          <w:sz w:val="28"/>
          <w:szCs w:val="28"/>
        </w:rPr>
        <w:tab/>
      </w:r>
      <w:r w:rsidR="00F75B37">
        <w:rPr>
          <w:b/>
          <w:sz w:val="28"/>
          <w:szCs w:val="28"/>
        </w:rPr>
        <w:t>2</w:t>
      </w:r>
      <w:r w:rsidR="00F75B37" w:rsidRPr="00F75B37">
        <w:rPr>
          <w:b/>
          <w:sz w:val="28"/>
          <w:szCs w:val="28"/>
          <w:vertAlign w:val="superscript"/>
        </w:rPr>
        <w:t>nd</w:t>
      </w:r>
      <w:r w:rsidR="0088589C">
        <w:rPr>
          <w:b/>
          <w:sz w:val="28"/>
          <w:szCs w:val="28"/>
        </w:rPr>
        <w:tab/>
      </w:r>
      <w:r>
        <w:rPr>
          <w:b/>
          <w:sz w:val="28"/>
          <w:szCs w:val="28"/>
        </w:rPr>
        <w:t>Respondent</w:t>
      </w:r>
    </w:p>
    <w:p w:rsidR="00352002" w:rsidRDefault="00352002" w:rsidP="00352002">
      <w:pPr>
        <w:spacing w:line="360" w:lineRule="auto"/>
        <w:jc w:val="both"/>
        <w:rPr>
          <w:sz w:val="28"/>
          <w:szCs w:val="28"/>
        </w:rPr>
      </w:pPr>
      <w:r>
        <w:rPr>
          <w:sz w:val="28"/>
          <w:szCs w:val="28"/>
        </w:rPr>
        <w:t>Before The Honourable L Hove, Judge</w:t>
      </w:r>
    </w:p>
    <w:p w:rsidR="00352002" w:rsidRDefault="00352002" w:rsidP="00352002">
      <w:pPr>
        <w:spacing w:line="360" w:lineRule="auto"/>
        <w:jc w:val="both"/>
        <w:rPr>
          <w:b/>
          <w:sz w:val="28"/>
          <w:szCs w:val="28"/>
        </w:rPr>
      </w:pPr>
      <w:r>
        <w:rPr>
          <w:b/>
          <w:sz w:val="28"/>
          <w:szCs w:val="28"/>
        </w:rPr>
        <w:t>For Appellant</w:t>
      </w:r>
      <w:r>
        <w:rPr>
          <w:b/>
          <w:sz w:val="28"/>
          <w:szCs w:val="28"/>
        </w:rPr>
        <w:tab/>
      </w:r>
      <w:r>
        <w:rPr>
          <w:b/>
          <w:sz w:val="28"/>
          <w:szCs w:val="28"/>
        </w:rPr>
        <w:tab/>
        <w:t>Mr W Murambidza (Trade Unionist)</w:t>
      </w:r>
    </w:p>
    <w:p w:rsidR="00352002" w:rsidRDefault="00352002" w:rsidP="00352002">
      <w:pPr>
        <w:spacing w:line="360" w:lineRule="auto"/>
        <w:jc w:val="both"/>
        <w:rPr>
          <w:b/>
          <w:sz w:val="28"/>
          <w:szCs w:val="28"/>
        </w:rPr>
      </w:pPr>
      <w:r>
        <w:rPr>
          <w:b/>
          <w:sz w:val="28"/>
          <w:szCs w:val="28"/>
        </w:rPr>
        <w:t>For Respondent</w:t>
      </w:r>
      <w:r>
        <w:rPr>
          <w:b/>
          <w:sz w:val="28"/>
          <w:szCs w:val="28"/>
        </w:rPr>
        <w:tab/>
      </w:r>
      <w:r>
        <w:rPr>
          <w:b/>
          <w:sz w:val="28"/>
          <w:szCs w:val="28"/>
        </w:rPr>
        <w:tab/>
        <w:t>No appearance</w:t>
      </w:r>
    </w:p>
    <w:p w:rsidR="00352002" w:rsidRDefault="00352002" w:rsidP="00352002">
      <w:pPr>
        <w:spacing w:line="360" w:lineRule="auto"/>
        <w:jc w:val="both"/>
        <w:rPr>
          <w:b/>
          <w:sz w:val="28"/>
          <w:szCs w:val="28"/>
        </w:rPr>
      </w:pPr>
    </w:p>
    <w:p w:rsidR="00352002" w:rsidRDefault="00352002" w:rsidP="00352002">
      <w:pPr>
        <w:spacing w:line="360" w:lineRule="auto"/>
        <w:jc w:val="both"/>
        <w:rPr>
          <w:b/>
          <w:sz w:val="28"/>
          <w:szCs w:val="28"/>
        </w:rPr>
      </w:pPr>
      <w:r>
        <w:rPr>
          <w:b/>
          <w:sz w:val="28"/>
          <w:szCs w:val="28"/>
        </w:rPr>
        <w:t>HOVE, J:</w:t>
      </w:r>
    </w:p>
    <w:p w:rsidR="00352002" w:rsidRDefault="00352002" w:rsidP="00352002">
      <w:pPr>
        <w:spacing w:line="360" w:lineRule="auto"/>
        <w:rPr>
          <w:sz w:val="28"/>
          <w:szCs w:val="28"/>
        </w:rPr>
      </w:pPr>
      <w:r>
        <w:rPr>
          <w:b/>
          <w:sz w:val="28"/>
          <w:szCs w:val="28"/>
        </w:rPr>
        <w:tab/>
      </w:r>
      <w:r w:rsidRPr="00352002">
        <w:rPr>
          <w:sz w:val="28"/>
          <w:szCs w:val="28"/>
        </w:rPr>
        <w:t>This is an appeal against a decision made by the Minister</w:t>
      </w:r>
      <w:r>
        <w:rPr>
          <w:sz w:val="28"/>
          <w:szCs w:val="28"/>
        </w:rPr>
        <w:t xml:space="preserve"> of Labour and Social Services who had been cited as the 2</w:t>
      </w:r>
      <w:r w:rsidRPr="00352002">
        <w:rPr>
          <w:sz w:val="28"/>
          <w:szCs w:val="28"/>
          <w:vertAlign w:val="superscript"/>
        </w:rPr>
        <w:t>nd</w:t>
      </w:r>
      <w:r>
        <w:rPr>
          <w:sz w:val="28"/>
          <w:szCs w:val="28"/>
        </w:rPr>
        <w:t xml:space="preserve"> respondent in these proceedings.</w:t>
      </w:r>
    </w:p>
    <w:p w:rsidR="00352002" w:rsidRDefault="00352002" w:rsidP="00352002">
      <w:pPr>
        <w:spacing w:line="360" w:lineRule="auto"/>
        <w:rPr>
          <w:sz w:val="28"/>
          <w:szCs w:val="28"/>
        </w:rPr>
      </w:pPr>
      <w:r>
        <w:rPr>
          <w:sz w:val="28"/>
          <w:szCs w:val="28"/>
        </w:rPr>
        <w:tab/>
        <w:t>The appeal against the Minister was withdrawn and only the 1</w:t>
      </w:r>
      <w:r w:rsidRPr="00352002">
        <w:rPr>
          <w:sz w:val="28"/>
          <w:szCs w:val="28"/>
          <w:vertAlign w:val="superscript"/>
        </w:rPr>
        <w:t>st</w:t>
      </w:r>
      <w:r>
        <w:rPr>
          <w:sz w:val="28"/>
          <w:szCs w:val="28"/>
        </w:rPr>
        <w:t xml:space="preserve"> respondent remained as the respondent in this matter.</w:t>
      </w:r>
    </w:p>
    <w:p w:rsidR="00352002" w:rsidRDefault="00352002" w:rsidP="00352002">
      <w:pPr>
        <w:spacing w:line="360" w:lineRule="auto"/>
        <w:rPr>
          <w:sz w:val="28"/>
          <w:szCs w:val="28"/>
        </w:rPr>
      </w:pPr>
      <w:r>
        <w:rPr>
          <w:sz w:val="28"/>
          <w:szCs w:val="28"/>
        </w:rPr>
        <w:t>When the appeal came up for argument, a preliminary point was raised by the respondent that the appeal was improperly before the court as the court lacked the necessary jurisdiction.</w:t>
      </w:r>
    </w:p>
    <w:p w:rsidR="00352002" w:rsidRDefault="00352002" w:rsidP="00352002">
      <w:pPr>
        <w:spacing w:line="360" w:lineRule="auto"/>
        <w:ind w:firstLine="720"/>
        <w:rPr>
          <w:sz w:val="28"/>
          <w:szCs w:val="28"/>
        </w:rPr>
      </w:pPr>
      <w:r>
        <w:rPr>
          <w:sz w:val="28"/>
          <w:szCs w:val="28"/>
        </w:rPr>
        <w:lastRenderedPageBreak/>
        <w:t>In support of this preliminary issue, the respondent argued that the court can only entertain appeals in terms of the Labour Act [Chapter 28:01]</w:t>
      </w:r>
      <w:r w:rsidR="000E7726">
        <w:rPr>
          <w:sz w:val="28"/>
          <w:szCs w:val="28"/>
        </w:rPr>
        <w:t xml:space="preserve"> (The Act).  In casu the act does not provide for an appeal against ministerial decisions made pursuant to the provisions of section 12 C (a) of the Act.</w:t>
      </w:r>
    </w:p>
    <w:p w:rsidR="000E7726" w:rsidRDefault="000E7726" w:rsidP="00352002">
      <w:pPr>
        <w:spacing w:line="360" w:lineRule="auto"/>
        <w:ind w:firstLine="720"/>
        <w:rPr>
          <w:sz w:val="28"/>
          <w:szCs w:val="28"/>
        </w:rPr>
      </w:pPr>
      <w:r>
        <w:rPr>
          <w:sz w:val="28"/>
          <w:szCs w:val="28"/>
        </w:rPr>
        <w:t>The Act provides for the courts appellant powers in terms of section 89 (1</w:t>
      </w:r>
      <w:r w:rsidR="00F97ABF">
        <w:rPr>
          <w:sz w:val="28"/>
          <w:szCs w:val="28"/>
        </w:rPr>
        <w:t>)</w:t>
      </w:r>
      <w:r>
        <w:rPr>
          <w:sz w:val="28"/>
          <w:szCs w:val="28"/>
        </w:rPr>
        <w:t xml:space="preserve"> (a) of the Act.  This section does not confer appellate jurisdiction on the court in relation to decisions made by the Minister in terms of section 12 C (9).</w:t>
      </w:r>
    </w:p>
    <w:p w:rsidR="000E7726" w:rsidRDefault="000E7726" w:rsidP="00352002">
      <w:pPr>
        <w:spacing w:line="360" w:lineRule="auto"/>
        <w:ind w:firstLine="720"/>
        <w:rPr>
          <w:sz w:val="28"/>
          <w:szCs w:val="28"/>
        </w:rPr>
      </w:pPr>
      <w:r>
        <w:rPr>
          <w:sz w:val="28"/>
          <w:szCs w:val="28"/>
        </w:rPr>
        <w:t>It was argued that the only instance when the Minister’s determination may fall before the Labour Court is for review.  This is so because the Labour Court has inherent and original review jurisdiction akin to that enjoyed by the High Court but</w:t>
      </w:r>
      <w:r w:rsidR="001F6C3C">
        <w:rPr>
          <w:sz w:val="28"/>
          <w:szCs w:val="28"/>
        </w:rPr>
        <w:t xml:space="preserve"> only</w:t>
      </w:r>
      <w:r>
        <w:rPr>
          <w:sz w:val="28"/>
          <w:szCs w:val="28"/>
        </w:rPr>
        <w:t xml:space="preserve"> in relation to labour matters.  Provisions of section 89 (1) (di) of the Act confers this jurisdiction on the</w:t>
      </w:r>
      <w:r w:rsidR="00F97ABF">
        <w:rPr>
          <w:sz w:val="28"/>
          <w:szCs w:val="28"/>
        </w:rPr>
        <w:t xml:space="preserve"> Labour Court.  It provides as follows;</w:t>
      </w:r>
    </w:p>
    <w:p w:rsidR="00F97ABF" w:rsidRDefault="00F97ABF" w:rsidP="00F97ABF">
      <w:pPr>
        <w:spacing w:line="360" w:lineRule="auto"/>
        <w:rPr>
          <w:sz w:val="28"/>
          <w:szCs w:val="28"/>
        </w:rPr>
      </w:pPr>
      <w:r>
        <w:rPr>
          <w:sz w:val="28"/>
          <w:szCs w:val="28"/>
        </w:rPr>
        <w:t>Functions, powers and jurisdiction of Labour Court</w:t>
      </w:r>
    </w:p>
    <w:p w:rsidR="00F97ABF" w:rsidRPr="001F6C3C" w:rsidRDefault="00F97ABF" w:rsidP="00F97ABF">
      <w:pPr>
        <w:spacing w:line="360" w:lineRule="auto"/>
        <w:rPr>
          <w:i/>
          <w:sz w:val="28"/>
          <w:szCs w:val="28"/>
        </w:rPr>
      </w:pPr>
      <w:r w:rsidRPr="001F6C3C">
        <w:rPr>
          <w:i/>
          <w:sz w:val="28"/>
          <w:szCs w:val="28"/>
        </w:rPr>
        <w:t>89 (1) The Labour Court shall exercise the following functions:</w:t>
      </w:r>
    </w:p>
    <w:p w:rsidR="00F97ABF" w:rsidRPr="001F6C3C" w:rsidRDefault="00F97ABF" w:rsidP="00F97ABF">
      <w:pPr>
        <w:pStyle w:val="ListParagraph"/>
        <w:numPr>
          <w:ilvl w:val="0"/>
          <w:numId w:val="1"/>
        </w:numPr>
        <w:spacing w:line="360" w:lineRule="auto"/>
        <w:rPr>
          <w:i/>
          <w:sz w:val="28"/>
          <w:szCs w:val="28"/>
        </w:rPr>
      </w:pPr>
      <w:r w:rsidRPr="001F6C3C">
        <w:rPr>
          <w:i/>
          <w:sz w:val="28"/>
          <w:szCs w:val="28"/>
        </w:rPr>
        <w:t>…..</w:t>
      </w:r>
    </w:p>
    <w:p w:rsidR="00F97ABF" w:rsidRPr="001F6C3C" w:rsidRDefault="00F97ABF" w:rsidP="00F97ABF">
      <w:pPr>
        <w:pStyle w:val="ListParagraph"/>
        <w:numPr>
          <w:ilvl w:val="0"/>
          <w:numId w:val="1"/>
        </w:numPr>
        <w:spacing w:line="360" w:lineRule="auto"/>
        <w:rPr>
          <w:i/>
          <w:sz w:val="28"/>
          <w:szCs w:val="28"/>
        </w:rPr>
      </w:pPr>
      <w:r w:rsidRPr="001F6C3C">
        <w:rPr>
          <w:i/>
          <w:sz w:val="28"/>
          <w:szCs w:val="28"/>
        </w:rPr>
        <w:t>…..</w:t>
      </w:r>
    </w:p>
    <w:p w:rsidR="00F97ABF" w:rsidRPr="001F6C3C" w:rsidRDefault="00F97ABF" w:rsidP="00F97ABF">
      <w:pPr>
        <w:pStyle w:val="ListParagraph"/>
        <w:numPr>
          <w:ilvl w:val="0"/>
          <w:numId w:val="1"/>
        </w:numPr>
        <w:spacing w:line="360" w:lineRule="auto"/>
        <w:rPr>
          <w:i/>
          <w:sz w:val="28"/>
          <w:szCs w:val="28"/>
        </w:rPr>
      </w:pPr>
      <w:r w:rsidRPr="001F6C3C">
        <w:rPr>
          <w:i/>
          <w:sz w:val="28"/>
          <w:szCs w:val="28"/>
        </w:rPr>
        <w:t>…..</w:t>
      </w:r>
    </w:p>
    <w:p w:rsidR="00F97ABF" w:rsidRPr="001F6C3C" w:rsidRDefault="00F97ABF" w:rsidP="00F97ABF">
      <w:pPr>
        <w:pStyle w:val="ListParagraph"/>
        <w:numPr>
          <w:ilvl w:val="0"/>
          <w:numId w:val="1"/>
        </w:numPr>
        <w:spacing w:line="360" w:lineRule="auto"/>
        <w:rPr>
          <w:i/>
          <w:sz w:val="28"/>
          <w:szCs w:val="28"/>
        </w:rPr>
      </w:pPr>
      <w:r w:rsidRPr="001F6C3C">
        <w:rPr>
          <w:i/>
          <w:sz w:val="28"/>
          <w:szCs w:val="28"/>
        </w:rPr>
        <w:t>…..</w:t>
      </w:r>
    </w:p>
    <w:p w:rsidR="00F97ABF" w:rsidRPr="001F6C3C" w:rsidRDefault="00F97ABF" w:rsidP="00F97ABF">
      <w:pPr>
        <w:spacing w:line="360" w:lineRule="auto"/>
        <w:ind w:left="360"/>
        <w:rPr>
          <w:i/>
          <w:sz w:val="28"/>
          <w:szCs w:val="28"/>
        </w:rPr>
      </w:pPr>
      <w:r w:rsidRPr="001F6C3C">
        <w:rPr>
          <w:i/>
          <w:sz w:val="28"/>
          <w:szCs w:val="28"/>
        </w:rPr>
        <w:t>(di) exercise the same powers of review as would be exercisable by the High Court in respect of labour matters.</w:t>
      </w:r>
    </w:p>
    <w:p w:rsidR="00F97ABF" w:rsidRDefault="00F97ABF" w:rsidP="00F97ABF">
      <w:pPr>
        <w:spacing w:after="0" w:line="360" w:lineRule="auto"/>
        <w:ind w:left="360"/>
        <w:rPr>
          <w:sz w:val="28"/>
          <w:szCs w:val="28"/>
        </w:rPr>
      </w:pPr>
      <w:r>
        <w:rPr>
          <w:sz w:val="28"/>
          <w:szCs w:val="28"/>
        </w:rPr>
        <w:tab/>
        <w:t xml:space="preserve">The appellant’s representative argued in response that the court has the </w:t>
      </w:r>
    </w:p>
    <w:p w:rsidR="00F97ABF" w:rsidRDefault="00F97ABF" w:rsidP="00F97ABF">
      <w:pPr>
        <w:spacing w:after="0" w:line="360" w:lineRule="auto"/>
        <w:rPr>
          <w:sz w:val="28"/>
          <w:szCs w:val="28"/>
        </w:rPr>
      </w:pPr>
      <w:r>
        <w:rPr>
          <w:sz w:val="28"/>
          <w:szCs w:val="28"/>
        </w:rPr>
        <w:t>requisite powers pursuant to the provisions of section 110 B of the Act.</w:t>
      </w:r>
    </w:p>
    <w:p w:rsidR="00F97ABF" w:rsidRDefault="00F97ABF" w:rsidP="00F97ABF">
      <w:pPr>
        <w:spacing w:line="360" w:lineRule="auto"/>
        <w:rPr>
          <w:sz w:val="28"/>
          <w:szCs w:val="28"/>
        </w:rPr>
      </w:pPr>
      <w:r>
        <w:rPr>
          <w:sz w:val="28"/>
          <w:szCs w:val="28"/>
        </w:rPr>
        <w:lastRenderedPageBreak/>
        <w:tab/>
        <w:t>That section provides for appeals to the Labour Court where a person or party is aggrieved by a show cause order or a disposal order.  It clearly does not deal with ministerial decisions in relations to retrenchments under section 12 C (9) of the Act.</w:t>
      </w:r>
    </w:p>
    <w:p w:rsidR="00F97ABF" w:rsidRDefault="00F97ABF" w:rsidP="00F97ABF">
      <w:pPr>
        <w:spacing w:line="360" w:lineRule="auto"/>
        <w:rPr>
          <w:sz w:val="28"/>
          <w:szCs w:val="28"/>
        </w:rPr>
      </w:pPr>
      <w:r>
        <w:rPr>
          <w:sz w:val="28"/>
          <w:szCs w:val="28"/>
        </w:rPr>
        <w:tab/>
        <w:t xml:space="preserve">I have not been able myself to find a section in the </w:t>
      </w:r>
      <w:r w:rsidR="001F6C3C">
        <w:rPr>
          <w:sz w:val="28"/>
          <w:szCs w:val="28"/>
        </w:rPr>
        <w:t>Labour</w:t>
      </w:r>
      <w:r>
        <w:rPr>
          <w:sz w:val="28"/>
          <w:szCs w:val="28"/>
        </w:rPr>
        <w:t xml:space="preserve"> Act that confers such jurisdiction.</w:t>
      </w:r>
    </w:p>
    <w:p w:rsidR="00F97ABF" w:rsidRDefault="00F97ABF" w:rsidP="00F97ABF">
      <w:pPr>
        <w:spacing w:line="360" w:lineRule="auto"/>
        <w:rPr>
          <w:sz w:val="28"/>
          <w:szCs w:val="28"/>
        </w:rPr>
      </w:pPr>
      <w:r>
        <w:rPr>
          <w:sz w:val="28"/>
          <w:szCs w:val="28"/>
        </w:rPr>
        <w:tab/>
        <w:t>Accordingly I must uphold this preliminary point and find that the matter is improperly before me.</w:t>
      </w:r>
    </w:p>
    <w:p w:rsidR="00F97ABF" w:rsidRDefault="00F97ABF" w:rsidP="00F97ABF">
      <w:pPr>
        <w:spacing w:line="360" w:lineRule="auto"/>
        <w:rPr>
          <w:sz w:val="28"/>
          <w:szCs w:val="28"/>
        </w:rPr>
      </w:pPr>
      <w:r>
        <w:rPr>
          <w:sz w:val="28"/>
          <w:szCs w:val="28"/>
        </w:rPr>
        <w:tab/>
        <w:t>I therefore make the following order,</w:t>
      </w:r>
    </w:p>
    <w:p w:rsidR="00F97ABF" w:rsidRPr="00F97ABF" w:rsidRDefault="00F97ABF" w:rsidP="00F97ABF">
      <w:pPr>
        <w:spacing w:line="360" w:lineRule="auto"/>
        <w:rPr>
          <w:sz w:val="28"/>
          <w:szCs w:val="28"/>
        </w:rPr>
      </w:pPr>
      <w:r>
        <w:rPr>
          <w:sz w:val="28"/>
          <w:szCs w:val="28"/>
        </w:rPr>
        <w:tab/>
        <w:t>The matter is struck off the role as being improperly before the Court.</w:t>
      </w:r>
    </w:p>
    <w:p w:rsidR="00F97ABF" w:rsidRPr="00F97ABF" w:rsidRDefault="00F97ABF" w:rsidP="00F97ABF">
      <w:pPr>
        <w:spacing w:line="360" w:lineRule="auto"/>
        <w:rPr>
          <w:sz w:val="28"/>
          <w:szCs w:val="28"/>
        </w:rPr>
      </w:pPr>
    </w:p>
    <w:p w:rsidR="00352002" w:rsidRPr="00352002" w:rsidRDefault="00352002">
      <w:pPr>
        <w:rPr>
          <w:sz w:val="28"/>
          <w:szCs w:val="28"/>
        </w:rPr>
      </w:pPr>
    </w:p>
    <w:p w:rsidR="00352002" w:rsidRPr="00352002" w:rsidRDefault="00352002">
      <w:pPr>
        <w:rPr>
          <w:sz w:val="28"/>
          <w:szCs w:val="28"/>
        </w:rPr>
      </w:pPr>
      <w:r>
        <w:rPr>
          <w:sz w:val="28"/>
          <w:szCs w:val="28"/>
        </w:rPr>
        <w:tab/>
      </w:r>
    </w:p>
    <w:sectPr w:rsidR="00352002" w:rsidRPr="00352002" w:rsidSect="000E7726">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A0B" w:rsidRDefault="006D2A0B" w:rsidP="000E7726">
      <w:pPr>
        <w:spacing w:after="0" w:line="240" w:lineRule="auto"/>
      </w:pPr>
      <w:r>
        <w:separator/>
      </w:r>
    </w:p>
  </w:endnote>
  <w:endnote w:type="continuationSeparator" w:id="1">
    <w:p w:rsidR="006D2A0B" w:rsidRDefault="006D2A0B" w:rsidP="000E7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5384796"/>
      <w:docPartObj>
        <w:docPartGallery w:val="Page Numbers (Bottom of Page)"/>
        <w:docPartUnique/>
      </w:docPartObj>
    </w:sdtPr>
    <w:sdtEndPr>
      <w:rPr>
        <w:noProof/>
      </w:rPr>
    </w:sdtEndPr>
    <w:sdtContent>
      <w:p w:rsidR="00F97ABF" w:rsidRDefault="00E4539C">
        <w:pPr>
          <w:pStyle w:val="Footer"/>
          <w:jc w:val="right"/>
        </w:pPr>
        <w:r>
          <w:fldChar w:fldCharType="begin"/>
        </w:r>
        <w:r w:rsidR="00F97ABF">
          <w:instrText xml:space="preserve"> PAGE   \* MERGEFORMAT </w:instrText>
        </w:r>
        <w:r>
          <w:fldChar w:fldCharType="separate"/>
        </w:r>
        <w:r w:rsidR="00F65081">
          <w:rPr>
            <w:noProof/>
          </w:rPr>
          <w:t>3</w:t>
        </w:r>
        <w:r>
          <w:rPr>
            <w:noProof/>
          </w:rPr>
          <w:fldChar w:fldCharType="end"/>
        </w:r>
      </w:p>
    </w:sdtContent>
  </w:sdt>
  <w:p w:rsidR="00F97ABF" w:rsidRDefault="00F97A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A0B" w:rsidRDefault="006D2A0B" w:rsidP="000E7726">
      <w:pPr>
        <w:spacing w:after="0" w:line="240" w:lineRule="auto"/>
      </w:pPr>
      <w:r>
        <w:separator/>
      </w:r>
    </w:p>
  </w:footnote>
  <w:footnote w:type="continuationSeparator" w:id="1">
    <w:p w:rsidR="006D2A0B" w:rsidRDefault="006D2A0B" w:rsidP="000E7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BF" w:rsidRDefault="00F97ABF" w:rsidP="00FF0283">
    <w:pPr>
      <w:spacing w:line="360" w:lineRule="auto"/>
      <w:ind w:left="5040"/>
      <w:jc w:val="both"/>
      <w:rPr>
        <w:b/>
        <w:sz w:val="28"/>
        <w:szCs w:val="28"/>
      </w:rPr>
    </w:pPr>
    <w:r>
      <w:rPr>
        <w:b/>
        <w:sz w:val="28"/>
        <w:szCs w:val="28"/>
      </w:rPr>
      <w:t>JUDGMENT NO LC/H/</w:t>
    </w:r>
    <w:r w:rsidR="00FF0283">
      <w:rPr>
        <w:b/>
        <w:sz w:val="28"/>
        <w:szCs w:val="28"/>
      </w:rPr>
      <w:t>152</w:t>
    </w:r>
    <w:r>
      <w:rPr>
        <w:b/>
        <w:sz w:val="28"/>
        <w:szCs w:val="28"/>
      </w:rPr>
      <w:t>/14</w:t>
    </w:r>
  </w:p>
  <w:p w:rsidR="00F97ABF" w:rsidRDefault="00F97A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86A60"/>
    <w:multiLevelType w:val="hybridMultilevel"/>
    <w:tmpl w:val="22B4CD70"/>
    <w:lvl w:ilvl="0" w:tplc="ACBADA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7925"/>
    <w:rsid w:val="00096707"/>
    <w:rsid w:val="000E7726"/>
    <w:rsid w:val="001D42BD"/>
    <w:rsid w:val="001F6C3C"/>
    <w:rsid w:val="00352002"/>
    <w:rsid w:val="003C7925"/>
    <w:rsid w:val="005063A2"/>
    <w:rsid w:val="006D2A0B"/>
    <w:rsid w:val="00807250"/>
    <w:rsid w:val="00875BDE"/>
    <w:rsid w:val="0088589C"/>
    <w:rsid w:val="0096451B"/>
    <w:rsid w:val="00A364FB"/>
    <w:rsid w:val="00A572DE"/>
    <w:rsid w:val="00E4539C"/>
    <w:rsid w:val="00EF0099"/>
    <w:rsid w:val="00F65081"/>
    <w:rsid w:val="00F75B37"/>
    <w:rsid w:val="00F97ABF"/>
    <w:rsid w:val="00FF028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26"/>
  </w:style>
  <w:style w:type="paragraph" w:styleId="Footer">
    <w:name w:val="footer"/>
    <w:basedOn w:val="Normal"/>
    <w:link w:val="FooterChar"/>
    <w:uiPriority w:val="99"/>
    <w:unhideWhenUsed/>
    <w:rsid w:val="000E7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26"/>
  </w:style>
  <w:style w:type="paragraph" w:styleId="ListParagraph">
    <w:name w:val="List Paragraph"/>
    <w:basedOn w:val="Normal"/>
    <w:uiPriority w:val="34"/>
    <w:qFormat/>
    <w:rsid w:val="00F97ABF"/>
    <w:pPr>
      <w:ind w:left="720"/>
      <w:contextualSpacing/>
    </w:pPr>
  </w:style>
  <w:style w:type="paragraph" w:styleId="BalloonText">
    <w:name w:val="Balloon Text"/>
    <w:basedOn w:val="Normal"/>
    <w:link w:val="BalloonTextChar"/>
    <w:uiPriority w:val="99"/>
    <w:semiHidden/>
    <w:unhideWhenUsed/>
    <w:rsid w:val="0088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8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26"/>
  </w:style>
  <w:style w:type="paragraph" w:styleId="Footer">
    <w:name w:val="footer"/>
    <w:basedOn w:val="Normal"/>
    <w:link w:val="FooterChar"/>
    <w:uiPriority w:val="99"/>
    <w:unhideWhenUsed/>
    <w:rsid w:val="000E7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26"/>
  </w:style>
  <w:style w:type="paragraph" w:styleId="ListParagraph">
    <w:name w:val="List Paragraph"/>
    <w:basedOn w:val="Normal"/>
    <w:uiPriority w:val="34"/>
    <w:qFormat/>
    <w:rsid w:val="00F97ABF"/>
    <w:pPr>
      <w:ind w:left="720"/>
      <w:contextualSpacing/>
    </w:pPr>
  </w:style>
  <w:style w:type="paragraph" w:styleId="BalloonText">
    <w:name w:val="Balloon Text"/>
    <w:basedOn w:val="Normal"/>
    <w:link w:val="BalloonTextChar"/>
    <w:uiPriority w:val="99"/>
    <w:semiHidden/>
    <w:unhideWhenUsed/>
    <w:rsid w:val="0088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8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2014-03-27T06:27:00Z</cp:lastPrinted>
  <dcterms:created xsi:type="dcterms:W3CDTF">2014-04-30T12:52:00Z</dcterms:created>
  <dcterms:modified xsi:type="dcterms:W3CDTF">2014-04-30T12:52:00Z</dcterms:modified>
</cp:coreProperties>
</file>