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42" w:rsidRDefault="002E2949" w:rsidP="002A7E38">
      <w:pPr>
        <w:tabs>
          <w:tab w:val="left" w:pos="1134"/>
        </w:tabs>
        <w:ind w:left="0"/>
        <w:rPr>
          <w:rFonts w:ascii="Times New Roman" w:hAnsi="Times New Roman" w:cs="Times New Roman"/>
          <w:sz w:val="24"/>
          <w:szCs w:val="24"/>
          <w:lang w:val="en-US"/>
        </w:rPr>
      </w:pPr>
      <w:bookmarkStart w:id="0" w:name="_GoBack"/>
      <w:bookmarkEnd w:id="0"/>
      <w:r w:rsidRPr="002E2949">
        <w:rPr>
          <w:rFonts w:ascii="Times New Roman" w:hAnsi="Times New Roman" w:cs="Times New Roman"/>
          <w:b/>
          <w:sz w:val="24"/>
          <w:szCs w:val="24"/>
          <w:u w:val="single"/>
          <w:lang w:val="en-US"/>
        </w:rPr>
        <w:t xml:space="preserve">REPORTABLE </w:t>
      </w:r>
      <w:r w:rsidR="00691C2E" w:rsidRPr="00C110F7">
        <w:rPr>
          <w:rFonts w:ascii="Times New Roman" w:hAnsi="Times New Roman" w:cs="Times New Roman"/>
          <w:b/>
          <w:sz w:val="24"/>
          <w:szCs w:val="24"/>
          <w:lang w:val="en-US"/>
        </w:rPr>
        <w:t xml:space="preserve">   </w:t>
      </w:r>
      <w:r w:rsidRPr="00C110F7">
        <w:rPr>
          <w:rFonts w:ascii="Times New Roman" w:hAnsi="Times New Roman" w:cs="Times New Roman"/>
          <w:b/>
          <w:sz w:val="24"/>
          <w:szCs w:val="24"/>
          <w:lang w:val="en-US"/>
        </w:rPr>
        <w:t>(</w:t>
      </w:r>
      <w:r w:rsidR="00535023">
        <w:rPr>
          <w:rFonts w:ascii="Times New Roman" w:hAnsi="Times New Roman" w:cs="Times New Roman"/>
          <w:b/>
          <w:sz w:val="24"/>
          <w:szCs w:val="24"/>
          <w:lang w:val="en-US"/>
        </w:rPr>
        <w:t>82</w:t>
      </w:r>
      <w:r w:rsidRPr="00C110F7">
        <w:rPr>
          <w:rFonts w:ascii="Times New Roman" w:hAnsi="Times New Roman" w:cs="Times New Roman"/>
          <w:b/>
          <w:sz w:val="24"/>
          <w:szCs w:val="24"/>
          <w:lang w:val="en-US"/>
        </w:rPr>
        <w:t>)</w:t>
      </w:r>
      <w:r w:rsidRPr="00C110F7">
        <w:rPr>
          <w:rFonts w:ascii="Times New Roman" w:hAnsi="Times New Roman" w:cs="Times New Roman"/>
          <w:sz w:val="24"/>
          <w:szCs w:val="24"/>
          <w:lang w:val="en-US"/>
        </w:rPr>
        <w:t xml:space="preserve"> </w:t>
      </w:r>
      <w:r w:rsidRPr="00C110F7">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sidRPr="002E294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2E2949">
        <w:rPr>
          <w:rFonts w:ascii="Times New Roman" w:hAnsi="Times New Roman" w:cs="Times New Roman"/>
          <w:sz w:val="24"/>
          <w:szCs w:val="24"/>
          <w:lang w:val="en-US"/>
        </w:rPr>
        <w:t xml:space="preserve">  </w:t>
      </w:r>
    </w:p>
    <w:p w:rsidR="002E2949" w:rsidRDefault="002E2949" w:rsidP="002C3587">
      <w:pPr>
        <w:jc w:val="right"/>
        <w:rPr>
          <w:rFonts w:ascii="Times New Roman" w:hAnsi="Times New Roman" w:cs="Times New Roman"/>
          <w:sz w:val="24"/>
          <w:szCs w:val="24"/>
          <w:lang w:val="en-US"/>
        </w:rPr>
      </w:pPr>
    </w:p>
    <w:p w:rsidR="001E3DCE" w:rsidRPr="002E2949" w:rsidRDefault="001E3DCE" w:rsidP="002C3587">
      <w:pPr>
        <w:jc w:val="right"/>
        <w:rPr>
          <w:rFonts w:ascii="Times New Roman" w:hAnsi="Times New Roman" w:cs="Times New Roman"/>
          <w:sz w:val="24"/>
          <w:szCs w:val="24"/>
          <w:lang w:val="en-US"/>
        </w:rPr>
      </w:pPr>
    </w:p>
    <w:p w:rsidR="00C6738F" w:rsidRDefault="002E2949" w:rsidP="00553401">
      <w:pPr>
        <w:pStyle w:val="ListParagraph"/>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6601F3">
        <w:rPr>
          <w:rFonts w:ascii="Times New Roman" w:hAnsi="Times New Roman" w:cs="Times New Roman"/>
          <w:b/>
          <w:sz w:val="24"/>
          <w:szCs w:val="24"/>
          <w:lang w:val="en-US"/>
        </w:rPr>
        <w:t>FERNICAR</w:t>
      </w:r>
      <w:r w:rsidR="00553401">
        <w:rPr>
          <w:rFonts w:ascii="Times New Roman" w:hAnsi="Times New Roman" w:cs="Times New Roman"/>
          <w:b/>
          <w:sz w:val="24"/>
          <w:szCs w:val="24"/>
          <w:lang w:val="en-US"/>
        </w:rPr>
        <w:t>Y      FARM     T/A    RUTENDO     FARM</w:t>
      </w:r>
    </w:p>
    <w:p w:rsidR="00553401" w:rsidRDefault="00553401" w:rsidP="00553401">
      <w:pPr>
        <w:pStyle w:val="ListParagraph"/>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p w:rsidR="00553401" w:rsidRDefault="00553401" w:rsidP="00553401">
      <w:pPr>
        <w:pStyle w:val="ListParagraph"/>
        <w:contextualSpacing w:val="0"/>
        <w:jc w:val="center"/>
        <w:rPr>
          <w:rFonts w:ascii="Times New Roman" w:hAnsi="Times New Roman" w:cs="Times New Roman"/>
          <w:sz w:val="24"/>
          <w:szCs w:val="24"/>
          <w:lang w:val="en-US"/>
        </w:rPr>
      </w:pPr>
      <w:r>
        <w:rPr>
          <w:rFonts w:ascii="Times New Roman" w:hAnsi="Times New Roman" w:cs="Times New Roman"/>
          <w:b/>
          <w:sz w:val="24"/>
          <w:szCs w:val="24"/>
          <w:lang w:val="en-US"/>
        </w:rPr>
        <w:t>DES     MONIES    FARM     (PRIVATE)     LIMITED</w:t>
      </w:r>
    </w:p>
    <w:p w:rsidR="001E3DCE" w:rsidRPr="002E2949" w:rsidRDefault="001E3DCE" w:rsidP="00554DF5">
      <w:pPr>
        <w:spacing w:line="480" w:lineRule="auto"/>
        <w:rPr>
          <w:rFonts w:ascii="Times New Roman" w:hAnsi="Times New Roman" w:cs="Times New Roman"/>
          <w:sz w:val="24"/>
          <w:szCs w:val="24"/>
          <w:lang w:val="en-US"/>
        </w:rPr>
      </w:pPr>
    </w:p>
    <w:p w:rsidR="007B2607" w:rsidRPr="001E3DCE" w:rsidRDefault="00C6738F" w:rsidP="001E3DCE">
      <w:pPr>
        <w:ind w:hanging="720"/>
        <w:rPr>
          <w:rFonts w:ascii="Times New Roman" w:hAnsi="Times New Roman" w:cs="Times New Roman"/>
          <w:b/>
          <w:sz w:val="24"/>
          <w:szCs w:val="24"/>
          <w:lang w:val="en-US"/>
        </w:rPr>
      </w:pPr>
      <w:r w:rsidRPr="001E3DCE">
        <w:rPr>
          <w:rFonts w:ascii="Times New Roman" w:hAnsi="Times New Roman" w:cs="Times New Roman"/>
          <w:b/>
          <w:sz w:val="24"/>
          <w:szCs w:val="24"/>
          <w:lang w:val="en-US"/>
        </w:rPr>
        <w:t>SUPREME COURT OF ZIMBABWE</w:t>
      </w:r>
    </w:p>
    <w:p w:rsidR="001E3DCE" w:rsidRDefault="001E3DCE" w:rsidP="001E3DCE">
      <w:pPr>
        <w:ind w:hanging="720"/>
        <w:rPr>
          <w:rFonts w:ascii="Times New Roman" w:hAnsi="Times New Roman" w:cs="Times New Roman"/>
          <w:b/>
          <w:sz w:val="24"/>
          <w:szCs w:val="24"/>
          <w:lang w:val="en-US"/>
        </w:rPr>
      </w:pPr>
      <w:r w:rsidRPr="001E3DCE">
        <w:rPr>
          <w:rFonts w:ascii="Times New Roman" w:hAnsi="Times New Roman" w:cs="Times New Roman"/>
          <w:b/>
          <w:sz w:val="24"/>
          <w:szCs w:val="24"/>
          <w:lang w:val="en-US"/>
        </w:rPr>
        <w:t>HARARE</w:t>
      </w:r>
      <w:r w:rsidR="00691C2E">
        <w:rPr>
          <w:rFonts w:ascii="Times New Roman" w:hAnsi="Times New Roman" w:cs="Times New Roman"/>
          <w:b/>
          <w:sz w:val="24"/>
          <w:szCs w:val="24"/>
          <w:lang w:val="en-US"/>
        </w:rPr>
        <w:t>:</w:t>
      </w:r>
      <w:r w:rsidR="002E3D24">
        <w:rPr>
          <w:rFonts w:ascii="Times New Roman" w:hAnsi="Times New Roman" w:cs="Times New Roman"/>
          <w:b/>
          <w:sz w:val="24"/>
          <w:szCs w:val="24"/>
          <w:lang w:val="en-US"/>
        </w:rPr>
        <w:t xml:space="preserve"> </w:t>
      </w:r>
      <w:r w:rsidR="004C798B">
        <w:rPr>
          <w:rFonts w:ascii="Times New Roman" w:hAnsi="Times New Roman" w:cs="Times New Roman"/>
          <w:b/>
          <w:sz w:val="24"/>
          <w:szCs w:val="24"/>
          <w:lang w:val="en-US"/>
        </w:rPr>
        <w:t>1 APRIL 2025</w:t>
      </w:r>
      <w:r w:rsidR="002E3D24">
        <w:rPr>
          <w:rFonts w:ascii="Times New Roman" w:hAnsi="Times New Roman" w:cs="Times New Roman"/>
          <w:b/>
          <w:sz w:val="24"/>
          <w:szCs w:val="24"/>
          <w:lang w:val="en-US"/>
        </w:rPr>
        <w:t xml:space="preserve"> </w:t>
      </w:r>
      <w:r w:rsidR="009C3A83">
        <w:rPr>
          <w:rFonts w:ascii="Times New Roman" w:hAnsi="Times New Roman" w:cs="Times New Roman"/>
          <w:b/>
          <w:sz w:val="24"/>
          <w:szCs w:val="24"/>
          <w:lang w:val="en-US"/>
        </w:rPr>
        <w:t xml:space="preserve">&amp; </w:t>
      </w:r>
      <w:r w:rsidR="00535023">
        <w:rPr>
          <w:rFonts w:ascii="Times New Roman" w:hAnsi="Times New Roman" w:cs="Times New Roman"/>
          <w:b/>
          <w:sz w:val="24"/>
          <w:szCs w:val="24"/>
          <w:lang w:val="en-US"/>
        </w:rPr>
        <w:t>15 SEPTEMBER</w:t>
      </w:r>
      <w:r w:rsidR="009C3A83">
        <w:rPr>
          <w:rFonts w:ascii="Times New Roman" w:hAnsi="Times New Roman" w:cs="Times New Roman"/>
          <w:b/>
          <w:sz w:val="24"/>
          <w:szCs w:val="24"/>
          <w:lang w:val="en-US"/>
        </w:rPr>
        <w:t xml:space="preserve"> 2025</w:t>
      </w:r>
    </w:p>
    <w:p w:rsidR="00691C2E" w:rsidRPr="001E3DCE" w:rsidRDefault="00691C2E" w:rsidP="001E3DCE">
      <w:pPr>
        <w:ind w:hanging="720"/>
        <w:rPr>
          <w:rFonts w:ascii="Times New Roman" w:hAnsi="Times New Roman" w:cs="Times New Roman"/>
          <w:b/>
          <w:sz w:val="24"/>
          <w:szCs w:val="24"/>
          <w:lang w:val="en-US"/>
        </w:rPr>
      </w:pPr>
    </w:p>
    <w:p w:rsidR="00C6738F" w:rsidRPr="002E2949" w:rsidRDefault="00C6738F" w:rsidP="00C6738F">
      <w:pPr>
        <w:rPr>
          <w:rFonts w:ascii="Times New Roman" w:hAnsi="Times New Roman" w:cs="Times New Roman"/>
          <w:sz w:val="24"/>
          <w:szCs w:val="24"/>
          <w:lang w:val="en-US"/>
        </w:rPr>
      </w:pPr>
    </w:p>
    <w:p w:rsidR="00C6738F" w:rsidRPr="001E3DCE" w:rsidRDefault="001F6A5B" w:rsidP="00691C2E">
      <w:pPr>
        <w:spacing w:line="480" w:lineRule="auto"/>
        <w:ind w:hanging="720"/>
        <w:rPr>
          <w:rFonts w:ascii="Times New Roman" w:hAnsi="Times New Roman" w:cs="Times New Roman"/>
          <w:sz w:val="24"/>
          <w:szCs w:val="24"/>
          <w:lang w:val="en-US"/>
        </w:rPr>
      </w:pPr>
      <w:r>
        <w:rPr>
          <w:rFonts w:ascii="Times New Roman" w:hAnsi="Times New Roman" w:cs="Times New Roman"/>
          <w:i/>
          <w:sz w:val="24"/>
          <w:szCs w:val="24"/>
          <w:lang w:val="en-US"/>
        </w:rPr>
        <w:t>G. Madzoka,</w:t>
      </w:r>
      <w:r w:rsidR="00DA4D2F">
        <w:rPr>
          <w:rFonts w:ascii="Times New Roman" w:hAnsi="Times New Roman" w:cs="Times New Roman"/>
          <w:i/>
          <w:sz w:val="24"/>
          <w:szCs w:val="24"/>
          <w:lang w:val="en-US"/>
        </w:rPr>
        <w:t xml:space="preserve"> </w:t>
      </w:r>
      <w:r w:rsidR="001E3DCE">
        <w:rPr>
          <w:rFonts w:ascii="Times New Roman" w:hAnsi="Times New Roman" w:cs="Times New Roman"/>
          <w:sz w:val="24"/>
          <w:szCs w:val="24"/>
          <w:lang w:val="en-US"/>
        </w:rPr>
        <w:t>for the a</w:t>
      </w:r>
      <w:r w:rsidR="00C6738F" w:rsidRPr="001E3DCE">
        <w:rPr>
          <w:rFonts w:ascii="Times New Roman" w:hAnsi="Times New Roman" w:cs="Times New Roman"/>
          <w:sz w:val="24"/>
          <w:szCs w:val="24"/>
          <w:lang w:val="en-US"/>
        </w:rPr>
        <w:t>pp</w:t>
      </w:r>
      <w:r>
        <w:rPr>
          <w:rFonts w:ascii="Times New Roman" w:hAnsi="Times New Roman" w:cs="Times New Roman"/>
          <w:sz w:val="24"/>
          <w:szCs w:val="24"/>
          <w:lang w:val="en-US"/>
        </w:rPr>
        <w:t>licant</w:t>
      </w:r>
    </w:p>
    <w:p w:rsidR="00C6738F" w:rsidRPr="001E3DCE" w:rsidRDefault="00DE1CB9" w:rsidP="00691C2E">
      <w:pPr>
        <w:spacing w:line="480" w:lineRule="auto"/>
        <w:ind w:left="90" w:hanging="90"/>
        <w:rPr>
          <w:rFonts w:ascii="Times New Roman" w:hAnsi="Times New Roman" w:cs="Times New Roman"/>
          <w:sz w:val="24"/>
          <w:szCs w:val="24"/>
          <w:lang w:val="en-US"/>
        </w:rPr>
      </w:pPr>
      <w:r>
        <w:rPr>
          <w:rFonts w:ascii="Times New Roman" w:hAnsi="Times New Roman" w:cs="Times New Roman"/>
          <w:i/>
          <w:sz w:val="24"/>
          <w:szCs w:val="24"/>
          <w:lang w:val="en-US"/>
        </w:rPr>
        <w:t>T.</w:t>
      </w:r>
      <w:r w:rsidR="001F6A5B">
        <w:rPr>
          <w:rFonts w:ascii="Times New Roman" w:hAnsi="Times New Roman" w:cs="Times New Roman"/>
          <w:i/>
          <w:sz w:val="24"/>
          <w:szCs w:val="24"/>
          <w:lang w:val="en-US"/>
        </w:rPr>
        <w:t xml:space="preserve"> Sibanda</w:t>
      </w:r>
      <w:r w:rsidR="00D63EB7">
        <w:rPr>
          <w:rFonts w:ascii="Times New Roman" w:hAnsi="Times New Roman" w:cs="Times New Roman"/>
          <w:i/>
          <w:sz w:val="24"/>
          <w:szCs w:val="24"/>
          <w:lang w:val="en-US"/>
        </w:rPr>
        <w:t>,</w:t>
      </w:r>
      <w:r w:rsidR="001F6A5B">
        <w:rPr>
          <w:rFonts w:ascii="Times New Roman" w:hAnsi="Times New Roman" w:cs="Times New Roman"/>
          <w:i/>
          <w:sz w:val="24"/>
          <w:szCs w:val="24"/>
          <w:lang w:val="en-US"/>
        </w:rPr>
        <w:t xml:space="preserve"> </w:t>
      </w:r>
      <w:r w:rsidR="001F6A5B" w:rsidRPr="00DE1CB9">
        <w:rPr>
          <w:rFonts w:ascii="Times New Roman" w:hAnsi="Times New Roman" w:cs="Times New Roman"/>
          <w:sz w:val="24"/>
          <w:szCs w:val="24"/>
          <w:lang w:val="en-US"/>
        </w:rPr>
        <w:t>with</w:t>
      </w:r>
      <w:r w:rsidR="001F6A5B">
        <w:rPr>
          <w:rFonts w:ascii="Times New Roman" w:hAnsi="Times New Roman" w:cs="Times New Roman"/>
          <w:i/>
          <w:sz w:val="24"/>
          <w:szCs w:val="24"/>
          <w:lang w:val="en-US"/>
        </w:rPr>
        <w:t xml:space="preserve"> B. Majamanda, </w:t>
      </w:r>
      <w:r w:rsidR="00553401" w:rsidRPr="00553401">
        <w:rPr>
          <w:rFonts w:ascii="Times New Roman" w:hAnsi="Times New Roman" w:cs="Times New Roman"/>
          <w:sz w:val="24"/>
          <w:szCs w:val="24"/>
          <w:lang w:val="en-US"/>
        </w:rPr>
        <w:t>for</w:t>
      </w:r>
      <w:r w:rsidR="00037C46" w:rsidRPr="001E3DCE">
        <w:rPr>
          <w:rFonts w:ascii="Times New Roman" w:hAnsi="Times New Roman" w:cs="Times New Roman"/>
          <w:sz w:val="24"/>
          <w:szCs w:val="24"/>
          <w:lang w:val="en-US"/>
        </w:rPr>
        <w:t xml:space="preserve"> the </w:t>
      </w:r>
      <w:r w:rsidR="00554DF5">
        <w:rPr>
          <w:rFonts w:ascii="Times New Roman" w:hAnsi="Times New Roman" w:cs="Times New Roman"/>
          <w:sz w:val="24"/>
          <w:szCs w:val="24"/>
          <w:lang w:val="en-US"/>
        </w:rPr>
        <w:t>r</w:t>
      </w:r>
      <w:r w:rsidR="00037C46" w:rsidRPr="001E3DCE">
        <w:rPr>
          <w:rFonts w:ascii="Times New Roman" w:hAnsi="Times New Roman" w:cs="Times New Roman"/>
          <w:sz w:val="24"/>
          <w:szCs w:val="24"/>
          <w:lang w:val="en-US"/>
        </w:rPr>
        <w:t>espondent</w:t>
      </w:r>
    </w:p>
    <w:p w:rsidR="001577FC" w:rsidRDefault="001577FC" w:rsidP="00B874DF">
      <w:pPr>
        <w:tabs>
          <w:tab w:val="left" w:pos="450"/>
        </w:tabs>
        <w:spacing w:line="480" w:lineRule="auto"/>
        <w:ind w:left="0"/>
        <w:jc w:val="both"/>
        <w:rPr>
          <w:rFonts w:ascii="Times New Roman" w:hAnsi="Times New Roman" w:cs="Times New Roman"/>
          <w:b/>
          <w:sz w:val="24"/>
          <w:szCs w:val="24"/>
          <w:lang w:val="en-US"/>
        </w:rPr>
      </w:pPr>
    </w:p>
    <w:p w:rsidR="00553401" w:rsidRPr="001577FC" w:rsidRDefault="00B874DF" w:rsidP="00B874DF">
      <w:pPr>
        <w:tabs>
          <w:tab w:val="left" w:pos="450"/>
        </w:tabs>
        <w:spacing w:line="480" w:lineRule="auto"/>
        <w:ind w:left="0"/>
        <w:jc w:val="both"/>
        <w:rPr>
          <w:rFonts w:ascii="Times New Roman" w:hAnsi="Times New Roman" w:cs="Times New Roman"/>
          <w:b/>
          <w:sz w:val="24"/>
          <w:szCs w:val="24"/>
          <w:u w:val="thick"/>
          <w:lang w:val="en-US"/>
        </w:rPr>
      </w:pPr>
      <w:r w:rsidRPr="001577FC">
        <w:rPr>
          <w:rFonts w:ascii="Times New Roman" w:hAnsi="Times New Roman" w:cs="Times New Roman"/>
          <w:b/>
          <w:sz w:val="24"/>
          <w:szCs w:val="24"/>
          <w:u w:val="thick"/>
          <w:lang w:val="en-US"/>
        </w:rPr>
        <w:t>IN CHAMBERS</w:t>
      </w:r>
    </w:p>
    <w:p w:rsidR="00553401" w:rsidRDefault="00B84C2A" w:rsidP="00DA4D2F">
      <w:pPr>
        <w:tabs>
          <w:tab w:val="left" w:pos="450"/>
        </w:tabs>
        <w:spacing w:line="480" w:lineRule="auto"/>
        <w:ind w:left="0" w:firstLine="1440"/>
        <w:jc w:val="both"/>
        <w:rPr>
          <w:rFonts w:ascii="Times New Roman" w:hAnsi="Times New Roman" w:cs="Times New Roman"/>
          <w:sz w:val="24"/>
          <w:szCs w:val="24"/>
          <w:lang w:val="en-US"/>
        </w:rPr>
      </w:pPr>
      <w:r w:rsidRPr="002842D4">
        <w:rPr>
          <w:rFonts w:ascii="Times New Roman" w:hAnsi="Times New Roman" w:cs="Times New Roman"/>
          <w:b/>
          <w:sz w:val="24"/>
          <w:szCs w:val="24"/>
          <w:lang w:val="en-US"/>
        </w:rPr>
        <w:t>CHIWESHE JA</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This is an opposed </w:t>
      </w:r>
      <w:r w:rsidR="00CC5597">
        <w:rPr>
          <w:rFonts w:ascii="Times New Roman" w:hAnsi="Times New Roman" w:cs="Times New Roman"/>
          <w:sz w:val="24"/>
          <w:szCs w:val="24"/>
          <w:lang w:val="en-US"/>
        </w:rPr>
        <w:t>hybrid application for condonation for failure to timeously serve the notice of appeal on the Registrar of the Commercial Court (the court</w:t>
      </w:r>
      <w:r w:rsidR="00CC5597" w:rsidRPr="00CC5597">
        <w:rPr>
          <w:rFonts w:ascii="Times New Roman" w:hAnsi="Times New Roman" w:cs="Times New Roman"/>
          <w:i/>
          <w:sz w:val="24"/>
          <w:szCs w:val="24"/>
          <w:lang w:val="en-US"/>
        </w:rPr>
        <w:t xml:space="preserve"> a quo</w:t>
      </w:r>
      <w:r w:rsidR="00CC5597">
        <w:rPr>
          <w:rFonts w:ascii="Times New Roman" w:hAnsi="Times New Roman" w:cs="Times New Roman"/>
          <w:sz w:val="24"/>
          <w:szCs w:val="24"/>
          <w:lang w:val="en-US"/>
        </w:rPr>
        <w:t>) as required in terms of r 37 as read  together with r 38 of the Supreme Court Rules, 2018 (the rules) and for extension of time within</w:t>
      </w:r>
      <w:r w:rsidR="00C15275">
        <w:rPr>
          <w:rFonts w:ascii="Times New Roman" w:hAnsi="Times New Roman" w:cs="Times New Roman"/>
          <w:sz w:val="24"/>
          <w:szCs w:val="24"/>
          <w:lang w:val="en-US"/>
        </w:rPr>
        <w:t xml:space="preserve"> which </w:t>
      </w:r>
      <w:r w:rsidR="00CC5597">
        <w:rPr>
          <w:rFonts w:ascii="Times New Roman" w:hAnsi="Times New Roman" w:cs="Times New Roman"/>
          <w:sz w:val="24"/>
          <w:szCs w:val="24"/>
          <w:lang w:val="en-US"/>
        </w:rPr>
        <w:t xml:space="preserve"> to so serve the notice of appeal on that registrar and for reinstatement of the appeal in terms of rr 43 and 70 of the rules and for extension of time within which to pay security of costs.</w:t>
      </w:r>
    </w:p>
    <w:p w:rsidR="00B84C2A" w:rsidRDefault="00B84C2A" w:rsidP="00186459">
      <w:pPr>
        <w:tabs>
          <w:tab w:val="left" w:pos="450"/>
        </w:tabs>
        <w:spacing w:line="480" w:lineRule="auto"/>
        <w:ind w:left="0"/>
        <w:jc w:val="both"/>
        <w:rPr>
          <w:rFonts w:ascii="Times New Roman" w:hAnsi="Times New Roman" w:cs="Times New Roman"/>
          <w:sz w:val="24"/>
          <w:szCs w:val="24"/>
          <w:lang w:val="en-US"/>
        </w:rPr>
      </w:pPr>
    </w:p>
    <w:p w:rsidR="00B84C2A" w:rsidRPr="002842D4" w:rsidRDefault="00B84C2A" w:rsidP="00B84C2A">
      <w:pPr>
        <w:tabs>
          <w:tab w:val="left" w:pos="450"/>
        </w:tabs>
        <w:spacing w:line="480" w:lineRule="auto"/>
        <w:ind w:left="0"/>
        <w:jc w:val="both"/>
        <w:rPr>
          <w:rFonts w:ascii="Times New Roman" w:hAnsi="Times New Roman" w:cs="Times New Roman"/>
          <w:b/>
          <w:sz w:val="24"/>
          <w:szCs w:val="24"/>
          <w:u w:val="thick"/>
          <w:lang w:val="en-US"/>
        </w:rPr>
      </w:pPr>
      <w:r w:rsidRPr="002842D4">
        <w:rPr>
          <w:rFonts w:ascii="Times New Roman" w:hAnsi="Times New Roman" w:cs="Times New Roman"/>
          <w:b/>
          <w:sz w:val="24"/>
          <w:szCs w:val="24"/>
          <w:u w:val="thick"/>
          <w:lang w:val="en-US"/>
        </w:rPr>
        <w:t>THE FACTS</w:t>
      </w:r>
    </w:p>
    <w:p w:rsidR="000819BA" w:rsidRDefault="0058189A" w:rsidP="00DA4D2F">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84C2A">
        <w:rPr>
          <w:rFonts w:ascii="Times New Roman" w:hAnsi="Times New Roman" w:cs="Times New Roman"/>
          <w:sz w:val="24"/>
          <w:szCs w:val="24"/>
          <w:lang w:val="en-US"/>
        </w:rPr>
        <w:t xml:space="preserve">he High </w:t>
      </w:r>
      <w:r w:rsidR="002842D4">
        <w:rPr>
          <w:rFonts w:ascii="Times New Roman" w:hAnsi="Times New Roman" w:cs="Times New Roman"/>
          <w:sz w:val="24"/>
          <w:szCs w:val="24"/>
          <w:lang w:val="en-US"/>
        </w:rPr>
        <w:t>Court (</w:t>
      </w:r>
      <w:r w:rsidR="00B84C2A">
        <w:rPr>
          <w:rFonts w:ascii="Times New Roman" w:hAnsi="Times New Roman" w:cs="Times New Roman"/>
          <w:sz w:val="24"/>
          <w:szCs w:val="24"/>
          <w:lang w:val="en-US"/>
        </w:rPr>
        <w:t>Commercial Division)</w:t>
      </w:r>
      <w:r w:rsidR="000819BA">
        <w:rPr>
          <w:rFonts w:ascii="Times New Roman" w:hAnsi="Times New Roman" w:cs="Times New Roman"/>
          <w:sz w:val="24"/>
          <w:szCs w:val="24"/>
          <w:lang w:val="en-US"/>
        </w:rPr>
        <w:t xml:space="preserve"> (the court </w:t>
      </w:r>
      <w:r w:rsidR="000819BA" w:rsidRPr="005A659C">
        <w:rPr>
          <w:rFonts w:ascii="Times New Roman" w:hAnsi="Times New Roman" w:cs="Times New Roman"/>
          <w:i/>
          <w:sz w:val="24"/>
          <w:szCs w:val="24"/>
          <w:lang w:val="en-US"/>
        </w:rPr>
        <w:t>a quo</w:t>
      </w:r>
      <w:r w:rsidR="000819BA">
        <w:rPr>
          <w:rFonts w:ascii="Times New Roman" w:hAnsi="Times New Roman" w:cs="Times New Roman"/>
          <w:sz w:val="24"/>
          <w:szCs w:val="24"/>
          <w:lang w:val="en-US"/>
        </w:rPr>
        <w:t>) under HCH 123/22</w:t>
      </w:r>
      <w:r w:rsidR="002842D4">
        <w:rPr>
          <w:rFonts w:ascii="Times New Roman" w:hAnsi="Times New Roman" w:cs="Times New Roman"/>
          <w:sz w:val="24"/>
          <w:szCs w:val="24"/>
          <w:lang w:val="en-US"/>
        </w:rPr>
        <w:t xml:space="preserve">, </w:t>
      </w:r>
      <w:r w:rsidR="000819BA">
        <w:rPr>
          <w:rFonts w:ascii="Times New Roman" w:hAnsi="Times New Roman" w:cs="Times New Roman"/>
          <w:sz w:val="24"/>
          <w:szCs w:val="24"/>
          <w:lang w:val="en-US"/>
        </w:rPr>
        <w:t>granted the respondent`s claim fo</w:t>
      </w:r>
      <w:r w:rsidR="00DA4D2F">
        <w:rPr>
          <w:rFonts w:ascii="Times New Roman" w:hAnsi="Times New Roman" w:cs="Times New Roman"/>
          <w:sz w:val="24"/>
          <w:szCs w:val="24"/>
          <w:lang w:val="en-US"/>
        </w:rPr>
        <w:t>r compensation in the sum of US</w:t>
      </w:r>
      <w:r w:rsidR="00AB4146">
        <w:rPr>
          <w:rFonts w:ascii="Times New Roman" w:hAnsi="Times New Roman" w:cs="Times New Roman"/>
          <w:sz w:val="24"/>
          <w:szCs w:val="24"/>
          <w:lang w:val="en-US"/>
        </w:rPr>
        <w:t>$</w:t>
      </w:r>
      <w:r w:rsidR="000819BA">
        <w:rPr>
          <w:rFonts w:ascii="Times New Roman" w:hAnsi="Times New Roman" w:cs="Times New Roman"/>
          <w:sz w:val="24"/>
          <w:szCs w:val="24"/>
          <w:lang w:val="en-US"/>
        </w:rPr>
        <w:t xml:space="preserve">455 000.00 payable in local currency at the applicable </w:t>
      </w:r>
      <w:r w:rsidR="00626B2D">
        <w:rPr>
          <w:rFonts w:ascii="Times New Roman" w:hAnsi="Times New Roman" w:cs="Times New Roman"/>
          <w:sz w:val="24"/>
          <w:szCs w:val="24"/>
          <w:lang w:val="en-US"/>
        </w:rPr>
        <w:t>interbank rate</w:t>
      </w:r>
      <w:r w:rsidR="000819BA">
        <w:rPr>
          <w:rFonts w:ascii="Times New Roman" w:hAnsi="Times New Roman" w:cs="Times New Roman"/>
          <w:sz w:val="24"/>
          <w:szCs w:val="24"/>
          <w:lang w:val="en-US"/>
        </w:rPr>
        <w:t xml:space="preserve"> on the day of payment.  The court </w:t>
      </w:r>
      <w:r w:rsidR="000819BA" w:rsidRPr="00626B2D">
        <w:rPr>
          <w:rFonts w:ascii="Times New Roman" w:hAnsi="Times New Roman" w:cs="Times New Roman"/>
          <w:i/>
          <w:sz w:val="24"/>
          <w:szCs w:val="24"/>
          <w:lang w:val="en-US"/>
        </w:rPr>
        <w:t>a quo</w:t>
      </w:r>
      <w:r w:rsidR="000819BA">
        <w:rPr>
          <w:rFonts w:ascii="Times New Roman" w:hAnsi="Times New Roman" w:cs="Times New Roman"/>
          <w:sz w:val="24"/>
          <w:szCs w:val="24"/>
          <w:lang w:val="en-US"/>
        </w:rPr>
        <w:t xml:space="preserve"> ordered that the applicant pays the respondent`s costs of suit.</w:t>
      </w:r>
    </w:p>
    <w:p w:rsidR="00B02897" w:rsidRDefault="00B02897" w:rsidP="00B02897">
      <w:pPr>
        <w:tabs>
          <w:tab w:val="left" w:pos="450"/>
        </w:tabs>
        <w:ind w:left="0" w:firstLine="1440"/>
        <w:jc w:val="both"/>
        <w:rPr>
          <w:rFonts w:ascii="Times New Roman" w:hAnsi="Times New Roman" w:cs="Times New Roman"/>
          <w:sz w:val="24"/>
          <w:szCs w:val="24"/>
          <w:lang w:val="en-US"/>
        </w:rPr>
      </w:pPr>
    </w:p>
    <w:p w:rsidR="000819BA" w:rsidRDefault="000819BA" w:rsidP="009317D9">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Aggrieved </w:t>
      </w:r>
      <w:r w:rsidR="002842D4">
        <w:rPr>
          <w:rFonts w:ascii="Times New Roman" w:hAnsi="Times New Roman" w:cs="Times New Roman"/>
          <w:sz w:val="24"/>
          <w:szCs w:val="24"/>
          <w:lang w:val="en-US"/>
        </w:rPr>
        <w:t>by tha</w:t>
      </w:r>
      <w:r>
        <w:rPr>
          <w:rFonts w:ascii="Times New Roman" w:hAnsi="Times New Roman" w:cs="Times New Roman"/>
          <w:sz w:val="24"/>
          <w:szCs w:val="24"/>
          <w:lang w:val="en-US"/>
        </w:rPr>
        <w:t>t decision, the appli</w:t>
      </w:r>
      <w:r w:rsidR="00894FE5">
        <w:rPr>
          <w:rFonts w:ascii="Times New Roman" w:hAnsi="Times New Roman" w:cs="Times New Roman"/>
          <w:sz w:val="24"/>
          <w:szCs w:val="24"/>
          <w:lang w:val="en-US"/>
        </w:rPr>
        <w:t>cant n</w:t>
      </w:r>
      <w:r>
        <w:rPr>
          <w:rFonts w:ascii="Times New Roman" w:hAnsi="Times New Roman" w:cs="Times New Roman"/>
          <w:sz w:val="24"/>
          <w:szCs w:val="24"/>
          <w:lang w:val="en-US"/>
        </w:rPr>
        <w:t xml:space="preserve">oted an appeal to this Court on </w:t>
      </w:r>
      <w:r w:rsidR="00626B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11 December 2024. </w:t>
      </w:r>
      <w:r w:rsidR="00AB41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the applicant failed to serve the notice of appeal on the Registrar of the court </w:t>
      </w:r>
      <w:r w:rsidRPr="00AB4146">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as required in terms of the rules.  The applicant avers that it only became </w:t>
      </w:r>
      <w:r>
        <w:rPr>
          <w:rFonts w:ascii="Times New Roman" w:hAnsi="Times New Roman" w:cs="Times New Roman"/>
          <w:sz w:val="24"/>
          <w:szCs w:val="24"/>
          <w:lang w:val="en-US"/>
        </w:rPr>
        <w:lastRenderedPageBreak/>
        <w:t>aware of this omission when the parties</w:t>
      </w:r>
      <w:r w:rsidR="007D10BD">
        <w:rPr>
          <w:rFonts w:ascii="Times New Roman" w:hAnsi="Times New Roman" w:cs="Times New Roman"/>
          <w:sz w:val="24"/>
          <w:szCs w:val="24"/>
          <w:lang w:val="en-US"/>
        </w:rPr>
        <w:t xml:space="preserve"> were preparing to appear</w:t>
      </w:r>
      <w:r>
        <w:rPr>
          <w:rFonts w:ascii="Times New Roman" w:hAnsi="Times New Roman" w:cs="Times New Roman"/>
          <w:sz w:val="24"/>
          <w:szCs w:val="24"/>
          <w:lang w:val="en-US"/>
        </w:rPr>
        <w:t xml:space="preserve"> before the Registrar of this Court for</w:t>
      </w:r>
      <w:r w:rsidR="007D10BD">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determination of the amount that should be paid for security for the respondent`s costs.  </w:t>
      </w:r>
      <w:r w:rsidR="002E0B66">
        <w:rPr>
          <w:rFonts w:ascii="Times New Roman" w:hAnsi="Times New Roman" w:cs="Times New Roman"/>
          <w:sz w:val="24"/>
          <w:szCs w:val="24"/>
          <w:lang w:val="en-US"/>
        </w:rPr>
        <w:t xml:space="preserve">The meeting before the Registrar had been scheduled for 17 January 2025.  </w:t>
      </w:r>
      <w:r>
        <w:rPr>
          <w:rFonts w:ascii="Times New Roman" w:hAnsi="Times New Roman" w:cs="Times New Roman"/>
          <w:sz w:val="24"/>
          <w:szCs w:val="24"/>
          <w:lang w:val="en-US"/>
        </w:rPr>
        <w:t>The applicant`s legal practitioners the</w:t>
      </w:r>
      <w:r w:rsidR="002E0B66">
        <w:rPr>
          <w:rFonts w:ascii="Times New Roman" w:hAnsi="Times New Roman" w:cs="Times New Roman"/>
          <w:sz w:val="24"/>
          <w:szCs w:val="24"/>
          <w:lang w:val="en-US"/>
        </w:rPr>
        <w:t>n</w:t>
      </w:r>
      <w:r>
        <w:rPr>
          <w:rFonts w:ascii="Times New Roman" w:hAnsi="Times New Roman" w:cs="Times New Roman"/>
          <w:sz w:val="24"/>
          <w:szCs w:val="24"/>
          <w:lang w:val="en-US"/>
        </w:rPr>
        <w:t xml:space="preserve"> proceeded to upload the noti</w:t>
      </w:r>
      <w:r w:rsidR="002E0B66">
        <w:rPr>
          <w:rFonts w:ascii="Times New Roman" w:hAnsi="Times New Roman" w:cs="Times New Roman"/>
          <w:sz w:val="24"/>
          <w:szCs w:val="24"/>
          <w:lang w:val="en-US"/>
        </w:rPr>
        <w:t>ce of appeal on 14 January 2025</w:t>
      </w:r>
      <w:r>
        <w:rPr>
          <w:rFonts w:ascii="Times New Roman" w:hAnsi="Times New Roman" w:cs="Times New Roman"/>
          <w:sz w:val="24"/>
          <w:szCs w:val="24"/>
          <w:lang w:val="en-US"/>
        </w:rPr>
        <w:t xml:space="preserve">, </w:t>
      </w:r>
      <w:r w:rsidR="002842D4">
        <w:rPr>
          <w:rFonts w:ascii="Times New Roman" w:hAnsi="Times New Roman" w:cs="Times New Roman"/>
          <w:sz w:val="24"/>
          <w:szCs w:val="24"/>
          <w:lang w:val="en-US"/>
        </w:rPr>
        <w:t>well out</w:t>
      </w:r>
      <w:r>
        <w:rPr>
          <w:rFonts w:ascii="Times New Roman" w:hAnsi="Times New Roman" w:cs="Times New Roman"/>
          <w:sz w:val="24"/>
          <w:szCs w:val="24"/>
          <w:lang w:val="en-US"/>
        </w:rPr>
        <w:t xml:space="preserve"> of time.  As a result</w:t>
      </w:r>
      <w:r w:rsidR="000A1A10">
        <w:rPr>
          <w:rFonts w:ascii="Times New Roman" w:hAnsi="Times New Roman" w:cs="Times New Roman"/>
          <w:sz w:val="24"/>
          <w:szCs w:val="24"/>
          <w:lang w:val="en-US"/>
        </w:rPr>
        <w:t>, the</w:t>
      </w:r>
      <w:r>
        <w:rPr>
          <w:rFonts w:ascii="Times New Roman" w:hAnsi="Times New Roman" w:cs="Times New Roman"/>
          <w:sz w:val="24"/>
          <w:szCs w:val="24"/>
          <w:lang w:val="en-US"/>
        </w:rPr>
        <w:t xml:space="preserve"> appeal was</w:t>
      </w:r>
      <w:r w:rsidR="002E0B66">
        <w:rPr>
          <w:rFonts w:ascii="Times New Roman" w:hAnsi="Times New Roman" w:cs="Times New Roman"/>
          <w:sz w:val="24"/>
          <w:szCs w:val="24"/>
          <w:lang w:val="en-US"/>
        </w:rPr>
        <w:t>,</w:t>
      </w:r>
      <w:r>
        <w:rPr>
          <w:rFonts w:ascii="Times New Roman" w:hAnsi="Times New Roman" w:cs="Times New Roman"/>
          <w:sz w:val="24"/>
          <w:szCs w:val="24"/>
          <w:lang w:val="en-US"/>
        </w:rPr>
        <w:t xml:space="preserve"> by operation of law</w:t>
      </w:r>
      <w:r w:rsidR="002E0B66">
        <w:rPr>
          <w:rFonts w:ascii="Times New Roman" w:hAnsi="Times New Roman" w:cs="Times New Roman"/>
          <w:sz w:val="24"/>
          <w:szCs w:val="24"/>
          <w:lang w:val="en-US"/>
        </w:rPr>
        <w:t>,</w:t>
      </w:r>
      <w:r>
        <w:rPr>
          <w:rFonts w:ascii="Times New Roman" w:hAnsi="Times New Roman" w:cs="Times New Roman"/>
          <w:sz w:val="24"/>
          <w:szCs w:val="24"/>
          <w:lang w:val="en-US"/>
        </w:rPr>
        <w:t xml:space="preserve"> deemed abandoned a</w:t>
      </w:r>
      <w:r w:rsidR="00F51A37">
        <w:rPr>
          <w:rFonts w:ascii="Times New Roman" w:hAnsi="Times New Roman" w:cs="Times New Roman"/>
          <w:sz w:val="24"/>
          <w:szCs w:val="24"/>
          <w:lang w:val="en-US"/>
        </w:rPr>
        <w:t>n</w:t>
      </w:r>
      <w:r>
        <w:rPr>
          <w:rFonts w:ascii="Times New Roman" w:hAnsi="Times New Roman" w:cs="Times New Roman"/>
          <w:sz w:val="24"/>
          <w:szCs w:val="24"/>
          <w:lang w:val="en-US"/>
        </w:rPr>
        <w:t xml:space="preserve">d dismissed, hence the present application. </w:t>
      </w:r>
    </w:p>
    <w:p w:rsidR="000819BA" w:rsidRDefault="000819BA" w:rsidP="00F51A37">
      <w:pPr>
        <w:tabs>
          <w:tab w:val="left" w:pos="450"/>
        </w:tabs>
        <w:ind w:left="0"/>
        <w:jc w:val="both"/>
        <w:rPr>
          <w:rFonts w:ascii="Times New Roman" w:hAnsi="Times New Roman" w:cs="Times New Roman"/>
          <w:sz w:val="24"/>
          <w:szCs w:val="24"/>
          <w:lang w:val="en-US"/>
        </w:rPr>
      </w:pPr>
    </w:p>
    <w:p w:rsidR="000819BA" w:rsidRDefault="000819BA" w:rsidP="009317D9">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The dispute between the parties dates back to October 2019 when the parties entered into an agreement in terms of which the applicant leased Fernicary Farm (the farm) to the respondent.  The lease was to run</w:t>
      </w:r>
      <w:r w:rsidR="003952DB">
        <w:rPr>
          <w:rFonts w:ascii="Times New Roman" w:hAnsi="Times New Roman" w:cs="Times New Roman"/>
          <w:sz w:val="24"/>
          <w:szCs w:val="24"/>
          <w:lang w:val="en-US"/>
        </w:rPr>
        <w:t xml:space="preserve"> until September 2027.  Following disagreement between the parties, the applicant approached the Magistrate</w:t>
      </w:r>
      <w:r w:rsidR="002E0B66">
        <w:rPr>
          <w:rFonts w:ascii="Times New Roman" w:hAnsi="Times New Roman" w:cs="Times New Roman"/>
          <w:sz w:val="24"/>
          <w:szCs w:val="24"/>
          <w:lang w:val="en-US"/>
        </w:rPr>
        <w:t>s</w:t>
      </w:r>
      <w:r w:rsidR="003952DB">
        <w:rPr>
          <w:rFonts w:ascii="Times New Roman" w:hAnsi="Times New Roman" w:cs="Times New Roman"/>
          <w:sz w:val="24"/>
          <w:szCs w:val="24"/>
          <w:lang w:val="en-US"/>
        </w:rPr>
        <w:t xml:space="preserve"> Court </w:t>
      </w:r>
      <w:r w:rsidR="002E0B66">
        <w:rPr>
          <w:rFonts w:ascii="Times New Roman" w:hAnsi="Times New Roman" w:cs="Times New Roman"/>
          <w:sz w:val="24"/>
          <w:szCs w:val="24"/>
          <w:lang w:val="en-US"/>
        </w:rPr>
        <w:t>at</w:t>
      </w:r>
      <w:r w:rsidR="003952DB">
        <w:rPr>
          <w:rFonts w:ascii="Times New Roman" w:hAnsi="Times New Roman" w:cs="Times New Roman"/>
          <w:sz w:val="24"/>
          <w:szCs w:val="24"/>
          <w:lang w:val="en-US"/>
        </w:rPr>
        <w:t xml:space="preserve"> Mutare, seeking an order </w:t>
      </w:r>
      <w:r w:rsidR="002842D4">
        <w:rPr>
          <w:rFonts w:ascii="Times New Roman" w:hAnsi="Times New Roman" w:cs="Times New Roman"/>
          <w:sz w:val="24"/>
          <w:szCs w:val="24"/>
          <w:lang w:val="en-US"/>
        </w:rPr>
        <w:t>for the</w:t>
      </w:r>
      <w:r w:rsidR="003952DB">
        <w:rPr>
          <w:rFonts w:ascii="Times New Roman" w:hAnsi="Times New Roman" w:cs="Times New Roman"/>
          <w:sz w:val="24"/>
          <w:szCs w:val="24"/>
          <w:lang w:val="en-US"/>
        </w:rPr>
        <w:t xml:space="preserve"> eviction of the respondent from the </w:t>
      </w:r>
      <w:r w:rsidR="002E0B66">
        <w:rPr>
          <w:rFonts w:ascii="Times New Roman" w:hAnsi="Times New Roman" w:cs="Times New Roman"/>
          <w:sz w:val="24"/>
          <w:szCs w:val="24"/>
          <w:lang w:val="en-US"/>
        </w:rPr>
        <w:t>farm</w:t>
      </w:r>
      <w:r w:rsidR="003952DB">
        <w:rPr>
          <w:rFonts w:ascii="Times New Roman" w:hAnsi="Times New Roman" w:cs="Times New Roman"/>
          <w:sz w:val="24"/>
          <w:szCs w:val="24"/>
          <w:lang w:val="en-US"/>
        </w:rPr>
        <w:t>.</w:t>
      </w:r>
    </w:p>
    <w:p w:rsidR="003952DB" w:rsidRDefault="003952DB" w:rsidP="00F51A37">
      <w:pPr>
        <w:tabs>
          <w:tab w:val="left" w:pos="450"/>
        </w:tabs>
        <w:ind w:left="0"/>
        <w:jc w:val="both"/>
        <w:rPr>
          <w:rFonts w:ascii="Times New Roman" w:hAnsi="Times New Roman" w:cs="Times New Roman"/>
          <w:sz w:val="24"/>
          <w:szCs w:val="24"/>
          <w:lang w:val="en-US"/>
        </w:rPr>
      </w:pPr>
    </w:p>
    <w:p w:rsidR="003952DB" w:rsidRDefault="003952DB" w:rsidP="009317D9">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However, the parties were able to settle the dispute between them</w:t>
      </w:r>
      <w:r w:rsidR="00CF5CA2">
        <w:rPr>
          <w:rFonts w:ascii="Times New Roman" w:hAnsi="Times New Roman" w:cs="Times New Roman"/>
          <w:sz w:val="24"/>
          <w:szCs w:val="24"/>
          <w:lang w:val="en-US"/>
        </w:rPr>
        <w:t>selves</w:t>
      </w:r>
      <w:r>
        <w:rPr>
          <w:rFonts w:ascii="Times New Roman" w:hAnsi="Times New Roman" w:cs="Times New Roman"/>
          <w:sz w:val="24"/>
          <w:szCs w:val="24"/>
          <w:lang w:val="en-US"/>
        </w:rPr>
        <w:t>.  They filed a Deed of Settlement and an order by consent was granted on that basis.  In terms of the Deed of Settlement, the parties agreed to cancel the lease upon certain terms and conditions. Of importance</w:t>
      </w:r>
      <w:r w:rsidR="00F32786">
        <w:rPr>
          <w:rFonts w:ascii="Times New Roman" w:hAnsi="Times New Roman" w:cs="Times New Roman"/>
          <w:sz w:val="24"/>
          <w:szCs w:val="24"/>
          <w:lang w:val="en-US"/>
        </w:rPr>
        <w:t xml:space="preserve"> to the present </w:t>
      </w:r>
      <w:r>
        <w:rPr>
          <w:rFonts w:ascii="Times New Roman" w:hAnsi="Times New Roman" w:cs="Times New Roman"/>
          <w:sz w:val="24"/>
          <w:szCs w:val="24"/>
          <w:lang w:val="en-US"/>
        </w:rPr>
        <w:t>application was th</w:t>
      </w:r>
      <w:r w:rsidR="001C2A43">
        <w:rPr>
          <w:rFonts w:ascii="Times New Roman" w:hAnsi="Times New Roman" w:cs="Times New Roman"/>
          <w:sz w:val="24"/>
          <w:szCs w:val="24"/>
          <w:lang w:val="en-US"/>
        </w:rPr>
        <w:t>e provision that the applicant w</w:t>
      </w:r>
      <w:r>
        <w:rPr>
          <w:rFonts w:ascii="Times New Roman" w:hAnsi="Times New Roman" w:cs="Times New Roman"/>
          <w:sz w:val="24"/>
          <w:szCs w:val="24"/>
          <w:lang w:val="en-US"/>
        </w:rPr>
        <w:t xml:space="preserve">ould compensate the respondent for the improvements made on the farm during its tenancy.  The respondent vacated the farm </w:t>
      </w:r>
      <w:r w:rsidR="002842D4">
        <w:rPr>
          <w:rFonts w:ascii="Times New Roman" w:hAnsi="Times New Roman" w:cs="Times New Roman"/>
          <w:sz w:val="24"/>
          <w:szCs w:val="24"/>
          <w:lang w:val="en-US"/>
        </w:rPr>
        <w:t>but was</w:t>
      </w:r>
      <w:r>
        <w:rPr>
          <w:rFonts w:ascii="Times New Roman" w:hAnsi="Times New Roman" w:cs="Times New Roman"/>
          <w:sz w:val="24"/>
          <w:szCs w:val="24"/>
          <w:lang w:val="en-US"/>
        </w:rPr>
        <w:t xml:space="preserve"> not paid compensation as provided for in the Deed of Settlement.  This was so because the parties had failed to audit the improvements.  The respondent resultantly approached the court </w:t>
      </w:r>
      <w:r w:rsidRPr="005A659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with a claim against the applicant for com</w:t>
      </w:r>
      <w:r w:rsidR="00111C5E">
        <w:rPr>
          <w:rFonts w:ascii="Times New Roman" w:hAnsi="Times New Roman" w:cs="Times New Roman"/>
          <w:sz w:val="24"/>
          <w:szCs w:val="24"/>
          <w:lang w:val="en-US"/>
        </w:rPr>
        <w:t>pensation for the improvements e</w:t>
      </w:r>
      <w:r>
        <w:rPr>
          <w:rFonts w:ascii="Times New Roman" w:hAnsi="Times New Roman" w:cs="Times New Roman"/>
          <w:sz w:val="24"/>
          <w:szCs w:val="24"/>
          <w:lang w:val="en-US"/>
        </w:rPr>
        <w:t>ffected at the farm.  The improvements claimed by the respondent included the repair</w:t>
      </w:r>
      <w:r w:rsidR="009317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002842D4">
        <w:rPr>
          <w:rFonts w:ascii="Times New Roman" w:hAnsi="Times New Roman" w:cs="Times New Roman"/>
          <w:sz w:val="24"/>
          <w:szCs w:val="24"/>
          <w:lang w:val="en-US"/>
        </w:rPr>
        <w:t>external and</w:t>
      </w:r>
      <w:r>
        <w:rPr>
          <w:rFonts w:ascii="Times New Roman" w:hAnsi="Times New Roman" w:cs="Times New Roman"/>
          <w:sz w:val="24"/>
          <w:szCs w:val="24"/>
          <w:lang w:val="en-US"/>
        </w:rPr>
        <w:t xml:space="preserve"> internal</w:t>
      </w:r>
      <w:r w:rsidR="00115A6E">
        <w:rPr>
          <w:rFonts w:ascii="Times New Roman" w:hAnsi="Times New Roman" w:cs="Times New Roman"/>
          <w:sz w:val="24"/>
          <w:szCs w:val="24"/>
          <w:lang w:val="en-US"/>
        </w:rPr>
        <w:t xml:space="preserve"> roads, erection of </w:t>
      </w:r>
      <w:r w:rsidR="002842D4">
        <w:rPr>
          <w:rFonts w:ascii="Times New Roman" w:hAnsi="Times New Roman" w:cs="Times New Roman"/>
          <w:sz w:val="24"/>
          <w:szCs w:val="24"/>
          <w:lang w:val="en-US"/>
        </w:rPr>
        <w:t>fences to</w:t>
      </w:r>
      <w:r w:rsidR="00115A6E">
        <w:rPr>
          <w:rFonts w:ascii="Times New Roman" w:hAnsi="Times New Roman" w:cs="Times New Roman"/>
          <w:sz w:val="24"/>
          <w:szCs w:val="24"/>
          <w:lang w:val="en-US"/>
        </w:rPr>
        <w:t xml:space="preserve"> mark the farm boundaries, refurbishment of the main house, water reticulation and </w:t>
      </w:r>
      <w:r w:rsidR="002842D4">
        <w:rPr>
          <w:rFonts w:ascii="Times New Roman" w:hAnsi="Times New Roman" w:cs="Times New Roman"/>
          <w:sz w:val="24"/>
          <w:szCs w:val="24"/>
          <w:lang w:val="en-US"/>
        </w:rPr>
        <w:t>maintenance</w:t>
      </w:r>
      <w:r w:rsidR="00115A6E">
        <w:rPr>
          <w:rFonts w:ascii="Times New Roman" w:hAnsi="Times New Roman" w:cs="Times New Roman"/>
          <w:sz w:val="24"/>
          <w:szCs w:val="24"/>
          <w:lang w:val="en-US"/>
        </w:rPr>
        <w:t xml:space="preserve"> of irrigation infrastructure.</w:t>
      </w:r>
    </w:p>
    <w:p w:rsidR="00AB4146" w:rsidRDefault="00AB4146" w:rsidP="00C96887">
      <w:pPr>
        <w:tabs>
          <w:tab w:val="left" w:pos="450"/>
        </w:tabs>
        <w:ind w:left="0" w:firstLine="1134"/>
        <w:jc w:val="both"/>
        <w:rPr>
          <w:rFonts w:ascii="Times New Roman" w:hAnsi="Times New Roman" w:cs="Times New Roman"/>
          <w:sz w:val="24"/>
          <w:szCs w:val="24"/>
          <w:lang w:val="en-US"/>
        </w:rPr>
      </w:pPr>
    </w:p>
    <w:p w:rsidR="00115A6E" w:rsidRDefault="00115A6E" w:rsidP="009317D9">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Deed of Settlement required the respondent to provide evidence proving that: </w:t>
      </w:r>
    </w:p>
    <w:p w:rsidR="00115A6E" w:rsidRPr="00115A6E" w:rsidRDefault="009317D9" w:rsidP="009317D9">
      <w:pPr>
        <w:pStyle w:val="ListParagraph"/>
        <w:numPr>
          <w:ilvl w:val="0"/>
          <w:numId w:val="2"/>
        </w:numPr>
        <w:tabs>
          <w:tab w:val="left" w:pos="450"/>
          <w:tab w:val="left" w:pos="1170"/>
        </w:tabs>
        <w:spacing w:line="480" w:lineRule="auto"/>
        <w:ind w:firstLine="0"/>
        <w:jc w:val="both"/>
        <w:rPr>
          <w:rFonts w:ascii="Times New Roman" w:hAnsi="Times New Roman" w:cs="Times New Roman"/>
          <w:sz w:val="24"/>
          <w:szCs w:val="24"/>
          <w:lang w:val="en-US"/>
        </w:rPr>
      </w:pPr>
      <w:r w:rsidRPr="00115A6E">
        <w:rPr>
          <w:rFonts w:ascii="Times New Roman" w:hAnsi="Times New Roman" w:cs="Times New Roman"/>
          <w:sz w:val="24"/>
          <w:szCs w:val="24"/>
          <w:lang w:val="en-US"/>
        </w:rPr>
        <w:t>Improvements</w:t>
      </w:r>
      <w:r w:rsidR="00115A6E" w:rsidRPr="00115A6E">
        <w:rPr>
          <w:rFonts w:ascii="Times New Roman" w:hAnsi="Times New Roman" w:cs="Times New Roman"/>
          <w:sz w:val="24"/>
          <w:szCs w:val="24"/>
          <w:lang w:val="en-US"/>
        </w:rPr>
        <w:t xml:space="preserve"> were done with the approval of the applicant.</w:t>
      </w:r>
    </w:p>
    <w:p w:rsidR="00115A6E" w:rsidRDefault="009317D9" w:rsidP="009317D9">
      <w:pPr>
        <w:pStyle w:val="ListParagraph"/>
        <w:numPr>
          <w:ilvl w:val="0"/>
          <w:numId w:val="2"/>
        </w:numPr>
        <w:tabs>
          <w:tab w:val="left" w:pos="450"/>
          <w:tab w:val="left" w:pos="1170"/>
        </w:tabs>
        <w:spacing w:line="48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An</w:t>
      </w:r>
      <w:r w:rsidR="00115A6E">
        <w:rPr>
          <w:rFonts w:ascii="Times New Roman" w:hAnsi="Times New Roman" w:cs="Times New Roman"/>
          <w:sz w:val="24"/>
          <w:szCs w:val="24"/>
          <w:lang w:val="en-US"/>
        </w:rPr>
        <w:t xml:space="preserve"> inventory of the </w:t>
      </w:r>
      <w:r w:rsidR="00FF6884">
        <w:rPr>
          <w:rFonts w:ascii="Times New Roman" w:hAnsi="Times New Roman" w:cs="Times New Roman"/>
          <w:sz w:val="24"/>
          <w:szCs w:val="24"/>
          <w:lang w:val="en-US"/>
        </w:rPr>
        <w:t xml:space="preserve">improvements was prepared and </w:t>
      </w:r>
      <w:r w:rsidR="00115A6E">
        <w:rPr>
          <w:rFonts w:ascii="Times New Roman" w:hAnsi="Times New Roman" w:cs="Times New Roman"/>
          <w:sz w:val="24"/>
          <w:szCs w:val="24"/>
          <w:lang w:val="en-US"/>
        </w:rPr>
        <w:t>approved by the applicant.</w:t>
      </w:r>
    </w:p>
    <w:p w:rsidR="00115A6E" w:rsidRDefault="009317D9" w:rsidP="009317D9">
      <w:pPr>
        <w:pStyle w:val="ListParagraph"/>
        <w:numPr>
          <w:ilvl w:val="0"/>
          <w:numId w:val="2"/>
        </w:numPr>
        <w:tabs>
          <w:tab w:val="left" w:pos="450"/>
          <w:tab w:val="left" w:pos="1080"/>
        </w:tabs>
        <w:spacing w:line="48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FF6884">
        <w:rPr>
          <w:rFonts w:ascii="Times New Roman" w:hAnsi="Times New Roman" w:cs="Times New Roman"/>
          <w:sz w:val="24"/>
          <w:szCs w:val="24"/>
          <w:lang w:val="en-US"/>
        </w:rPr>
        <w:t xml:space="preserve"> registered valuer</w:t>
      </w:r>
      <w:r w:rsidR="00115A6E">
        <w:rPr>
          <w:rFonts w:ascii="Times New Roman" w:hAnsi="Times New Roman" w:cs="Times New Roman"/>
          <w:sz w:val="24"/>
          <w:szCs w:val="24"/>
          <w:lang w:val="en-US"/>
        </w:rPr>
        <w:t xml:space="preserve"> was </w:t>
      </w:r>
      <w:r w:rsidR="002842D4">
        <w:rPr>
          <w:rFonts w:ascii="Times New Roman" w:hAnsi="Times New Roman" w:cs="Times New Roman"/>
          <w:sz w:val="24"/>
          <w:szCs w:val="24"/>
          <w:lang w:val="en-US"/>
        </w:rPr>
        <w:t>engaged</w:t>
      </w:r>
      <w:r w:rsidR="00115A6E">
        <w:rPr>
          <w:rFonts w:ascii="Times New Roman" w:hAnsi="Times New Roman" w:cs="Times New Roman"/>
          <w:sz w:val="24"/>
          <w:szCs w:val="24"/>
          <w:lang w:val="en-US"/>
        </w:rPr>
        <w:t xml:space="preserve"> to consider </w:t>
      </w:r>
      <w:r w:rsidR="00D25BCE">
        <w:rPr>
          <w:rFonts w:ascii="Times New Roman" w:hAnsi="Times New Roman" w:cs="Times New Roman"/>
          <w:sz w:val="24"/>
          <w:szCs w:val="24"/>
          <w:lang w:val="en-US"/>
        </w:rPr>
        <w:t xml:space="preserve">devaluation through </w:t>
      </w:r>
      <w:r w:rsidR="00115A6E">
        <w:rPr>
          <w:rFonts w:ascii="Times New Roman" w:hAnsi="Times New Roman" w:cs="Times New Roman"/>
          <w:sz w:val="24"/>
          <w:szCs w:val="24"/>
          <w:lang w:val="en-US"/>
        </w:rPr>
        <w:t>wear and tear.</w:t>
      </w:r>
    </w:p>
    <w:p w:rsidR="00115A6E" w:rsidRDefault="009317D9" w:rsidP="009317D9">
      <w:pPr>
        <w:pStyle w:val="ListParagraph"/>
        <w:numPr>
          <w:ilvl w:val="0"/>
          <w:numId w:val="2"/>
        </w:numPr>
        <w:tabs>
          <w:tab w:val="left" w:pos="1170"/>
        </w:tabs>
        <w:spacing w:line="48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115A6E">
        <w:rPr>
          <w:rFonts w:ascii="Times New Roman" w:hAnsi="Times New Roman" w:cs="Times New Roman"/>
          <w:sz w:val="24"/>
          <w:szCs w:val="24"/>
          <w:lang w:val="en-US"/>
        </w:rPr>
        <w:t xml:space="preserve"> parties had agreed on the payment plan for the improvements.</w:t>
      </w:r>
    </w:p>
    <w:p w:rsidR="00115A6E" w:rsidRDefault="00115A6E" w:rsidP="00C96887">
      <w:pPr>
        <w:tabs>
          <w:tab w:val="left" w:pos="450"/>
        </w:tabs>
        <w:ind w:left="0"/>
        <w:jc w:val="both"/>
        <w:rPr>
          <w:rFonts w:ascii="Times New Roman" w:hAnsi="Times New Roman" w:cs="Times New Roman"/>
          <w:sz w:val="24"/>
          <w:szCs w:val="24"/>
          <w:lang w:val="en-US"/>
        </w:rPr>
      </w:pPr>
    </w:p>
    <w:p w:rsidR="00115A6E" w:rsidRDefault="00115A6E" w:rsidP="00873537">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assessing the </w:t>
      </w:r>
      <w:r w:rsidRPr="00AB4146">
        <w:rPr>
          <w:rFonts w:ascii="Times New Roman" w:hAnsi="Times New Roman" w:cs="Times New Roman"/>
          <w:i/>
          <w:sz w:val="24"/>
          <w:szCs w:val="24"/>
          <w:lang w:val="en-US"/>
        </w:rPr>
        <w:t>quantum</w:t>
      </w:r>
      <w:r>
        <w:rPr>
          <w:rFonts w:ascii="Times New Roman" w:hAnsi="Times New Roman" w:cs="Times New Roman"/>
          <w:sz w:val="24"/>
          <w:szCs w:val="24"/>
          <w:lang w:val="en-US"/>
        </w:rPr>
        <w:t xml:space="preserve"> of improvements, the court </w:t>
      </w:r>
      <w:r w:rsidRPr="00AB414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made a distinction between operating costs incurred by the respondent and actual improvements to the farm.  It dismissed all claims for opera</w:t>
      </w:r>
      <w:r w:rsidR="001341FA">
        <w:rPr>
          <w:rFonts w:ascii="Times New Roman" w:hAnsi="Times New Roman" w:cs="Times New Roman"/>
          <w:sz w:val="24"/>
          <w:szCs w:val="24"/>
          <w:lang w:val="en-US"/>
        </w:rPr>
        <w:t>ting costs and granted claims it</w:t>
      </w:r>
      <w:r>
        <w:rPr>
          <w:rFonts w:ascii="Times New Roman" w:hAnsi="Times New Roman" w:cs="Times New Roman"/>
          <w:sz w:val="24"/>
          <w:szCs w:val="24"/>
          <w:lang w:val="en-US"/>
        </w:rPr>
        <w:t xml:space="preserve"> considered to be improvements.  It rejected the applicant`s denial that it had not approved the improvements as the applicant was at all times briefed by an agent stationed a</w:t>
      </w:r>
      <w:r w:rsidR="00171B80">
        <w:rPr>
          <w:rFonts w:ascii="Times New Roman" w:hAnsi="Times New Roman" w:cs="Times New Roman"/>
          <w:sz w:val="24"/>
          <w:szCs w:val="24"/>
          <w:lang w:val="en-US"/>
        </w:rPr>
        <w:t>t the farm of  all developments.  F</w:t>
      </w:r>
      <w:r>
        <w:rPr>
          <w:rFonts w:ascii="Times New Roman" w:hAnsi="Times New Roman" w:cs="Times New Roman"/>
          <w:sz w:val="24"/>
          <w:szCs w:val="24"/>
          <w:lang w:val="en-US"/>
        </w:rPr>
        <w:t xml:space="preserve">urther, it noted that </w:t>
      </w:r>
      <w:r w:rsidR="00987F75">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applicant regularly visited the farm and at no point did it raise any objections to the respondent`s activities.  In the result</w:t>
      </w:r>
      <w:r w:rsidR="00FF6884">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2842D4">
        <w:rPr>
          <w:rFonts w:ascii="Times New Roman" w:hAnsi="Times New Roman" w:cs="Times New Roman"/>
          <w:sz w:val="24"/>
          <w:szCs w:val="24"/>
          <w:lang w:val="en-US"/>
        </w:rPr>
        <w:t xml:space="preserve">court </w:t>
      </w:r>
      <w:r w:rsidR="002842D4" w:rsidRPr="00AB4146">
        <w:rPr>
          <w:rFonts w:ascii="Times New Roman" w:hAnsi="Times New Roman" w:cs="Times New Roman"/>
          <w:i/>
          <w:sz w:val="24"/>
          <w:szCs w:val="24"/>
          <w:lang w:val="en-US"/>
        </w:rPr>
        <w:t>a</w:t>
      </w:r>
      <w:r w:rsidRPr="00AB4146">
        <w:rPr>
          <w:rFonts w:ascii="Times New Roman" w:hAnsi="Times New Roman" w:cs="Times New Roman"/>
          <w:i/>
          <w:sz w:val="24"/>
          <w:szCs w:val="24"/>
          <w:lang w:val="en-US"/>
        </w:rPr>
        <w:t xml:space="preserve"> </w:t>
      </w:r>
      <w:r w:rsidR="002842D4" w:rsidRPr="00AB4146">
        <w:rPr>
          <w:rFonts w:ascii="Times New Roman" w:hAnsi="Times New Roman" w:cs="Times New Roman"/>
          <w:i/>
          <w:sz w:val="24"/>
          <w:szCs w:val="24"/>
          <w:lang w:val="en-US"/>
        </w:rPr>
        <w:t>quo</w:t>
      </w:r>
      <w:r w:rsidR="002842D4">
        <w:rPr>
          <w:rFonts w:ascii="Times New Roman" w:hAnsi="Times New Roman" w:cs="Times New Roman"/>
          <w:sz w:val="24"/>
          <w:szCs w:val="24"/>
          <w:lang w:val="en-US"/>
        </w:rPr>
        <w:t xml:space="preserve"> awarded</w:t>
      </w:r>
      <w:r>
        <w:rPr>
          <w:rFonts w:ascii="Times New Roman" w:hAnsi="Times New Roman" w:cs="Times New Roman"/>
          <w:sz w:val="24"/>
          <w:szCs w:val="24"/>
          <w:lang w:val="en-US"/>
        </w:rPr>
        <w:t xml:space="preserve"> the respondent </w:t>
      </w:r>
      <w:r w:rsidR="00AB4146">
        <w:rPr>
          <w:rFonts w:ascii="Times New Roman" w:hAnsi="Times New Roman" w:cs="Times New Roman"/>
          <w:sz w:val="24"/>
          <w:szCs w:val="24"/>
          <w:lang w:val="en-US"/>
        </w:rPr>
        <w:t>compensation in the sum of US $</w:t>
      </w:r>
      <w:r>
        <w:rPr>
          <w:rFonts w:ascii="Times New Roman" w:hAnsi="Times New Roman" w:cs="Times New Roman"/>
          <w:sz w:val="24"/>
          <w:szCs w:val="24"/>
          <w:lang w:val="en-US"/>
        </w:rPr>
        <w:t xml:space="preserve">455 000.00 </w:t>
      </w:r>
      <w:r w:rsidR="002842D4">
        <w:rPr>
          <w:rFonts w:ascii="Times New Roman" w:hAnsi="Times New Roman" w:cs="Times New Roman"/>
          <w:sz w:val="24"/>
          <w:szCs w:val="24"/>
          <w:lang w:val="en-US"/>
        </w:rPr>
        <w:t>payable in</w:t>
      </w:r>
      <w:r>
        <w:rPr>
          <w:rFonts w:ascii="Times New Roman" w:hAnsi="Times New Roman" w:cs="Times New Roman"/>
          <w:sz w:val="24"/>
          <w:szCs w:val="24"/>
          <w:lang w:val="en-US"/>
        </w:rPr>
        <w:t xml:space="preserve"> the local currency at the interbank rate.  It is common cause</w:t>
      </w:r>
      <w:r w:rsidR="008735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002842D4">
        <w:rPr>
          <w:rFonts w:ascii="Times New Roman" w:hAnsi="Times New Roman" w:cs="Times New Roman"/>
          <w:sz w:val="24"/>
          <w:szCs w:val="24"/>
          <w:lang w:val="en-US"/>
        </w:rPr>
        <w:t>in arriving</w:t>
      </w:r>
      <w:r>
        <w:rPr>
          <w:rFonts w:ascii="Times New Roman" w:hAnsi="Times New Roman" w:cs="Times New Roman"/>
          <w:sz w:val="24"/>
          <w:szCs w:val="24"/>
          <w:lang w:val="en-US"/>
        </w:rPr>
        <w:t xml:space="preserve"> at that </w:t>
      </w:r>
      <w:r w:rsidR="002842D4">
        <w:rPr>
          <w:rFonts w:ascii="Times New Roman" w:hAnsi="Times New Roman" w:cs="Times New Roman"/>
          <w:sz w:val="24"/>
          <w:szCs w:val="24"/>
          <w:lang w:val="en-US"/>
        </w:rPr>
        <w:t>figure</w:t>
      </w:r>
      <w:r w:rsidR="00FF6884">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t>
      </w:r>
      <w:r w:rsidRPr="00AB414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not assisted by a</w:t>
      </w:r>
      <w:r w:rsidR="00FF6884">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002842D4">
        <w:rPr>
          <w:rFonts w:ascii="Times New Roman" w:hAnsi="Times New Roman" w:cs="Times New Roman"/>
          <w:sz w:val="24"/>
          <w:szCs w:val="24"/>
          <w:lang w:val="en-US"/>
        </w:rPr>
        <w:t>evaluator</w:t>
      </w:r>
      <w:r w:rsidR="00820194">
        <w:rPr>
          <w:rFonts w:ascii="Times New Roman" w:hAnsi="Times New Roman" w:cs="Times New Roman"/>
          <w:sz w:val="24"/>
          <w:szCs w:val="24"/>
          <w:lang w:val="en-US"/>
        </w:rPr>
        <w:t xml:space="preserve"> or other expert in </w:t>
      </w:r>
      <w:r w:rsidR="002842D4">
        <w:rPr>
          <w:rFonts w:ascii="Times New Roman" w:hAnsi="Times New Roman" w:cs="Times New Roman"/>
          <w:sz w:val="24"/>
          <w:szCs w:val="24"/>
          <w:lang w:val="en-US"/>
        </w:rPr>
        <w:t>the field of</w:t>
      </w:r>
      <w:r w:rsidR="00820194">
        <w:rPr>
          <w:rFonts w:ascii="Times New Roman" w:hAnsi="Times New Roman" w:cs="Times New Roman"/>
          <w:sz w:val="24"/>
          <w:szCs w:val="24"/>
          <w:lang w:val="en-US"/>
        </w:rPr>
        <w:t xml:space="preserve"> property evaluation.  The court </w:t>
      </w:r>
      <w:r w:rsidR="00820194" w:rsidRPr="00AB4146">
        <w:rPr>
          <w:rFonts w:ascii="Times New Roman" w:hAnsi="Times New Roman" w:cs="Times New Roman"/>
          <w:i/>
          <w:sz w:val="24"/>
          <w:szCs w:val="24"/>
          <w:lang w:val="en-US"/>
        </w:rPr>
        <w:t>a quo</w:t>
      </w:r>
      <w:r w:rsidR="00FF6884">
        <w:rPr>
          <w:rFonts w:ascii="Times New Roman" w:hAnsi="Times New Roman" w:cs="Times New Roman"/>
          <w:sz w:val="24"/>
          <w:szCs w:val="24"/>
          <w:lang w:val="en-US"/>
        </w:rPr>
        <w:t xml:space="preserve"> was alive to this handicap</w:t>
      </w:r>
      <w:r w:rsidR="00820194">
        <w:rPr>
          <w:rFonts w:ascii="Times New Roman" w:hAnsi="Times New Roman" w:cs="Times New Roman"/>
          <w:sz w:val="24"/>
          <w:szCs w:val="24"/>
          <w:lang w:val="en-US"/>
        </w:rPr>
        <w:t xml:space="preserve">.  </w:t>
      </w:r>
      <w:r w:rsidR="002842D4">
        <w:rPr>
          <w:rFonts w:ascii="Times New Roman" w:hAnsi="Times New Roman" w:cs="Times New Roman"/>
          <w:sz w:val="24"/>
          <w:szCs w:val="24"/>
          <w:lang w:val="en-US"/>
        </w:rPr>
        <w:t>It however</w:t>
      </w:r>
      <w:r w:rsidR="00820194">
        <w:rPr>
          <w:rFonts w:ascii="Times New Roman" w:hAnsi="Times New Roman" w:cs="Times New Roman"/>
          <w:sz w:val="24"/>
          <w:szCs w:val="24"/>
          <w:lang w:val="en-US"/>
        </w:rPr>
        <w:t xml:space="preserve"> reasoned that in the absence of an evaluation report, it could determine the </w:t>
      </w:r>
      <w:r w:rsidR="00820194" w:rsidRPr="00AB4146">
        <w:rPr>
          <w:rFonts w:ascii="Times New Roman" w:hAnsi="Times New Roman" w:cs="Times New Roman"/>
          <w:i/>
          <w:sz w:val="24"/>
          <w:szCs w:val="24"/>
          <w:lang w:val="en-US"/>
        </w:rPr>
        <w:t>quantum</w:t>
      </w:r>
      <w:r w:rsidR="00820194">
        <w:rPr>
          <w:rFonts w:ascii="Times New Roman" w:hAnsi="Times New Roman" w:cs="Times New Roman"/>
          <w:sz w:val="24"/>
          <w:szCs w:val="24"/>
          <w:lang w:val="en-US"/>
        </w:rPr>
        <w:t xml:space="preserve"> of compensation on the basis of the evidence adduced before it.  It accordingly </w:t>
      </w:r>
      <w:r w:rsidR="00FF6884">
        <w:rPr>
          <w:rFonts w:ascii="Times New Roman" w:hAnsi="Times New Roman" w:cs="Times New Roman"/>
          <w:sz w:val="24"/>
          <w:szCs w:val="24"/>
          <w:lang w:val="en-US"/>
        </w:rPr>
        <w:t xml:space="preserve">held </w:t>
      </w:r>
      <w:r w:rsidR="002842D4">
        <w:rPr>
          <w:rFonts w:ascii="Times New Roman" w:hAnsi="Times New Roman" w:cs="Times New Roman"/>
          <w:sz w:val="24"/>
          <w:szCs w:val="24"/>
          <w:lang w:val="en-US"/>
        </w:rPr>
        <w:t>that the</w:t>
      </w:r>
      <w:r w:rsidR="00820194">
        <w:rPr>
          <w:rFonts w:ascii="Times New Roman" w:hAnsi="Times New Roman" w:cs="Times New Roman"/>
          <w:sz w:val="24"/>
          <w:szCs w:val="24"/>
          <w:lang w:val="en-US"/>
        </w:rPr>
        <w:t xml:space="preserve"> </w:t>
      </w:r>
      <w:r w:rsidR="00820194" w:rsidRPr="005A659C">
        <w:rPr>
          <w:rFonts w:ascii="Times New Roman" w:hAnsi="Times New Roman" w:cs="Times New Roman"/>
          <w:i/>
          <w:sz w:val="24"/>
          <w:szCs w:val="24"/>
          <w:lang w:val="en-US"/>
        </w:rPr>
        <w:t xml:space="preserve">quantum </w:t>
      </w:r>
      <w:r w:rsidR="00FF6884">
        <w:rPr>
          <w:rFonts w:ascii="Times New Roman" w:hAnsi="Times New Roman" w:cs="Times New Roman"/>
          <w:sz w:val="24"/>
          <w:szCs w:val="24"/>
          <w:lang w:val="en-US"/>
        </w:rPr>
        <w:t xml:space="preserve">of the claims it allowed was </w:t>
      </w:r>
      <w:r w:rsidR="00820194">
        <w:rPr>
          <w:rFonts w:ascii="Times New Roman" w:hAnsi="Times New Roman" w:cs="Times New Roman"/>
          <w:sz w:val="24"/>
          <w:szCs w:val="24"/>
          <w:lang w:val="en-US"/>
        </w:rPr>
        <w:t>reasonable</w:t>
      </w:r>
      <w:r w:rsidR="00F15536">
        <w:rPr>
          <w:rFonts w:ascii="Times New Roman" w:hAnsi="Times New Roman" w:cs="Times New Roman"/>
          <w:sz w:val="24"/>
          <w:szCs w:val="24"/>
          <w:lang w:val="en-US"/>
        </w:rPr>
        <w:t>,</w:t>
      </w:r>
      <w:r w:rsidR="00820194">
        <w:rPr>
          <w:rFonts w:ascii="Times New Roman" w:hAnsi="Times New Roman" w:cs="Times New Roman"/>
          <w:sz w:val="24"/>
          <w:szCs w:val="24"/>
          <w:lang w:val="en-US"/>
        </w:rPr>
        <w:t xml:space="preserve"> given the scope and nature of the improvements.   In doing so, it blamed the applicant for not adducing the evidence of an evaluator.</w:t>
      </w:r>
    </w:p>
    <w:p w:rsidR="00820194" w:rsidRDefault="00820194" w:rsidP="00115A6E">
      <w:pPr>
        <w:tabs>
          <w:tab w:val="left" w:pos="450"/>
        </w:tabs>
        <w:spacing w:line="480" w:lineRule="auto"/>
        <w:ind w:left="0"/>
        <w:jc w:val="both"/>
        <w:rPr>
          <w:rFonts w:ascii="Times New Roman" w:hAnsi="Times New Roman" w:cs="Times New Roman"/>
          <w:sz w:val="24"/>
          <w:szCs w:val="24"/>
          <w:lang w:val="en-US"/>
        </w:rPr>
      </w:pPr>
    </w:p>
    <w:p w:rsidR="00820194" w:rsidRDefault="00820194" w:rsidP="00115A6E">
      <w:pPr>
        <w:tabs>
          <w:tab w:val="left" w:pos="450"/>
        </w:tabs>
        <w:spacing w:line="480" w:lineRule="auto"/>
        <w:ind w:left="0"/>
        <w:jc w:val="both"/>
        <w:rPr>
          <w:rFonts w:ascii="Times New Roman" w:hAnsi="Times New Roman" w:cs="Times New Roman"/>
          <w:b/>
          <w:sz w:val="24"/>
          <w:szCs w:val="24"/>
          <w:u w:val="thick"/>
          <w:lang w:val="en-US"/>
        </w:rPr>
      </w:pPr>
      <w:r w:rsidRPr="00FB56E6">
        <w:rPr>
          <w:rFonts w:ascii="Times New Roman" w:hAnsi="Times New Roman" w:cs="Times New Roman"/>
          <w:b/>
          <w:sz w:val="24"/>
          <w:szCs w:val="24"/>
          <w:u w:val="thick"/>
          <w:lang w:val="en-US"/>
        </w:rPr>
        <w:t>PRELIMINARY OBJECTIONS</w:t>
      </w:r>
    </w:p>
    <w:p w:rsidR="00DE71E3" w:rsidRPr="00CE38D4" w:rsidRDefault="00DE71E3" w:rsidP="0080161A">
      <w:pPr>
        <w:pStyle w:val="ListParagraph"/>
        <w:numPr>
          <w:ilvl w:val="0"/>
          <w:numId w:val="3"/>
        </w:numPr>
        <w:tabs>
          <w:tab w:val="left" w:pos="720"/>
          <w:tab w:val="left" w:pos="1080"/>
        </w:tabs>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The respondent submits that the notice of appeal is fatally defective in the manner in which </w:t>
      </w:r>
      <w:r w:rsidR="002F5043">
        <w:rPr>
          <w:rFonts w:ascii="Times New Roman" w:hAnsi="Times New Roman" w:cs="Times New Roman"/>
          <w:sz w:val="24"/>
          <w:szCs w:val="24"/>
        </w:rPr>
        <w:t xml:space="preserve">the </w:t>
      </w:r>
      <w:r>
        <w:rPr>
          <w:rFonts w:ascii="Times New Roman" w:hAnsi="Times New Roman" w:cs="Times New Roman"/>
          <w:sz w:val="24"/>
          <w:szCs w:val="24"/>
        </w:rPr>
        <w:t>grounds of appeal and the relief sought have been drafted in that:</w:t>
      </w:r>
    </w:p>
    <w:p w:rsidR="00DE71E3" w:rsidRDefault="00DE71E3" w:rsidP="00096084">
      <w:pPr>
        <w:pStyle w:val="ListParagraph"/>
        <w:numPr>
          <w:ilvl w:val="0"/>
          <w:numId w:val="4"/>
        </w:numPr>
        <w:tabs>
          <w:tab w:val="left" w:pos="720"/>
          <w:tab w:val="left" w:pos="1843"/>
        </w:tabs>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It does not specify the court or division of the court by which judgment was </w:t>
      </w:r>
      <w:r w:rsidR="00BE5D7D">
        <w:rPr>
          <w:rFonts w:ascii="Times New Roman" w:hAnsi="Times New Roman" w:cs="Times New Roman"/>
          <w:sz w:val="24"/>
          <w:szCs w:val="24"/>
        </w:rPr>
        <w:t xml:space="preserve">  </w:t>
      </w:r>
      <w:r>
        <w:rPr>
          <w:rFonts w:ascii="Times New Roman" w:hAnsi="Times New Roman" w:cs="Times New Roman"/>
          <w:sz w:val="24"/>
          <w:szCs w:val="24"/>
        </w:rPr>
        <w:t>given with clarity as required by r 37 (1) (a) of the Supreme Court Rules, 2018 (the rules).</w:t>
      </w:r>
      <w:r w:rsidRPr="00CE38D4">
        <w:rPr>
          <w:rFonts w:ascii="Times New Roman" w:hAnsi="Times New Roman" w:cs="Times New Roman"/>
          <w:sz w:val="24"/>
          <w:szCs w:val="24"/>
        </w:rPr>
        <w:t xml:space="preserve"> </w:t>
      </w:r>
    </w:p>
    <w:p w:rsidR="00DE71E3" w:rsidRPr="00CE38D4" w:rsidRDefault="00DE71E3" w:rsidP="00DE71E3">
      <w:pPr>
        <w:pStyle w:val="ListParagraph"/>
        <w:tabs>
          <w:tab w:val="left" w:pos="720"/>
          <w:tab w:val="left" w:pos="1440"/>
        </w:tabs>
        <w:ind w:left="1080"/>
        <w:jc w:val="both"/>
        <w:rPr>
          <w:rFonts w:ascii="Times New Roman" w:hAnsi="Times New Roman" w:cs="Times New Roman"/>
          <w:sz w:val="24"/>
          <w:szCs w:val="24"/>
        </w:rPr>
      </w:pPr>
    </w:p>
    <w:p w:rsidR="00DE71E3" w:rsidRPr="00A173FD" w:rsidRDefault="00DE71E3" w:rsidP="00DE71E3">
      <w:pPr>
        <w:tabs>
          <w:tab w:val="left" w:pos="720"/>
          <w:tab w:val="left" w:pos="1440"/>
        </w:tabs>
        <w:jc w:val="both"/>
        <w:rPr>
          <w:rFonts w:ascii="Times New Roman" w:hAnsi="Times New Roman" w:cs="Times New Roman"/>
          <w:sz w:val="24"/>
          <w:szCs w:val="24"/>
        </w:rPr>
      </w:pPr>
    </w:p>
    <w:p w:rsidR="00DE71E3" w:rsidRDefault="00DE71E3" w:rsidP="00802D0F">
      <w:pPr>
        <w:tabs>
          <w:tab w:val="left" w:pos="720"/>
          <w:tab w:val="left" w:pos="1440"/>
        </w:tabs>
        <w:spacing w:line="480" w:lineRule="auto"/>
        <w:ind w:left="-90" w:firstLine="1530"/>
        <w:jc w:val="both"/>
        <w:rPr>
          <w:rFonts w:ascii="Times New Roman" w:hAnsi="Times New Roman" w:cs="Times New Roman"/>
          <w:sz w:val="24"/>
          <w:szCs w:val="24"/>
        </w:rPr>
      </w:pPr>
      <w:r>
        <w:rPr>
          <w:rFonts w:ascii="Times New Roman" w:hAnsi="Times New Roman" w:cs="Times New Roman"/>
          <w:sz w:val="24"/>
          <w:szCs w:val="24"/>
        </w:rPr>
        <w:t xml:space="preserve">I note that the notice of appeal refers to a judgment of the Commercial Court instead of the judgment of the High Court (Commercial Division).  It is trite that </w:t>
      </w:r>
      <w:r w:rsidR="00171B80">
        <w:rPr>
          <w:rFonts w:ascii="Times New Roman" w:hAnsi="Times New Roman" w:cs="Times New Roman"/>
          <w:sz w:val="24"/>
          <w:szCs w:val="24"/>
        </w:rPr>
        <w:t xml:space="preserve">the Commercial Court is a </w:t>
      </w:r>
      <w:r w:rsidR="0062354B">
        <w:rPr>
          <w:rFonts w:ascii="Times New Roman" w:hAnsi="Times New Roman" w:cs="Times New Roman"/>
          <w:sz w:val="24"/>
          <w:szCs w:val="24"/>
        </w:rPr>
        <w:t>stand-alone</w:t>
      </w:r>
      <w:r>
        <w:rPr>
          <w:rFonts w:ascii="Times New Roman" w:hAnsi="Times New Roman" w:cs="Times New Roman"/>
          <w:sz w:val="24"/>
          <w:szCs w:val="24"/>
        </w:rPr>
        <w:t xml:space="preserve"> division of the High Court, designed to deal expeditio</w:t>
      </w:r>
      <w:r w:rsidR="00DE1CB9">
        <w:rPr>
          <w:rFonts w:ascii="Times New Roman" w:hAnsi="Times New Roman" w:cs="Times New Roman"/>
          <w:sz w:val="24"/>
          <w:szCs w:val="24"/>
        </w:rPr>
        <w:t>usly with commercial matters.  I</w:t>
      </w:r>
      <w:r>
        <w:rPr>
          <w:rFonts w:ascii="Times New Roman" w:hAnsi="Times New Roman" w:cs="Times New Roman"/>
          <w:sz w:val="24"/>
          <w:szCs w:val="24"/>
        </w:rPr>
        <w:t>n that regard</w:t>
      </w:r>
      <w:r w:rsidR="002F5043">
        <w:rPr>
          <w:rFonts w:ascii="Times New Roman" w:hAnsi="Times New Roman" w:cs="Times New Roman"/>
          <w:sz w:val="24"/>
          <w:szCs w:val="24"/>
        </w:rPr>
        <w:t>,</w:t>
      </w:r>
      <w:r>
        <w:rPr>
          <w:rFonts w:ascii="Times New Roman" w:hAnsi="Times New Roman" w:cs="Times New Roman"/>
          <w:sz w:val="24"/>
          <w:szCs w:val="24"/>
        </w:rPr>
        <w:t xml:space="preserve"> it is a specialized court.  Whilst it may be improper to cite the Commercial Court without reference to the parent court, the High Court, I do not believe that such oversight constitutes a fatal defect in the notice of appeal.  The preliminary point must be dismissed.</w:t>
      </w:r>
    </w:p>
    <w:p w:rsidR="00DE71E3" w:rsidRPr="0062354B" w:rsidRDefault="00AB4146" w:rsidP="00246EA4">
      <w:pPr>
        <w:pStyle w:val="ListParagraph"/>
        <w:numPr>
          <w:ilvl w:val="0"/>
          <w:numId w:val="4"/>
        </w:numPr>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DE71E3">
        <w:rPr>
          <w:rFonts w:ascii="Times New Roman" w:hAnsi="Times New Roman" w:cs="Times New Roman"/>
          <w:sz w:val="24"/>
          <w:szCs w:val="24"/>
        </w:rPr>
        <w:t xml:space="preserve">It insufficiently states the part of the judgment appealed against by failure to </w:t>
      </w:r>
      <w:r w:rsidR="00DE71E3" w:rsidRPr="0062354B">
        <w:rPr>
          <w:rFonts w:ascii="Times New Roman" w:hAnsi="Times New Roman" w:cs="Times New Roman"/>
          <w:sz w:val="24"/>
          <w:szCs w:val="24"/>
        </w:rPr>
        <w:t>include US$150 000.00 for bush clearance which clearly forms ground 8 of the Grounds of Appeal, rendering the relief sought vague and not exact.</w:t>
      </w:r>
    </w:p>
    <w:p w:rsidR="00DE71E3" w:rsidRDefault="00DE71E3" w:rsidP="00AB4146">
      <w:pPr>
        <w:tabs>
          <w:tab w:val="left" w:pos="1440"/>
        </w:tabs>
        <w:ind w:left="-90" w:firstLine="90"/>
        <w:jc w:val="both"/>
        <w:rPr>
          <w:rFonts w:ascii="Times New Roman" w:hAnsi="Times New Roman" w:cs="Times New Roman"/>
          <w:sz w:val="24"/>
          <w:szCs w:val="24"/>
        </w:rPr>
      </w:pPr>
    </w:p>
    <w:p w:rsidR="00DE71E3" w:rsidRDefault="00DE71E3" w:rsidP="00DE71E3">
      <w:pPr>
        <w:tabs>
          <w:tab w:val="left" w:pos="720"/>
          <w:tab w:val="left" w:pos="1440"/>
        </w:tabs>
        <w:ind w:left="-90" w:firstLine="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02897" w:rsidRPr="00C76ED5" w:rsidRDefault="00DE71E3" w:rsidP="00B02897">
      <w:pPr>
        <w:tabs>
          <w:tab w:val="left" w:pos="1440"/>
        </w:tabs>
        <w:spacing w:line="480" w:lineRule="auto"/>
        <w:ind w:left="0" w:firstLine="1440"/>
        <w:jc w:val="both"/>
        <w:rPr>
          <w:rFonts w:ascii="Times New Roman" w:hAnsi="Times New Roman" w:cs="Times New Roman"/>
          <w:sz w:val="24"/>
          <w:szCs w:val="24"/>
        </w:rPr>
      </w:pPr>
      <w:r w:rsidRPr="00C76ED5">
        <w:rPr>
          <w:rFonts w:ascii="Times New Roman" w:hAnsi="Times New Roman" w:cs="Times New Roman"/>
          <w:sz w:val="24"/>
          <w:szCs w:val="24"/>
        </w:rPr>
        <w:t xml:space="preserve">This preliminary objection is not clearly stated.  The exactness of the relief sought cannot be ascertained by reference to whether it captures each and every prayer sought.  If an appellant omits to pray for part of what it is expected to pray for, the relief sought does not become </w:t>
      </w:r>
      <w:r w:rsidR="00720529">
        <w:rPr>
          <w:rFonts w:ascii="Times New Roman" w:hAnsi="Times New Roman" w:cs="Times New Roman"/>
          <w:sz w:val="24"/>
          <w:szCs w:val="24"/>
        </w:rPr>
        <w:t>in</w:t>
      </w:r>
      <w:r w:rsidRPr="00C76ED5">
        <w:rPr>
          <w:rFonts w:ascii="Times New Roman" w:hAnsi="Times New Roman" w:cs="Times New Roman"/>
          <w:sz w:val="24"/>
          <w:szCs w:val="24"/>
        </w:rPr>
        <w:t>exact.  Rather, the appellant may be prejudiced by failure to include part of its claim in the relief sought.  For that reason, this objection has no merit.  It must be dismissed.</w:t>
      </w:r>
    </w:p>
    <w:p w:rsidR="00DE71E3" w:rsidRDefault="00DE71E3" w:rsidP="00D4236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respondent’s second preliminary objection is to the effect that the application is based on a nullity as the applicant’s legal practitioner has pleaded ignorance of the law by stating that the delay in complying with the rules was as a result of the legal practitioner’</w:t>
      </w:r>
      <w:r w:rsidR="00710338">
        <w:rPr>
          <w:rFonts w:ascii="Times New Roman" w:hAnsi="Times New Roman" w:cs="Times New Roman"/>
          <w:sz w:val="24"/>
          <w:szCs w:val="24"/>
        </w:rPr>
        <w:t>s erroneous belief that the IEC</w:t>
      </w:r>
      <w:r>
        <w:rPr>
          <w:rFonts w:ascii="Times New Roman" w:hAnsi="Times New Roman" w:cs="Times New Roman"/>
          <w:sz w:val="24"/>
          <w:szCs w:val="24"/>
        </w:rPr>
        <w:t>M</w:t>
      </w:r>
      <w:r w:rsidR="00710338">
        <w:rPr>
          <w:rFonts w:ascii="Times New Roman" w:hAnsi="Times New Roman" w:cs="Times New Roman"/>
          <w:sz w:val="24"/>
          <w:szCs w:val="24"/>
        </w:rPr>
        <w:t>S</w:t>
      </w:r>
      <w:r>
        <w:rPr>
          <w:rFonts w:ascii="Times New Roman" w:hAnsi="Times New Roman" w:cs="Times New Roman"/>
          <w:sz w:val="24"/>
          <w:szCs w:val="24"/>
        </w:rPr>
        <w:t xml:space="preserve"> system had dispensed with the need to serve the Notice of Appeal on the Registrar of the court </w:t>
      </w:r>
      <w:r>
        <w:rPr>
          <w:rFonts w:ascii="Times New Roman" w:hAnsi="Times New Roman" w:cs="Times New Roman"/>
          <w:i/>
          <w:sz w:val="24"/>
          <w:szCs w:val="24"/>
        </w:rPr>
        <w:t>a quo</w:t>
      </w:r>
      <w:r w:rsidRPr="006A29CB">
        <w:rPr>
          <w:rFonts w:ascii="Times New Roman" w:hAnsi="Times New Roman" w:cs="Times New Roman"/>
          <w:sz w:val="24"/>
          <w:szCs w:val="24"/>
        </w:rPr>
        <w:t xml:space="preserve">. </w:t>
      </w:r>
    </w:p>
    <w:p w:rsidR="00B02897" w:rsidRPr="00D42369" w:rsidRDefault="00B02897" w:rsidP="00B02897">
      <w:pPr>
        <w:pStyle w:val="ListParagraph"/>
        <w:ind w:left="1080"/>
        <w:jc w:val="both"/>
        <w:rPr>
          <w:rFonts w:ascii="Times New Roman" w:hAnsi="Times New Roman" w:cs="Times New Roman"/>
          <w:sz w:val="24"/>
          <w:szCs w:val="24"/>
        </w:rPr>
      </w:pPr>
    </w:p>
    <w:p w:rsidR="00DE71E3" w:rsidRDefault="00DE71E3" w:rsidP="00242F1C">
      <w:pPr>
        <w:tabs>
          <w:tab w:val="left" w:pos="720"/>
          <w:tab w:val="left" w:pos="1440"/>
        </w:tabs>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I</w:t>
      </w:r>
      <w:r w:rsidR="00D42369">
        <w:rPr>
          <w:rFonts w:ascii="Times New Roman" w:hAnsi="Times New Roman" w:cs="Times New Roman"/>
          <w:sz w:val="24"/>
          <w:szCs w:val="24"/>
        </w:rPr>
        <w:t>n my view this</w:t>
      </w:r>
      <w:r>
        <w:rPr>
          <w:rFonts w:ascii="Times New Roman" w:hAnsi="Times New Roman" w:cs="Times New Roman"/>
          <w:sz w:val="24"/>
          <w:szCs w:val="24"/>
        </w:rPr>
        <w:t xml:space="preserve"> issue cannot be raised as </w:t>
      </w:r>
      <w:r w:rsidR="004D7B7D">
        <w:rPr>
          <w:rFonts w:ascii="Times New Roman" w:hAnsi="Times New Roman" w:cs="Times New Roman"/>
          <w:sz w:val="24"/>
          <w:szCs w:val="24"/>
        </w:rPr>
        <w:t xml:space="preserve">a </w:t>
      </w:r>
      <w:r>
        <w:rPr>
          <w:rFonts w:ascii="Times New Roman" w:hAnsi="Times New Roman" w:cs="Times New Roman"/>
          <w:sz w:val="24"/>
          <w:szCs w:val="24"/>
        </w:rPr>
        <w:t xml:space="preserve">preliminary objection.  It falls to be dealt with as an explanation given for the delay in complying with the infringed rule.  It is for this court to assess the reasonableness or otherwise of such explanation as required by law.  </w:t>
      </w:r>
      <w:r>
        <w:rPr>
          <w:rFonts w:ascii="Times New Roman" w:hAnsi="Times New Roman" w:cs="Times New Roman"/>
          <w:sz w:val="24"/>
          <w:szCs w:val="24"/>
        </w:rPr>
        <w:lastRenderedPageBreak/>
        <w:t>The question must be determined on the merits and not as a preliminary objection.  This objection must also be dismissed.</w:t>
      </w:r>
    </w:p>
    <w:p w:rsidR="00DE71E3" w:rsidRDefault="00DE71E3" w:rsidP="00242F1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respondent’s third objection is to the effect that there has been non-disclosure of material facts.</w:t>
      </w:r>
    </w:p>
    <w:p w:rsidR="00AB4146" w:rsidRPr="0006696D" w:rsidRDefault="00AB4146" w:rsidP="00AB4146">
      <w:pPr>
        <w:pStyle w:val="ListParagraph"/>
        <w:tabs>
          <w:tab w:val="left" w:pos="720"/>
          <w:tab w:val="left" w:pos="1440"/>
        </w:tabs>
        <w:ind w:left="1560"/>
        <w:jc w:val="both"/>
        <w:rPr>
          <w:rFonts w:ascii="Times New Roman" w:hAnsi="Times New Roman" w:cs="Times New Roman"/>
          <w:sz w:val="24"/>
          <w:szCs w:val="24"/>
        </w:rPr>
      </w:pPr>
    </w:p>
    <w:p w:rsidR="00DE71E3" w:rsidRDefault="00DE71E3" w:rsidP="00242F1C">
      <w:pPr>
        <w:tabs>
          <w:tab w:val="left" w:pos="1440"/>
        </w:tabs>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t>This objection has no merit as the facts alleged not to have been disclosed have no direct relevance to the present application</w:t>
      </w:r>
      <w:r w:rsidR="003A46AD">
        <w:rPr>
          <w:rFonts w:ascii="Times New Roman" w:hAnsi="Times New Roman" w:cs="Times New Roman"/>
          <w:sz w:val="24"/>
          <w:szCs w:val="24"/>
        </w:rPr>
        <w:t xml:space="preserve"> for condonation</w:t>
      </w:r>
      <w:r>
        <w:rPr>
          <w:rFonts w:ascii="Times New Roman" w:hAnsi="Times New Roman" w:cs="Times New Roman"/>
          <w:sz w:val="24"/>
          <w:szCs w:val="24"/>
        </w:rPr>
        <w:t>.  The applicant is required</w:t>
      </w:r>
      <w:r w:rsidR="00AD1B81">
        <w:rPr>
          <w:rFonts w:ascii="Times New Roman" w:hAnsi="Times New Roman" w:cs="Times New Roman"/>
          <w:sz w:val="24"/>
          <w:szCs w:val="24"/>
        </w:rPr>
        <w:t>,</w:t>
      </w:r>
      <w:r>
        <w:rPr>
          <w:rFonts w:ascii="Times New Roman" w:hAnsi="Times New Roman" w:cs="Times New Roman"/>
          <w:sz w:val="24"/>
          <w:szCs w:val="24"/>
        </w:rPr>
        <w:t xml:space="preserve"> in the main to give a plausible explanation for the delay, inordinate or otherwise, and to show that there are prospects of success in the intended appeal.  He is not required to regurgitate the whole history of the parties’ dispute and apportion blame for every twist and turn.  The preliminary objection must be dismissed.  Having dismissed all the preliminary objections raised by the respondent, I now turn to consider the application on the merits.</w:t>
      </w:r>
    </w:p>
    <w:p w:rsidR="00DE71E3" w:rsidRPr="00FB56E6" w:rsidRDefault="00DE71E3" w:rsidP="00A605F1">
      <w:pPr>
        <w:tabs>
          <w:tab w:val="left" w:pos="450"/>
        </w:tabs>
        <w:spacing w:line="480" w:lineRule="auto"/>
        <w:ind w:left="0"/>
        <w:jc w:val="both"/>
        <w:rPr>
          <w:rFonts w:ascii="Times New Roman" w:hAnsi="Times New Roman" w:cs="Times New Roman"/>
          <w:b/>
          <w:sz w:val="24"/>
          <w:szCs w:val="24"/>
          <w:u w:val="thick"/>
          <w:lang w:val="en-US"/>
        </w:rPr>
      </w:pPr>
    </w:p>
    <w:p w:rsidR="002D4D5D" w:rsidRPr="002842D4" w:rsidRDefault="002D4D5D" w:rsidP="002D4D5D">
      <w:pPr>
        <w:tabs>
          <w:tab w:val="left" w:pos="450"/>
        </w:tabs>
        <w:spacing w:line="480" w:lineRule="auto"/>
        <w:ind w:left="0"/>
        <w:jc w:val="both"/>
        <w:rPr>
          <w:rFonts w:ascii="Times New Roman" w:hAnsi="Times New Roman" w:cs="Times New Roman"/>
          <w:b/>
          <w:sz w:val="24"/>
          <w:szCs w:val="24"/>
          <w:u w:val="thick"/>
          <w:lang w:val="en-US"/>
        </w:rPr>
      </w:pPr>
      <w:r w:rsidRPr="002842D4">
        <w:rPr>
          <w:rFonts w:ascii="Times New Roman" w:hAnsi="Times New Roman" w:cs="Times New Roman"/>
          <w:b/>
          <w:sz w:val="24"/>
          <w:szCs w:val="24"/>
          <w:u w:val="thick"/>
          <w:lang w:val="en-US"/>
        </w:rPr>
        <w:t>THE LAW</w:t>
      </w:r>
    </w:p>
    <w:p w:rsidR="002D4D5D" w:rsidRDefault="002D4D5D" w:rsidP="002D4D5D">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It is trite that in considering applications of this nature, the court exercises its discretion guided by a number of factors including the length of the delay in complying with the infringed rule, the reasonableness of the explanation given for the delay and the prospects of success in the intended appeal.  These factors ought to be considered cumulatively and not in isolation of one another.</w:t>
      </w:r>
    </w:p>
    <w:p w:rsidR="002D4D5D" w:rsidRDefault="002D4D5D" w:rsidP="002D4D5D">
      <w:pPr>
        <w:tabs>
          <w:tab w:val="left" w:pos="450"/>
        </w:tabs>
        <w:ind w:left="0"/>
        <w:jc w:val="both"/>
        <w:rPr>
          <w:rFonts w:ascii="Times New Roman" w:hAnsi="Times New Roman" w:cs="Times New Roman"/>
          <w:b/>
          <w:sz w:val="24"/>
          <w:szCs w:val="24"/>
          <w:u w:val="thick"/>
          <w:lang w:val="en-US"/>
        </w:rPr>
      </w:pPr>
    </w:p>
    <w:p w:rsidR="00820194" w:rsidRPr="002D4D5D" w:rsidRDefault="002D4D5D" w:rsidP="00115A6E">
      <w:pPr>
        <w:tabs>
          <w:tab w:val="left" w:pos="450"/>
        </w:tabs>
        <w:spacing w:line="480" w:lineRule="auto"/>
        <w:ind w:left="0"/>
        <w:jc w:val="both"/>
        <w:rPr>
          <w:rFonts w:ascii="Times New Roman" w:hAnsi="Times New Roman" w:cs="Times New Roman"/>
          <w:b/>
          <w:sz w:val="24"/>
          <w:szCs w:val="24"/>
          <w:lang w:val="en-US"/>
        </w:rPr>
      </w:pPr>
      <w:r w:rsidRPr="002D4D5D">
        <w:rPr>
          <w:rFonts w:ascii="Times New Roman" w:hAnsi="Times New Roman" w:cs="Times New Roman"/>
          <w:b/>
          <w:sz w:val="24"/>
          <w:szCs w:val="24"/>
          <w:lang w:val="en-US"/>
        </w:rPr>
        <w:t xml:space="preserve">The extent of the delay and the explanation therefor </w:t>
      </w:r>
    </w:p>
    <w:p w:rsidR="00AB4146" w:rsidRDefault="00820194" w:rsidP="00242F1C">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failed to timeously serve the notice of appeal on the registrar of </w:t>
      </w:r>
      <w:r w:rsidR="002842D4">
        <w:rPr>
          <w:rFonts w:ascii="Times New Roman" w:hAnsi="Times New Roman" w:cs="Times New Roman"/>
          <w:sz w:val="24"/>
          <w:szCs w:val="24"/>
          <w:lang w:val="en-US"/>
        </w:rPr>
        <w:t xml:space="preserve">the </w:t>
      </w:r>
      <w:r w:rsidR="00FB56E6">
        <w:rPr>
          <w:rFonts w:ascii="Times New Roman" w:hAnsi="Times New Roman" w:cs="Times New Roman"/>
          <w:sz w:val="24"/>
          <w:szCs w:val="24"/>
          <w:lang w:val="en-US"/>
        </w:rPr>
        <w:t>court a</w:t>
      </w:r>
      <w:r w:rsidRPr="00FB56E6">
        <w:rPr>
          <w:rFonts w:ascii="Times New Roman" w:hAnsi="Times New Roman" w:cs="Times New Roman"/>
          <w:i/>
          <w:sz w:val="24"/>
          <w:szCs w:val="24"/>
          <w:lang w:val="en-US"/>
        </w:rPr>
        <w:t xml:space="preserve"> quo </w:t>
      </w:r>
      <w:r>
        <w:rPr>
          <w:rFonts w:ascii="Times New Roman" w:hAnsi="Times New Roman" w:cs="Times New Roman"/>
          <w:sz w:val="24"/>
          <w:szCs w:val="24"/>
          <w:lang w:val="en-US"/>
        </w:rPr>
        <w:t xml:space="preserve">because it was under the mistaken belief </w:t>
      </w:r>
      <w:r w:rsidR="002842D4">
        <w:rPr>
          <w:rFonts w:ascii="Times New Roman" w:hAnsi="Times New Roman" w:cs="Times New Roman"/>
          <w:sz w:val="24"/>
          <w:szCs w:val="24"/>
          <w:lang w:val="en-US"/>
        </w:rPr>
        <w:t>that under</w:t>
      </w:r>
      <w:r>
        <w:rPr>
          <w:rFonts w:ascii="Times New Roman" w:hAnsi="Times New Roman" w:cs="Times New Roman"/>
          <w:sz w:val="24"/>
          <w:szCs w:val="24"/>
          <w:lang w:val="en-US"/>
        </w:rPr>
        <w:t xml:space="preserve"> the IECMS system, the registrar of the court </w:t>
      </w:r>
      <w:r w:rsidRPr="005A659C">
        <w:rPr>
          <w:rFonts w:ascii="Times New Roman" w:hAnsi="Times New Roman" w:cs="Times New Roman"/>
          <w:i/>
          <w:sz w:val="24"/>
          <w:szCs w:val="24"/>
          <w:lang w:val="en-US"/>
        </w:rPr>
        <w:t xml:space="preserve">a </w:t>
      </w:r>
      <w:r w:rsidR="002842D4" w:rsidRPr="005A659C">
        <w:rPr>
          <w:rFonts w:ascii="Times New Roman" w:hAnsi="Times New Roman" w:cs="Times New Roman"/>
          <w:i/>
          <w:sz w:val="24"/>
          <w:szCs w:val="24"/>
          <w:lang w:val="en-US"/>
        </w:rPr>
        <w:t>quo</w:t>
      </w:r>
      <w:r w:rsidR="002842D4">
        <w:rPr>
          <w:rFonts w:ascii="Times New Roman" w:hAnsi="Times New Roman" w:cs="Times New Roman"/>
          <w:sz w:val="24"/>
          <w:szCs w:val="24"/>
          <w:lang w:val="en-US"/>
        </w:rPr>
        <w:t xml:space="preserve"> would</w:t>
      </w:r>
      <w:r>
        <w:rPr>
          <w:rFonts w:ascii="Times New Roman" w:hAnsi="Times New Roman" w:cs="Times New Roman"/>
          <w:sz w:val="24"/>
          <w:szCs w:val="24"/>
          <w:lang w:val="en-US"/>
        </w:rPr>
        <w:t xml:space="preserve"> be automatically served.  Although this kind of mistake is one often made by legal practitioners, it is strictly speaking</w:t>
      </w:r>
      <w:r w:rsidR="00C06893">
        <w:rPr>
          <w:rFonts w:ascii="Times New Roman" w:hAnsi="Times New Roman" w:cs="Times New Roman"/>
          <w:sz w:val="24"/>
          <w:szCs w:val="24"/>
          <w:lang w:val="en-US"/>
        </w:rPr>
        <w:t>,</w:t>
      </w:r>
      <w:r>
        <w:rPr>
          <w:rFonts w:ascii="Times New Roman" w:hAnsi="Times New Roman" w:cs="Times New Roman"/>
          <w:sz w:val="24"/>
          <w:szCs w:val="24"/>
          <w:lang w:val="en-US"/>
        </w:rPr>
        <w:t xml:space="preserve"> not </w:t>
      </w:r>
      <w:r w:rsidR="00C06893">
        <w:rPr>
          <w:rFonts w:ascii="Times New Roman" w:hAnsi="Times New Roman" w:cs="Times New Roman"/>
          <w:sz w:val="24"/>
          <w:szCs w:val="24"/>
          <w:lang w:val="en-US"/>
        </w:rPr>
        <w:t xml:space="preserve">a </w:t>
      </w:r>
      <w:r>
        <w:rPr>
          <w:rFonts w:ascii="Times New Roman" w:hAnsi="Times New Roman" w:cs="Times New Roman"/>
          <w:sz w:val="24"/>
          <w:szCs w:val="24"/>
          <w:lang w:val="en-US"/>
        </w:rPr>
        <w:t>plausible</w:t>
      </w:r>
      <w:r w:rsidR="00C06893">
        <w:rPr>
          <w:rFonts w:ascii="Times New Roman" w:hAnsi="Times New Roman" w:cs="Times New Roman"/>
          <w:sz w:val="24"/>
          <w:szCs w:val="24"/>
          <w:lang w:val="en-US"/>
        </w:rPr>
        <w:t xml:space="preserve"> explanation</w:t>
      </w:r>
      <w:r w:rsidR="001577FC">
        <w:rPr>
          <w:rFonts w:ascii="Times New Roman" w:hAnsi="Times New Roman" w:cs="Times New Roman"/>
          <w:sz w:val="24"/>
          <w:szCs w:val="24"/>
          <w:lang w:val="en-US"/>
        </w:rPr>
        <w:t>.  Legal p</w:t>
      </w:r>
      <w:r>
        <w:rPr>
          <w:rFonts w:ascii="Times New Roman" w:hAnsi="Times New Roman" w:cs="Times New Roman"/>
          <w:sz w:val="24"/>
          <w:szCs w:val="24"/>
          <w:lang w:val="en-US"/>
        </w:rPr>
        <w:t>ractitioners are expected to familiarize themselves with th</w:t>
      </w:r>
      <w:r w:rsidR="00C06893">
        <w:rPr>
          <w:rFonts w:ascii="Times New Roman" w:hAnsi="Times New Roman" w:cs="Times New Roman"/>
          <w:sz w:val="24"/>
          <w:szCs w:val="24"/>
          <w:lang w:val="en-US"/>
        </w:rPr>
        <w:t>e rules and ensure compliance.</w:t>
      </w:r>
    </w:p>
    <w:p w:rsidR="00C06893" w:rsidRDefault="00C06893" w:rsidP="00C06893">
      <w:pPr>
        <w:tabs>
          <w:tab w:val="left" w:pos="450"/>
        </w:tabs>
        <w:ind w:left="0"/>
        <w:jc w:val="both"/>
        <w:rPr>
          <w:rFonts w:ascii="Times New Roman" w:hAnsi="Times New Roman" w:cs="Times New Roman"/>
          <w:sz w:val="24"/>
          <w:szCs w:val="24"/>
          <w:lang w:val="en-US"/>
        </w:rPr>
      </w:pPr>
    </w:p>
    <w:p w:rsidR="00C06893" w:rsidRDefault="00C06893" w:rsidP="00C06893">
      <w:pPr>
        <w:tabs>
          <w:tab w:val="left" w:pos="450"/>
        </w:tabs>
        <w:spacing w:line="480" w:lineRule="auto"/>
        <w:ind w:left="0" w:firstLine="1560"/>
        <w:jc w:val="both"/>
        <w:rPr>
          <w:rFonts w:ascii="Times New Roman" w:hAnsi="Times New Roman" w:cs="Times New Roman"/>
          <w:sz w:val="24"/>
          <w:szCs w:val="24"/>
          <w:lang w:val="en-US"/>
        </w:rPr>
      </w:pPr>
      <w:r>
        <w:rPr>
          <w:rFonts w:ascii="Times New Roman" w:hAnsi="Times New Roman" w:cs="Times New Roman"/>
          <w:sz w:val="24"/>
          <w:szCs w:val="24"/>
          <w:lang w:val="en-US"/>
        </w:rPr>
        <w:t>I agree with the respondent that the appellant`s legal practitioners are in effect pleading ignorance of the law.  That cannot be a plausible explanation for the delay.  I note, however, that the period of the delay was not inordinate.</w:t>
      </w:r>
    </w:p>
    <w:p w:rsidR="005E5E69" w:rsidRDefault="005E5E69" w:rsidP="00AC3449">
      <w:pPr>
        <w:tabs>
          <w:tab w:val="left" w:pos="450"/>
        </w:tabs>
        <w:ind w:left="0" w:firstLine="1134"/>
        <w:jc w:val="both"/>
        <w:rPr>
          <w:rFonts w:ascii="Times New Roman" w:hAnsi="Times New Roman" w:cs="Times New Roman"/>
          <w:sz w:val="24"/>
          <w:szCs w:val="24"/>
          <w:lang w:val="en-US"/>
        </w:rPr>
      </w:pPr>
    </w:p>
    <w:p w:rsidR="002842D4" w:rsidRPr="00A605F1" w:rsidRDefault="00A605F1" w:rsidP="008D3597">
      <w:pPr>
        <w:tabs>
          <w:tab w:val="left" w:pos="450"/>
          <w:tab w:val="left" w:pos="1134"/>
        </w:tabs>
        <w:spacing w:line="480" w:lineRule="auto"/>
        <w:ind w:left="0"/>
        <w:jc w:val="both"/>
        <w:rPr>
          <w:rFonts w:ascii="Times New Roman" w:hAnsi="Times New Roman" w:cs="Times New Roman"/>
          <w:b/>
          <w:sz w:val="24"/>
          <w:szCs w:val="24"/>
          <w:lang w:val="en-US"/>
        </w:rPr>
      </w:pPr>
      <w:r w:rsidRPr="00A605F1">
        <w:rPr>
          <w:rFonts w:ascii="Times New Roman" w:hAnsi="Times New Roman" w:cs="Times New Roman"/>
          <w:b/>
          <w:sz w:val="24"/>
          <w:szCs w:val="24"/>
          <w:lang w:val="en-US"/>
        </w:rPr>
        <w:t>Prospects of success in the intended appeal</w:t>
      </w:r>
    </w:p>
    <w:p w:rsidR="002842D4" w:rsidRPr="00115A6E" w:rsidRDefault="002842D4" w:rsidP="00242F1C">
      <w:pPr>
        <w:tabs>
          <w:tab w:val="left" w:pos="450"/>
        </w:tabs>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its draft notice of appeal, the applicant raises </w:t>
      </w:r>
      <w:r w:rsidR="00D912AB">
        <w:rPr>
          <w:rFonts w:ascii="Times New Roman" w:hAnsi="Times New Roman" w:cs="Times New Roman"/>
          <w:sz w:val="24"/>
          <w:szCs w:val="24"/>
          <w:lang w:val="en-US"/>
        </w:rPr>
        <w:t xml:space="preserve">nine </w:t>
      </w:r>
      <w:r>
        <w:rPr>
          <w:rFonts w:ascii="Times New Roman" w:hAnsi="Times New Roman" w:cs="Times New Roman"/>
          <w:sz w:val="24"/>
          <w:szCs w:val="24"/>
          <w:lang w:val="en-US"/>
        </w:rPr>
        <w:t xml:space="preserve">grounds of appeal.  The first ground of appeal avers that the court </w:t>
      </w:r>
      <w:r w:rsidRPr="00FB56E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w:t>
      </w:r>
      <w:r w:rsidR="00FC1350">
        <w:rPr>
          <w:rFonts w:ascii="Times New Roman" w:hAnsi="Times New Roman" w:cs="Times New Roman"/>
          <w:sz w:val="24"/>
          <w:szCs w:val="24"/>
          <w:lang w:val="en-US"/>
        </w:rPr>
        <w:t xml:space="preserve"> failing to deal with the defenc</w:t>
      </w:r>
      <w:r>
        <w:rPr>
          <w:rFonts w:ascii="Times New Roman" w:hAnsi="Times New Roman" w:cs="Times New Roman"/>
          <w:sz w:val="24"/>
          <w:szCs w:val="24"/>
          <w:lang w:val="en-US"/>
        </w:rPr>
        <w:t>e raised by the applicant, namely</w:t>
      </w:r>
      <w:r w:rsidR="00D912AB">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agreement between the parties was illegal for want of compliance with the provisions of the Land Commission</w:t>
      </w:r>
      <w:r w:rsidR="00316606">
        <w:rPr>
          <w:rFonts w:ascii="Times New Roman" w:hAnsi="Times New Roman" w:cs="Times New Roman"/>
          <w:sz w:val="24"/>
          <w:szCs w:val="24"/>
          <w:lang w:val="en-US"/>
        </w:rPr>
        <w:t xml:space="preserve"> Act [</w:t>
      </w:r>
      <w:r w:rsidR="00316606" w:rsidRPr="00242668">
        <w:rPr>
          <w:rFonts w:ascii="Times New Roman" w:hAnsi="Times New Roman" w:cs="Times New Roman"/>
          <w:i/>
          <w:sz w:val="24"/>
          <w:szCs w:val="24"/>
          <w:lang w:val="en-US"/>
        </w:rPr>
        <w:t>Chapter 20:29</w:t>
      </w:r>
      <w:r w:rsidR="00316606">
        <w:rPr>
          <w:rFonts w:ascii="Times New Roman" w:hAnsi="Times New Roman" w:cs="Times New Roman"/>
          <w:sz w:val="24"/>
          <w:szCs w:val="24"/>
          <w:lang w:val="en-US"/>
        </w:rPr>
        <w:t>]</w:t>
      </w:r>
      <w:r w:rsidR="003E3A5C">
        <w:rPr>
          <w:rFonts w:ascii="Times New Roman" w:hAnsi="Times New Roman" w:cs="Times New Roman"/>
          <w:sz w:val="24"/>
          <w:szCs w:val="24"/>
          <w:lang w:val="en-US"/>
        </w:rPr>
        <w:t>.</w:t>
      </w:r>
    </w:p>
    <w:p w:rsidR="003E3A5C" w:rsidRDefault="003E3A5C" w:rsidP="003E3A5C">
      <w:pPr>
        <w:ind w:left="0"/>
        <w:rPr>
          <w:rFonts w:ascii="Times New Roman" w:hAnsi="Times New Roman" w:cs="Times New Roman"/>
          <w:sz w:val="24"/>
          <w:szCs w:val="24"/>
          <w:lang w:val="en-US"/>
        </w:rPr>
      </w:pPr>
    </w:p>
    <w:p w:rsidR="003E3A5C" w:rsidRDefault="003E3A5C" w:rsidP="00242F1C">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ground of appeal is closely linked to the first ground in that it criticizes the court </w:t>
      </w:r>
      <w:r w:rsidRPr="00EE744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s decision in giving effect to an illegal lease agreement. </w:t>
      </w:r>
    </w:p>
    <w:p w:rsidR="003E3A5C" w:rsidRDefault="003E3A5C" w:rsidP="006D51E7">
      <w:pPr>
        <w:ind w:left="0"/>
        <w:jc w:val="both"/>
        <w:rPr>
          <w:rFonts w:ascii="Times New Roman" w:hAnsi="Times New Roman" w:cs="Times New Roman"/>
          <w:sz w:val="24"/>
          <w:szCs w:val="24"/>
          <w:lang w:val="en-US"/>
        </w:rPr>
      </w:pPr>
    </w:p>
    <w:p w:rsidR="003E3A5C" w:rsidRDefault="003E3A5C" w:rsidP="00242F1C">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ground attacks the court </w:t>
      </w:r>
      <w:r w:rsidRPr="006645B4">
        <w:rPr>
          <w:rFonts w:ascii="Times New Roman" w:hAnsi="Times New Roman" w:cs="Times New Roman"/>
          <w:i/>
          <w:sz w:val="24"/>
          <w:szCs w:val="24"/>
          <w:lang w:val="en-US"/>
        </w:rPr>
        <w:t>a quo</w:t>
      </w:r>
      <w:r>
        <w:rPr>
          <w:rFonts w:ascii="Times New Roman" w:hAnsi="Times New Roman" w:cs="Times New Roman"/>
          <w:sz w:val="24"/>
          <w:szCs w:val="24"/>
          <w:lang w:val="en-US"/>
        </w:rPr>
        <w:t>’s finding to the effect that the applicant   had given its consent for the improvements to be ca</w:t>
      </w:r>
      <w:r w:rsidR="00242668">
        <w:rPr>
          <w:rFonts w:ascii="Times New Roman" w:hAnsi="Times New Roman" w:cs="Times New Roman"/>
          <w:sz w:val="24"/>
          <w:szCs w:val="24"/>
          <w:lang w:val="en-US"/>
        </w:rPr>
        <w:t>rried out yet the respondent had</w:t>
      </w:r>
      <w:r>
        <w:rPr>
          <w:rFonts w:ascii="Times New Roman" w:hAnsi="Times New Roman" w:cs="Times New Roman"/>
          <w:sz w:val="24"/>
          <w:szCs w:val="24"/>
          <w:lang w:val="en-US"/>
        </w:rPr>
        <w:t xml:space="preserve"> not led evidence showing how the consent was sought and granted. </w:t>
      </w:r>
    </w:p>
    <w:p w:rsidR="003E3A5C" w:rsidRDefault="003E3A5C" w:rsidP="006D51E7">
      <w:pPr>
        <w:ind w:left="0"/>
        <w:jc w:val="both"/>
        <w:rPr>
          <w:rFonts w:ascii="Times New Roman" w:hAnsi="Times New Roman" w:cs="Times New Roman"/>
          <w:sz w:val="24"/>
          <w:szCs w:val="24"/>
          <w:lang w:val="en-US"/>
        </w:rPr>
      </w:pPr>
    </w:p>
    <w:p w:rsidR="003E3A5C" w:rsidRDefault="003E3A5C" w:rsidP="00242F1C">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the fourth ground of appeal</w:t>
      </w:r>
      <w:r w:rsidR="00242668">
        <w:rPr>
          <w:rFonts w:ascii="Times New Roman" w:hAnsi="Times New Roman" w:cs="Times New Roman"/>
          <w:sz w:val="24"/>
          <w:szCs w:val="24"/>
          <w:lang w:val="en-US"/>
        </w:rPr>
        <w:t>,</w:t>
      </w:r>
      <w:r>
        <w:rPr>
          <w:rFonts w:ascii="Times New Roman" w:hAnsi="Times New Roman" w:cs="Times New Roman"/>
          <w:sz w:val="24"/>
          <w:szCs w:val="24"/>
          <w:lang w:val="en-US"/>
        </w:rPr>
        <w:t xml:space="preserve"> it is averred that the court </w:t>
      </w:r>
      <w:r w:rsidRPr="00EE744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deciding the matter witho</w:t>
      </w:r>
      <w:r w:rsidR="00242668">
        <w:rPr>
          <w:rFonts w:ascii="Times New Roman" w:hAnsi="Times New Roman" w:cs="Times New Roman"/>
          <w:sz w:val="24"/>
          <w:szCs w:val="24"/>
          <w:lang w:val="en-US"/>
        </w:rPr>
        <w:t>ut a valuation report when the d</w:t>
      </w:r>
      <w:r>
        <w:rPr>
          <w:rFonts w:ascii="Times New Roman" w:hAnsi="Times New Roman" w:cs="Times New Roman"/>
          <w:sz w:val="24"/>
          <w:szCs w:val="24"/>
          <w:lang w:val="en-US"/>
        </w:rPr>
        <w:t xml:space="preserve">eed of settlement provided that the </w:t>
      </w:r>
      <w:r w:rsidRPr="006645B4">
        <w:rPr>
          <w:rFonts w:ascii="Times New Roman" w:hAnsi="Times New Roman" w:cs="Times New Roman"/>
          <w:i/>
          <w:sz w:val="24"/>
          <w:szCs w:val="24"/>
          <w:lang w:val="en-US"/>
        </w:rPr>
        <w:t>quantum</w:t>
      </w:r>
      <w:r>
        <w:rPr>
          <w:rFonts w:ascii="Times New Roman" w:hAnsi="Times New Roman" w:cs="Times New Roman"/>
          <w:sz w:val="24"/>
          <w:szCs w:val="24"/>
          <w:lang w:val="en-US"/>
        </w:rPr>
        <w:t xml:space="preserve"> of improvements was to be determined by an agreed value</w:t>
      </w:r>
      <w:r w:rsidR="00F150D3">
        <w:rPr>
          <w:rFonts w:ascii="Times New Roman" w:hAnsi="Times New Roman" w:cs="Times New Roman"/>
          <w:sz w:val="24"/>
          <w:szCs w:val="24"/>
          <w:lang w:val="en-US"/>
        </w:rPr>
        <w:t>r</w:t>
      </w:r>
      <w:r>
        <w:rPr>
          <w:rFonts w:ascii="Times New Roman" w:hAnsi="Times New Roman" w:cs="Times New Roman"/>
          <w:sz w:val="24"/>
          <w:szCs w:val="24"/>
          <w:lang w:val="en-US"/>
        </w:rPr>
        <w:t xml:space="preserve"> whose decision would be final and binding on the parties.  </w:t>
      </w:r>
    </w:p>
    <w:p w:rsidR="003E3A5C" w:rsidRDefault="003E3A5C" w:rsidP="006D51E7">
      <w:pPr>
        <w:ind w:left="0"/>
        <w:jc w:val="both"/>
        <w:rPr>
          <w:rFonts w:ascii="Times New Roman" w:hAnsi="Times New Roman" w:cs="Times New Roman"/>
          <w:sz w:val="24"/>
          <w:szCs w:val="24"/>
          <w:lang w:val="en-US"/>
        </w:rPr>
      </w:pPr>
    </w:p>
    <w:p w:rsidR="003E3A5C" w:rsidRDefault="003E3A5C" w:rsidP="00242F1C">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the fifth ground of appeal </w:t>
      </w:r>
      <w:r w:rsidR="00F150D3">
        <w:rPr>
          <w:rFonts w:ascii="Times New Roman" w:hAnsi="Times New Roman" w:cs="Times New Roman"/>
          <w:sz w:val="24"/>
          <w:szCs w:val="24"/>
          <w:lang w:val="en-US"/>
        </w:rPr>
        <w:t xml:space="preserve">it is averred that </w:t>
      </w:r>
      <w:r>
        <w:rPr>
          <w:rFonts w:ascii="Times New Roman" w:hAnsi="Times New Roman" w:cs="Times New Roman"/>
          <w:sz w:val="24"/>
          <w:szCs w:val="24"/>
          <w:lang w:val="en-US"/>
        </w:rPr>
        <w:t xml:space="preserve">the court </w:t>
      </w:r>
      <w:r w:rsidRPr="006645B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failing to decide the residual costs of the improvements when the contract gave the responde</w:t>
      </w:r>
      <w:r w:rsidR="00DF3781">
        <w:rPr>
          <w:rFonts w:ascii="Times New Roman" w:hAnsi="Times New Roman" w:cs="Times New Roman"/>
          <w:sz w:val="24"/>
          <w:szCs w:val="24"/>
          <w:lang w:val="en-US"/>
        </w:rPr>
        <w:t>nt an entitlement to the residual</w:t>
      </w:r>
      <w:r>
        <w:rPr>
          <w:rFonts w:ascii="Times New Roman" w:hAnsi="Times New Roman" w:cs="Times New Roman"/>
          <w:sz w:val="24"/>
          <w:szCs w:val="24"/>
          <w:lang w:val="en-US"/>
        </w:rPr>
        <w:t xml:space="preserve"> cost</w:t>
      </w:r>
      <w:r w:rsidR="003D5E9C">
        <w:rPr>
          <w:rFonts w:ascii="Times New Roman" w:hAnsi="Times New Roman" w:cs="Times New Roman"/>
          <w:sz w:val="24"/>
          <w:szCs w:val="24"/>
          <w:lang w:val="en-US"/>
        </w:rPr>
        <w:t>s</w:t>
      </w:r>
      <w:r>
        <w:rPr>
          <w:rFonts w:ascii="Times New Roman" w:hAnsi="Times New Roman" w:cs="Times New Roman"/>
          <w:sz w:val="24"/>
          <w:szCs w:val="24"/>
          <w:lang w:val="en-US"/>
        </w:rPr>
        <w:t xml:space="preserve"> and not just the cost of the improvement</w:t>
      </w:r>
      <w:r w:rsidR="00D507FE">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p>
    <w:p w:rsidR="003E3A5C" w:rsidRDefault="003E3A5C" w:rsidP="006D51E7">
      <w:pPr>
        <w:ind w:left="0"/>
        <w:jc w:val="both"/>
        <w:rPr>
          <w:rFonts w:ascii="Times New Roman" w:hAnsi="Times New Roman" w:cs="Times New Roman"/>
          <w:sz w:val="24"/>
          <w:szCs w:val="24"/>
          <w:lang w:val="en-US"/>
        </w:rPr>
      </w:pPr>
    </w:p>
    <w:p w:rsidR="003E3A5C" w:rsidRDefault="003E3A5C" w:rsidP="00242F1C">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sixth ground of appeal is similar to the fourth ground of appeal as the applicant contends that the court </w:t>
      </w:r>
      <w:r w:rsidRPr="006645B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have access to a valuation report nor did the respondent adduce any evidence in support of its claims. </w:t>
      </w:r>
    </w:p>
    <w:p w:rsidR="00D9565A" w:rsidRDefault="00D9565A" w:rsidP="00D9565A">
      <w:pPr>
        <w:ind w:left="0" w:firstLine="1440"/>
        <w:jc w:val="both"/>
        <w:rPr>
          <w:rFonts w:ascii="Times New Roman" w:hAnsi="Times New Roman" w:cs="Times New Roman"/>
          <w:sz w:val="24"/>
          <w:szCs w:val="24"/>
          <w:lang w:val="en-US"/>
        </w:rPr>
      </w:pPr>
    </w:p>
    <w:p w:rsidR="003E3A5C" w:rsidRDefault="003E3A5C" w:rsidP="00D9565A">
      <w:pPr>
        <w:spacing w:line="480" w:lineRule="auto"/>
        <w:ind w:left="0" w:firstLine="1440"/>
        <w:rPr>
          <w:rFonts w:ascii="Times New Roman" w:hAnsi="Times New Roman" w:cs="Times New Roman"/>
          <w:sz w:val="24"/>
          <w:szCs w:val="24"/>
          <w:lang w:val="en-US"/>
        </w:rPr>
      </w:pPr>
      <w:r>
        <w:rPr>
          <w:rFonts w:ascii="Times New Roman" w:hAnsi="Times New Roman" w:cs="Times New Roman"/>
          <w:sz w:val="24"/>
          <w:szCs w:val="24"/>
          <w:lang w:val="en-US"/>
        </w:rPr>
        <w:t>In the seventh ground of appeal</w:t>
      </w:r>
      <w:r w:rsidR="00F6066F">
        <w:rPr>
          <w:rFonts w:ascii="Times New Roman" w:hAnsi="Times New Roman" w:cs="Times New Roman"/>
          <w:sz w:val="24"/>
          <w:szCs w:val="24"/>
          <w:lang w:val="en-US"/>
        </w:rPr>
        <w:t>,</w:t>
      </w:r>
      <w:r>
        <w:rPr>
          <w:rFonts w:ascii="Times New Roman" w:hAnsi="Times New Roman" w:cs="Times New Roman"/>
          <w:sz w:val="24"/>
          <w:szCs w:val="24"/>
          <w:lang w:val="en-US"/>
        </w:rPr>
        <w:t xml:space="preserve"> it is alleged that the court </w:t>
      </w:r>
      <w:r w:rsidRPr="006645B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imposing the onus to disprove the respondent’s claims on the applicant when the respondent had in the first place</w:t>
      </w:r>
      <w:r w:rsidR="00F6066F">
        <w:rPr>
          <w:rFonts w:ascii="Times New Roman" w:hAnsi="Times New Roman" w:cs="Times New Roman"/>
          <w:sz w:val="24"/>
          <w:szCs w:val="24"/>
          <w:lang w:val="en-US"/>
        </w:rPr>
        <w:t>,</w:t>
      </w:r>
      <w:r>
        <w:rPr>
          <w:rFonts w:ascii="Times New Roman" w:hAnsi="Times New Roman" w:cs="Times New Roman"/>
          <w:sz w:val="24"/>
          <w:szCs w:val="24"/>
          <w:lang w:val="en-US"/>
        </w:rPr>
        <w:t xml:space="preserve"> failed to produce any evidence in support of its claims. </w:t>
      </w:r>
    </w:p>
    <w:p w:rsidR="003E3A5C" w:rsidRDefault="003E3A5C" w:rsidP="003E3A5C">
      <w:pPr>
        <w:ind w:left="0"/>
        <w:rPr>
          <w:rFonts w:ascii="Times New Roman" w:hAnsi="Times New Roman" w:cs="Times New Roman"/>
          <w:sz w:val="24"/>
          <w:szCs w:val="24"/>
          <w:lang w:val="en-US"/>
        </w:rPr>
      </w:pPr>
    </w:p>
    <w:p w:rsidR="003E3A5C" w:rsidRDefault="007D0F81" w:rsidP="00D9565A">
      <w:pPr>
        <w:spacing w:line="480" w:lineRule="auto"/>
        <w:ind w:left="0" w:firstLine="1440"/>
        <w:rPr>
          <w:rFonts w:ascii="Times New Roman" w:hAnsi="Times New Roman" w:cs="Times New Roman"/>
          <w:sz w:val="24"/>
          <w:szCs w:val="24"/>
          <w:lang w:val="en-US"/>
        </w:rPr>
      </w:pPr>
      <w:r>
        <w:rPr>
          <w:rFonts w:ascii="Times New Roman" w:hAnsi="Times New Roman" w:cs="Times New Roman"/>
          <w:sz w:val="24"/>
          <w:szCs w:val="24"/>
          <w:lang w:val="en-US"/>
        </w:rPr>
        <w:t xml:space="preserve">In the eighth ground of appeal, </w:t>
      </w:r>
      <w:r w:rsidR="003E3A5C">
        <w:rPr>
          <w:rFonts w:ascii="Times New Roman" w:hAnsi="Times New Roman" w:cs="Times New Roman"/>
          <w:sz w:val="24"/>
          <w:szCs w:val="24"/>
          <w:lang w:val="en-US"/>
        </w:rPr>
        <w:t xml:space="preserve">the applicant alleges that the court </w:t>
      </w:r>
      <w:r w:rsidR="003E3A5C" w:rsidRPr="006645B4">
        <w:rPr>
          <w:rFonts w:ascii="Times New Roman" w:hAnsi="Times New Roman" w:cs="Times New Roman"/>
          <w:i/>
          <w:sz w:val="24"/>
          <w:szCs w:val="24"/>
          <w:lang w:val="en-US"/>
        </w:rPr>
        <w:t>a quo</w:t>
      </w:r>
      <w:r w:rsidR="003E3A5C">
        <w:rPr>
          <w:rFonts w:ascii="Times New Roman" w:hAnsi="Times New Roman" w:cs="Times New Roman"/>
          <w:sz w:val="24"/>
          <w:szCs w:val="24"/>
          <w:lang w:val="en-US"/>
        </w:rPr>
        <w:t xml:space="preserve"> erred in that having found that bush clearance was an operational cost, it went on to grant the claim of US$ 150 000-00 when the agreement between the parties did not impose on the applicant liability for operational costs. </w:t>
      </w:r>
    </w:p>
    <w:p w:rsidR="003E3A5C" w:rsidRDefault="003E3A5C" w:rsidP="003E3A5C">
      <w:pPr>
        <w:ind w:left="0"/>
        <w:rPr>
          <w:rFonts w:ascii="Times New Roman" w:hAnsi="Times New Roman" w:cs="Times New Roman"/>
          <w:sz w:val="24"/>
          <w:szCs w:val="24"/>
          <w:lang w:val="en-US"/>
        </w:rPr>
      </w:pPr>
    </w:p>
    <w:p w:rsidR="003E3A5C" w:rsidRDefault="003E3A5C" w:rsidP="00D9565A">
      <w:pPr>
        <w:spacing w:line="480" w:lineRule="auto"/>
        <w:ind w:left="0" w:firstLine="1440"/>
        <w:rPr>
          <w:rFonts w:ascii="Times New Roman" w:hAnsi="Times New Roman" w:cs="Times New Roman"/>
          <w:sz w:val="24"/>
          <w:szCs w:val="24"/>
          <w:lang w:val="en-US"/>
        </w:rPr>
      </w:pPr>
      <w:r>
        <w:rPr>
          <w:rFonts w:ascii="Times New Roman" w:hAnsi="Times New Roman" w:cs="Times New Roman"/>
          <w:sz w:val="24"/>
          <w:szCs w:val="24"/>
          <w:lang w:val="en-US"/>
        </w:rPr>
        <w:t xml:space="preserve">The ninth and last ground of appeal criticizes the court </w:t>
      </w:r>
      <w:r w:rsidRPr="006645B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for failure to give any intelligible reasons for the amounts it ordered the applicant to pay. </w:t>
      </w:r>
    </w:p>
    <w:p w:rsidR="003E3A5C" w:rsidRDefault="003E3A5C" w:rsidP="003E3A5C">
      <w:pPr>
        <w:ind w:left="0"/>
        <w:rPr>
          <w:rFonts w:ascii="Times New Roman" w:hAnsi="Times New Roman" w:cs="Times New Roman"/>
          <w:sz w:val="24"/>
          <w:szCs w:val="24"/>
          <w:lang w:val="en-US"/>
        </w:rPr>
      </w:pPr>
    </w:p>
    <w:p w:rsidR="003E3A5C" w:rsidRDefault="003E3A5C" w:rsidP="00D9565A">
      <w:pPr>
        <w:spacing w:line="480" w:lineRule="auto"/>
        <w:ind w:left="0" w:firstLine="1440"/>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prays for the following relief in the intended appeal: </w:t>
      </w:r>
    </w:p>
    <w:p w:rsidR="003E3A5C" w:rsidRDefault="003E3A5C" w:rsidP="00D9565A">
      <w:pPr>
        <w:rPr>
          <w:rFonts w:ascii="Times New Roman" w:hAnsi="Times New Roman" w:cs="Times New Roman"/>
          <w:sz w:val="24"/>
          <w:szCs w:val="24"/>
          <w:lang w:val="en-US"/>
        </w:rPr>
      </w:pPr>
      <w:r>
        <w:rPr>
          <w:rFonts w:ascii="Times New Roman" w:hAnsi="Times New Roman" w:cs="Times New Roman"/>
          <w:sz w:val="24"/>
          <w:szCs w:val="24"/>
          <w:lang w:val="en-US"/>
        </w:rPr>
        <w:t xml:space="preserve">“(a) The appeal be and is hereby allowed with costs. </w:t>
      </w:r>
    </w:p>
    <w:p w:rsidR="00D9565A" w:rsidRDefault="00D9565A" w:rsidP="00D9565A">
      <w:pPr>
        <w:ind w:left="0"/>
        <w:rPr>
          <w:rFonts w:ascii="Times New Roman" w:hAnsi="Times New Roman" w:cs="Times New Roman"/>
          <w:sz w:val="24"/>
          <w:szCs w:val="24"/>
          <w:lang w:val="en-US"/>
        </w:rPr>
      </w:pPr>
    </w:p>
    <w:p w:rsidR="00CA5C32" w:rsidRDefault="00D9565A" w:rsidP="00D9565A">
      <w:pPr>
        <w:ind w:left="1560" w:hanging="8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3A5C">
        <w:rPr>
          <w:rFonts w:ascii="Times New Roman" w:hAnsi="Times New Roman" w:cs="Times New Roman"/>
          <w:sz w:val="24"/>
          <w:szCs w:val="24"/>
          <w:lang w:val="en-US"/>
        </w:rPr>
        <w:t xml:space="preserve">(b) Paragraphs 1 and 2 of the operative part of the </w:t>
      </w:r>
      <w:r w:rsidR="00891E3B">
        <w:rPr>
          <w:rFonts w:ascii="Times New Roman" w:hAnsi="Times New Roman" w:cs="Times New Roman"/>
          <w:sz w:val="24"/>
          <w:szCs w:val="24"/>
          <w:lang w:val="en-US"/>
        </w:rPr>
        <w:t>judgment</w:t>
      </w:r>
      <w:r w:rsidR="003E3A5C">
        <w:rPr>
          <w:rFonts w:ascii="Times New Roman" w:hAnsi="Times New Roman" w:cs="Times New Roman"/>
          <w:sz w:val="24"/>
          <w:szCs w:val="24"/>
          <w:lang w:val="en-US"/>
        </w:rPr>
        <w:t xml:space="preserve"> of the court </w:t>
      </w:r>
      <w:r w:rsidR="003E3A5C" w:rsidRPr="00FC3908">
        <w:rPr>
          <w:rFonts w:ascii="Times New Roman" w:hAnsi="Times New Roman" w:cs="Times New Roman"/>
          <w:i/>
          <w:sz w:val="24"/>
          <w:szCs w:val="24"/>
          <w:lang w:val="en-US"/>
        </w:rPr>
        <w:t>a quo</w:t>
      </w:r>
      <w:r w:rsidR="00CA5C32">
        <w:rPr>
          <w:rFonts w:ascii="Times New Roman" w:hAnsi="Times New Roman" w:cs="Times New Roman"/>
          <w:sz w:val="24"/>
          <w:szCs w:val="24"/>
          <w:lang w:val="en-US"/>
        </w:rPr>
        <w:t xml:space="preserve">   </w:t>
      </w:r>
    </w:p>
    <w:p w:rsidR="003E3A5C" w:rsidRDefault="00D9565A" w:rsidP="00D9565A">
      <w:pPr>
        <w:rPr>
          <w:rFonts w:ascii="Times New Roman" w:hAnsi="Times New Roman" w:cs="Times New Roman"/>
          <w:sz w:val="24"/>
          <w:szCs w:val="24"/>
          <w:lang w:val="en-US"/>
        </w:rPr>
      </w:pPr>
      <w:r>
        <w:rPr>
          <w:rFonts w:ascii="Times New Roman" w:hAnsi="Times New Roman" w:cs="Times New Roman"/>
          <w:sz w:val="24"/>
          <w:szCs w:val="24"/>
          <w:lang w:val="en-US"/>
        </w:rPr>
        <w:t xml:space="preserve">        be set </w:t>
      </w:r>
      <w:r w:rsidR="003E3A5C">
        <w:rPr>
          <w:rFonts w:ascii="Times New Roman" w:hAnsi="Times New Roman" w:cs="Times New Roman"/>
          <w:sz w:val="24"/>
          <w:szCs w:val="24"/>
          <w:lang w:val="en-US"/>
        </w:rPr>
        <w:t xml:space="preserve">aside and substituted with the following: </w:t>
      </w:r>
    </w:p>
    <w:p w:rsidR="009A74B9" w:rsidRDefault="009A74B9" w:rsidP="009A74B9">
      <w:pPr>
        <w:ind w:left="1560" w:hanging="284"/>
        <w:rPr>
          <w:rFonts w:ascii="Times New Roman" w:hAnsi="Times New Roman" w:cs="Times New Roman"/>
          <w:sz w:val="24"/>
          <w:szCs w:val="24"/>
          <w:lang w:val="en-US"/>
        </w:rPr>
      </w:pPr>
    </w:p>
    <w:p w:rsidR="003E3A5C" w:rsidRDefault="008D3597" w:rsidP="003E3A5C">
      <w:pPr>
        <w:ind w:firstLine="1134"/>
        <w:rPr>
          <w:rFonts w:ascii="Times New Roman" w:hAnsi="Times New Roman" w:cs="Times New Roman"/>
          <w:sz w:val="24"/>
          <w:szCs w:val="24"/>
          <w:lang w:val="en-US"/>
        </w:rPr>
      </w:pPr>
      <w:r>
        <w:rPr>
          <w:rFonts w:ascii="Times New Roman" w:hAnsi="Times New Roman" w:cs="Times New Roman"/>
          <w:sz w:val="24"/>
          <w:szCs w:val="24"/>
          <w:lang w:val="en-US"/>
        </w:rPr>
        <w:t>(</w:t>
      </w:r>
      <w:r w:rsidR="003E3A5C">
        <w:rPr>
          <w:rFonts w:ascii="Times New Roman" w:hAnsi="Times New Roman" w:cs="Times New Roman"/>
          <w:sz w:val="24"/>
          <w:szCs w:val="24"/>
          <w:lang w:val="en-US"/>
        </w:rPr>
        <w:t>1</w:t>
      </w:r>
      <w:r>
        <w:rPr>
          <w:rFonts w:ascii="Times New Roman" w:hAnsi="Times New Roman" w:cs="Times New Roman"/>
          <w:sz w:val="24"/>
          <w:szCs w:val="24"/>
          <w:lang w:val="en-US"/>
        </w:rPr>
        <w:t>)</w:t>
      </w:r>
      <w:r w:rsidR="003E3A5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plaintiff’s claim against the d</w:t>
      </w:r>
      <w:r w:rsidR="003E3A5C">
        <w:rPr>
          <w:rFonts w:ascii="Times New Roman" w:hAnsi="Times New Roman" w:cs="Times New Roman"/>
          <w:sz w:val="24"/>
          <w:szCs w:val="24"/>
          <w:lang w:val="en-US"/>
        </w:rPr>
        <w:t>efendant is dismissed with costs.”</w:t>
      </w:r>
    </w:p>
    <w:p w:rsidR="003E3A5C" w:rsidRDefault="003E3A5C" w:rsidP="003E3A5C">
      <w:pPr>
        <w:ind w:firstLine="1134"/>
        <w:rPr>
          <w:rFonts w:ascii="Times New Roman" w:hAnsi="Times New Roman" w:cs="Times New Roman"/>
          <w:sz w:val="24"/>
          <w:szCs w:val="24"/>
          <w:lang w:val="en-US"/>
        </w:rPr>
      </w:pPr>
    </w:p>
    <w:p w:rsidR="003E3A5C" w:rsidRDefault="003E3A5C" w:rsidP="003E3A5C">
      <w:pPr>
        <w:ind w:left="0"/>
        <w:rPr>
          <w:rFonts w:ascii="Times New Roman" w:hAnsi="Times New Roman" w:cs="Times New Roman"/>
          <w:sz w:val="24"/>
          <w:szCs w:val="24"/>
          <w:lang w:val="en-US"/>
        </w:rPr>
      </w:pPr>
    </w:p>
    <w:p w:rsidR="003E3A5C" w:rsidRDefault="003E3A5C" w:rsidP="006D388A">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t>
      </w:r>
      <w:r w:rsidR="00AE04CE">
        <w:rPr>
          <w:rFonts w:ascii="Times New Roman" w:hAnsi="Times New Roman" w:cs="Times New Roman"/>
          <w:sz w:val="24"/>
          <w:szCs w:val="24"/>
          <w:lang w:val="en-US"/>
        </w:rPr>
        <w:t>contends</w:t>
      </w:r>
      <w:r>
        <w:rPr>
          <w:rFonts w:ascii="Times New Roman" w:hAnsi="Times New Roman" w:cs="Times New Roman"/>
          <w:sz w:val="24"/>
          <w:szCs w:val="24"/>
          <w:lang w:val="en-US"/>
        </w:rPr>
        <w:t xml:space="preserve"> that the above grounds of appeal have prospects of success.  It avers that the court </w:t>
      </w:r>
      <w:r w:rsidRPr="00FC390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failed to determine the issue of illegality of the agreement raised by the applicant in its plea and in its closing submissions. I agree with the applicant that in its judgment, the court </w:t>
      </w:r>
      <w:r w:rsidRPr="00FC3908">
        <w:rPr>
          <w:rFonts w:ascii="Times New Roman" w:hAnsi="Times New Roman" w:cs="Times New Roman"/>
          <w:i/>
          <w:sz w:val="24"/>
          <w:szCs w:val="24"/>
          <w:lang w:val="en-US"/>
        </w:rPr>
        <w:t>a quo</w:t>
      </w:r>
      <w:r w:rsidR="00844655">
        <w:rPr>
          <w:rFonts w:ascii="Times New Roman" w:hAnsi="Times New Roman" w:cs="Times New Roman"/>
          <w:sz w:val="24"/>
          <w:szCs w:val="24"/>
          <w:lang w:val="en-US"/>
        </w:rPr>
        <w:t xml:space="preserve"> did not address that</w:t>
      </w:r>
      <w:r>
        <w:rPr>
          <w:rFonts w:ascii="Times New Roman" w:hAnsi="Times New Roman" w:cs="Times New Roman"/>
          <w:sz w:val="24"/>
          <w:szCs w:val="24"/>
          <w:lang w:val="en-US"/>
        </w:rPr>
        <w:t xml:space="preserve"> issue.  The first ground of appeal has merit.  The appeal court is likely to find in favor of the applicant on that point. </w:t>
      </w:r>
    </w:p>
    <w:p w:rsidR="003E3A5C" w:rsidRDefault="003E3A5C" w:rsidP="006D51E7">
      <w:pPr>
        <w:ind w:left="0"/>
        <w:rPr>
          <w:rFonts w:ascii="Times New Roman" w:hAnsi="Times New Roman" w:cs="Times New Roman"/>
          <w:sz w:val="24"/>
          <w:szCs w:val="24"/>
          <w:lang w:val="en-US"/>
        </w:rPr>
      </w:pPr>
    </w:p>
    <w:p w:rsidR="003E3A5C" w:rsidRDefault="003E3A5C" w:rsidP="006D388A">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Further, the court </w:t>
      </w:r>
      <w:r w:rsidRPr="00FC390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appeared to have placed the onus of providing the evaluation report on the applicant contrary to</w:t>
      </w:r>
      <w:r w:rsidR="00844655">
        <w:rPr>
          <w:rFonts w:ascii="Times New Roman" w:hAnsi="Times New Roman" w:cs="Times New Roman"/>
          <w:sz w:val="24"/>
          <w:szCs w:val="24"/>
          <w:lang w:val="en-US"/>
        </w:rPr>
        <w:t xml:space="preserve"> the provisions of the Deed of S</w:t>
      </w:r>
      <w:r>
        <w:rPr>
          <w:rFonts w:ascii="Times New Roman" w:hAnsi="Times New Roman" w:cs="Times New Roman"/>
          <w:sz w:val="24"/>
          <w:szCs w:val="24"/>
          <w:lang w:val="en-US"/>
        </w:rPr>
        <w:t xml:space="preserve">ettlement which required the respondent, </w:t>
      </w:r>
      <w:r w:rsidRPr="00FC3908">
        <w:rPr>
          <w:rFonts w:ascii="Times New Roman" w:hAnsi="Times New Roman" w:cs="Times New Roman"/>
          <w:i/>
          <w:sz w:val="24"/>
          <w:szCs w:val="24"/>
          <w:lang w:val="en-US"/>
        </w:rPr>
        <w:t>inter alia</w:t>
      </w:r>
      <w:r>
        <w:rPr>
          <w:rFonts w:ascii="Times New Roman" w:hAnsi="Times New Roman" w:cs="Times New Roman"/>
          <w:sz w:val="24"/>
          <w:szCs w:val="24"/>
          <w:lang w:val="en-US"/>
        </w:rPr>
        <w:t>, to provide evidence that a registered value</w:t>
      </w:r>
      <w:r w:rsidR="00844655">
        <w:rPr>
          <w:rFonts w:ascii="Times New Roman" w:hAnsi="Times New Roman" w:cs="Times New Roman"/>
          <w:sz w:val="24"/>
          <w:szCs w:val="24"/>
          <w:lang w:val="en-US"/>
        </w:rPr>
        <w:t>r</w:t>
      </w:r>
      <w:r>
        <w:rPr>
          <w:rFonts w:ascii="Times New Roman" w:hAnsi="Times New Roman" w:cs="Times New Roman"/>
          <w:sz w:val="24"/>
          <w:szCs w:val="24"/>
          <w:lang w:val="en-US"/>
        </w:rPr>
        <w:t xml:space="preserve"> had been engaged.  An appeal court is likely to rule in favour of the applicant in this regard. </w:t>
      </w:r>
    </w:p>
    <w:p w:rsidR="00B02897" w:rsidRDefault="00B02897" w:rsidP="00DE1C01">
      <w:pPr>
        <w:ind w:left="0" w:firstLine="1440"/>
        <w:jc w:val="both"/>
        <w:rPr>
          <w:rFonts w:ascii="Times New Roman" w:hAnsi="Times New Roman" w:cs="Times New Roman"/>
          <w:sz w:val="24"/>
          <w:szCs w:val="24"/>
          <w:lang w:val="en-US"/>
        </w:rPr>
      </w:pPr>
    </w:p>
    <w:p w:rsidR="003E3A5C" w:rsidRDefault="003E3A5C" w:rsidP="006D388A">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the respondent asserts that the improvements were approved by the applicant, there was no proof in writing of such approvals.  It is unlikely that approvals for such large sums </w:t>
      </w:r>
      <w:r w:rsidR="001B3CA2">
        <w:rPr>
          <w:rFonts w:ascii="Times New Roman" w:hAnsi="Times New Roman" w:cs="Times New Roman"/>
          <w:sz w:val="24"/>
          <w:szCs w:val="24"/>
          <w:lang w:val="en-US"/>
        </w:rPr>
        <w:t>of money would be in the for</w:t>
      </w:r>
      <w:r>
        <w:rPr>
          <w:rFonts w:ascii="Times New Roman" w:hAnsi="Times New Roman" w:cs="Times New Roman"/>
          <w:sz w:val="24"/>
          <w:szCs w:val="24"/>
          <w:lang w:val="en-US"/>
        </w:rPr>
        <w:t xml:space="preserve">m of verbal communications.  I agree with the applicant that the respondent’s claims, in the absence of an evaluation report </w:t>
      </w:r>
      <w:r w:rsidR="00FC2444">
        <w:rPr>
          <w:rFonts w:ascii="Times New Roman" w:hAnsi="Times New Roman" w:cs="Times New Roman"/>
          <w:sz w:val="24"/>
          <w:szCs w:val="24"/>
          <w:lang w:val="en-US"/>
        </w:rPr>
        <w:t xml:space="preserve">and other supporting documents, </w:t>
      </w:r>
      <w:r w:rsidR="00EB73D8">
        <w:rPr>
          <w:rFonts w:ascii="Times New Roman" w:hAnsi="Times New Roman" w:cs="Times New Roman"/>
          <w:sz w:val="24"/>
          <w:szCs w:val="24"/>
          <w:lang w:val="en-US"/>
        </w:rPr>
        <w:t xml:space="preserve">do not appear to </w:t>
      </w:r>
      <w:r w:rsidR="00AC3449">
        <w:rPr>
          <w:rFonts w:ascii="Times New Roman" w:hAnsi="Times New Roman" w:cs="Times New Roman"/>
          <w:sz w:val="24"/>
          <w:szCs w:val="24"/>
          <w:lang w:val="en-US"/>
        </w:rPr>
        <w:t>have been</w:t>
      </w:r>
      <w:r>
        <w:rPr>
          <w:rFonts w:ascii="Times New Roman" w:hAnsi="Times New Roman" w:cs="Times New Roman"/>
          <w:sz w:val="24"/>
          <w:szCs w:val="24"/>
          <w:lang w:val="en-US"/>
        </w:rPr>
        <w:t xml:space="preserve"> substantially proved.  An appeal court is likely to hold that the respondent failed to prove the </w:t>
      </w:r>
      <w:r w:rsidRPr="00FC3908">
        <w:rPr>
          <w:rFonts w:ascii="Times New Roman" w:hAnsi="Times New Roman" w:cs="Times New Roman"/>
          <w:i/>
          <w:sz w:val="24"/>
          <w:szCs w:val="24"/>
          <w:lang w:val="en-US"/>
        </w:rPr>
        <w:t>quantum</w:t>
      </w:r>
      <w:r>
        <w:rPr>
          <w:rFonts w:ascii="Times New Roman" w:hAnsi="Times New Roman" w:cs="Times New Roman"/>
          <w:sz w:val="24"/>
          <w:szCs w:val="24"/>
          <w:lang w:val="en-US"/>
        </w:rPr>
        <w:t xml:space="preserve"> of its damages.  Indeed</w:t>
      </w:r>
      <w:r w:rsidR="00F23A2C">
        <w:rPr>
          <w:rFonts w:ascii="Times New Roman" w:hAnsi="Times New Roman" w:cs="Times New Roman"/>
          <w:sz w:val="24"/>
          <w:szCs w:val="24"/>
          <w:lang w:val="en-US"/>
        </w:rPr>
        <w:t>,</w:t>
      </w:r>
      <w:r>
        <w:rPr>
          <w:rFonts w:ascii="Times New Roman" w:hAnsi="Times New Roman" w:cs="Times New Roman"/>
          <w:sz w:val="24"/>
          <w:szCs w:val="24"/>
          <w:lang w:val="en-US"/>
        </w:rPr>
        <w:t xml:space="preserve"> in many respects</w:t>
      </w:r>
      <w:r w:rsidR="00F23A2C">
        <w:rPr>
          <w:rFonts w:ascii="Times New Roman" w:hAnsi="Times New Roman" w:cs="Times New Roman"/>
          <w:sz w:val="24"/>
          <w:szCs w:val="24"/>
          <w:lang w:val="en-US"/>
        </w:rPr>
        <w:t>,</w:t>
      </w:r>
      <w:r>
        <w:rPr>
          <w:rFonts w:ascii="Times New Roman" w:hAnsi="Times New Roman" w:cs="Times New Roman"/>
          <w:sz w:val="24"/>
          <w:szCs w:val="24"/>
          <w:lang w:val="en-US"/>
        </w:rPr>
        <w:t xml:space="preserve"> the respondent failed to provid</w:t>
      </w:r>
      <w:r w:rsidR="00F23A2C">
        <w:rPr>
          <w:rFonts w:ascii="Times New Roman" w:hAnsi="Times New Roman" w:cs="Times New Roman"/>
          <w:sz w:val="24"/>
          <w:szCs w:val="24"/>
          <w:lang w:val="en-US"/>
        </w:rPr>
        <w:t>e relevant invoices, receipts or</w:t>
      </w:r>
      <w:r>
        <w:rPr>
          <w:rFonts w:ascii="Times New Roman" w:hAnsi="Times New Roman" w:cs="Times New Roman"/>
          <w:sz w:val="24"/>
          <w:szCs w:val="24"/>
          <w:lang w:val="en-US"/>
        </w:rPr>
        <w:t xml:space="preserve"> payment voucher in support of its claims. </w:t>
      </w:r>
    </w:p>
    <w:p w:rsidR="003E3A5C" w:rsidRDefault="003E3A5C" w:rsidP="006D51E7">
      <w:pPr>
        <w:ind w:left="0"/>
        <w:rPr>
          <w:rFonts w:ascii="Times New Roman" w:hAnsi="Times New Roman" w:cs="Times New Roman"/>
          <w:sz w:val="24"/>
          <w:szCs w:val="24"/>
          <w:lang w:val="en-US"/>
        </w:rPr>
      </w:pPr>
    </w:p>
    <w:p w:rsidR="003E3A5C" w:rsidRDefault="003E3A5C" w:rsidP="006D388A">
      <w:pPr>
        <w:spacing w:line="480" w:lineRule="auto"/>
        <w:ind w:left="0" w:firstLine="1440"/>
        <w:rPr>
          <w:rFonts w:ascii="Times New Roman" w:hAnsi="Times New Roman" w:cs="Times New Roman"/>
          <w:sz w:val="24"/>
          <w:szCs w:val="24"/>
          <w:lang w:val="en-US"/>
        </w:rPr>
      </w:pPr>
      <w:r>
        <w:rPr>
          <w:rFonts w:ascii="Times New Roman" w:hAnsi="Times New Roman" w:cs="Times New Roman"/>
          <w:sz w:val="24"/>
          <w:szCs w:val="24"/>
          <w:lang w:val="en-US"/>
        </w:rPr>
        <w:t xml:space="preserve">I agree with the respondent that the grounds of appeal are repetitive and multiple in number.  However, some of the grounds are valid and concise.  An appeal court is likely to strike out the offending grounds but proceed to determine the appeal on the basis of the remaining grounds of appeal. </w:t>
      </w:r>
    </w:p>
    <w:p w:rsidR="003E3A5C" w:rsidRDefault="003E3A5C" w:rsidP="00DB5BC9">
      <w:pPr>
        <w:ind w:left="0"/>
        <w:rPr>
          <w:rFonts w:ascii="Times New Roman" w:hAnsi="Times New Roman" w:cs="Times New Roman"/>
          <w:sz w:val="24"/>
          <w:szCs w:val="24"/>
          <w:lang w:val="en-US"/>
        </w:rPr>
      </w:pPr>
    </w:p>
    <w:p w:rsidR="003E3A5C" w:rsidRPr="003E3A5C" w:rsidRDefault="003E3A5C" w:rsidP="003E3A5C">
      <w:pPr>
        <w:spacing w:line="480" w:lineRule="auto"/>
        <w:ind w:left="0"/>
        <w:rPr>
          <w:rFonts w:ascii="Times New Roman" w:hAnsi="Times New Roman" w:cs="Times New Roman"/>
          <w:sz w:val="24"/>
          <w:szCs w:val="24"/>
          <w:lang w:val="en-US"/>
        </w:rPr>
      </w:pPr>
      <w:r w:rsidRPr="00586FF9">
        <w:rPr>
          <w:rFonts w:ascii="Times New Roman" w:hAnsi="Times New Roman" w:cs="Times New Roman"/>
          <w:b/>
          <w:sz w:val="24"/>
          <w:szCs w:val="24"/>
          <w:u w:val="single"/>
          <w:lang w:val="en-US"/>
        </w:rPr>
        <w:t xml:space="preserve">DISPOSITION </w:t>
      </w:r>
    </w:p>
    <w:p w:rsidR="003E3A5C" w:rsidRDefault="003E3A5C" w:rsidP="006D388A">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Although the delay in complying with the infringed rule is not inordinate, the explanation for such delay is not plausible.  However, I am of the view that the intended ap</w:t>
      </w:r>
      <w:r w:rsidR="006D388A">
        <w:rPr>
          <w:rFonts w:ascii="Times New Roman" w:hAnsi="Times New Roman" w:cs="Times New Roman"/>
          <w:sz w:val="24"/>
          <w:szCs w:val="24"/>
          <w:lang w:val="en-US"/>
        </w:rPr>
        <w:t>peal has</w:t>
      </w:r>
      <w:r w:rsidR="00A65D50">
        <w:rPr>
          <w:rFonts w:ascii="Times New Roman" w:hAnsi="Times New Roman" w:cs="Times New Roman"/>
          <w:sz w:val="24"/>
          <w:szCs w:val="24"/>
          <w:lang w:val="en-US"/>
        </w:rPr>
        <w:t xml:space="preserve"> reasonable </w:t>
      </w:r>
      <w:r w:rsidR="006D388A">
        <w:rPr>
          <w:rFonts w:ascii="Times New Roman" w:hAnsi="Times New Roman" w:cs="Times New Roman"/>
          <w:sz w:val="24"/>
          <w:szCs w:val="24"/>
          <w:lang w:val="en-US"/>
        </w:rPr>
        <w:t xml:space="preserve">prospects of success.  </w:t>
      </w:r>
      <w:r w:rsidR="009B0EEC">
        <w:rPr>
          <w:rFonts w:ascii="Times New Roman" w:hAnsi="Times New Roman" w:cs="Times New Roman"/>
          <w:sz w:val="24"/>
          <w:szCs w:val="24"/>
          <w:lang w:val="en-US"/>
        </w:rPr>
        <w:t>It is f</w:t>
      </w:r>
      <w:r>
        <w:rPr>
          <w:rFonts w:ascii="Times New Roman" w:hAnsi="Times New Roman" w:cs="Times New Roman"/>
          <w:sz w:val="24"/>
          <w:szCs w:val="24"/>
          <w:lang w:val="en-US"/>
        </w:rPr>
        <w:t xml:space="preserve">or that reason </w:t>
      </w:r>
      <w:r w:rsidR="009B0EEC">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application must succeed.  </w:t>
      </w:r>
    </w:p>
    <w:p w:rsidR="003E3A5C" w:rsidRDefault="003E3A5C" w:rsidP="006D51E7">
      <w:pPr>
        <w:tabs>
          <w:tab w:val="left" w:pos="567"/>
        </w:tabs>
        <w:ind w:left="0"/>
        <w:rPr>
          <w:rFonts w:ascii="Times New Roman" w:hAnsi="Times New Roman" w:cs="Times New Roman"/>
          <w:sz w:val="24"/>
          <w:szCs w:val="24"/>
          <w:lang w:val="en-US"/>
        </w:rPr>
      </w:pPr>
    </w:p>
    <w:p w:rsidR="003E3A5C" w:rsidRDefault="003E3A5C" w:rsidP="006D388A">
      <w:pPr>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it is ordered as follows: </w:t>
      </w:r>
    </w:p>
    <w:p w:rsidR="003E3A5C" w:rsidRDefault="003E3A5C" w:rsidP="008F3A60">
      <w:pPr>
        <w:pStyle w:val="ListParagraph"/>
        <w:numPr>
          <w:ilvl w:val="0"/>
          <w:numId w:val="5"/>
        </w:numPr>
        <w:tabs>
          <w:tab w:val="left" w:pos="1170"/>
        </w:tabs>
        <w:spacing w:after="160"/>
        <w:ind w:left="1170" w:hanging="450"/>
        <w:jc w:val="both"/>
        <w:rPr>
          <w:rFonts w:ascii="Times New Roman" w:hAnsi="Times New Roman" w:cs="Times New Roman"/>
          <w:sz w:val="24"/>
          <w:szCs w:val="24"/>
          <w:lang w:val="en-US"/>
        </w:rPr>
      </w:pPr>
      <w:r w:rsidRPr="008F3A60">
        <w:rPr>
          <w:rFonts w:ascii="Times New Roman" w:hAnsi="Times New Roman" w:cs="Times New Roman"/>
          <w:sz w:val="24"/>
          <w:szCs w:val="24"/>
          <w:lang w:val="en-US"/>
        </w:rPr>
        <w:t xml:space="preserve">The application for reinstatement of appeal be and is hereby granted. </w:t>
      </w:r>
    </w:p>
    <w:p w:rsidR="00DB5BC9" w:rsidRPr="008F3A60" w:rsidRDefault="00DB5BC9" w:rsidP="00DB5BC9">
      <w:pPr>
        <w:pStyle w:val="ListParagraph"/>
        <w:tabs>
          <w:tab w:val="left" w:pos="1170"/>
        </w:tabs>
        <w:spacing w:after="160"/>
        <w:ind w:left="1170"/>
        <w:jc w:val="both"/>
        <w:rPr>
          <w:rFonts w:ascii="Times New Roman" w:hAnsi="Times New Roman" w:cs="Times New Roman"/>
          <w:sz w:val="24"/>
          <w:szCs w:val="24"/>
          <w:lang w:val="en-US"/>
        </w:rPr>
      </w:pPr>
    </w:p>
    <w:p w:rsidR="003E3A5C" w:rsidRDefault="003E3A5C" w:rsidP="008F3A60">
      <w:pPr>
        <w:pStyle w:val="ListParagraph"/>
        <w:numPr>
          <w:ilvl w:val="0"/>
          <w:numId w:val="5"/>
        </w:numPr>
        <w:tabs>
          <w:tab w:val="left" w:pos="1170"/>
        </w:tabs>
        <w:spacing w:after="160"/>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for condonation for late service of the notice of appeal on the Registrar of the court </w:t>
      </w:r>
      <w:r w:rsidRPr="00BE6D5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and is hereby granted. </w:t>
      </w:r>
    </w:p>
    <w:p w:rsidR="00DB5BC9" w:rsidRPr="00DB5BC9" w:rsidRDefault="00DB5BC9" w:rsidP="00DB5BC9">
      <w:pPr>
        <w:pStyle w:val="ListParagraph"/>
        <w:rPr>
          <w:rFonts w:ascii="Times New Roman" w:hAnsi="Times New Roman" w:cs="Times New Roman"/>
          <w:sz w:val="24"/>
          <w:szCs w:val="24"/>
          <w:lang w:val="en-US"/>
        </w:rPr>
      </w:pPr>
    </w:p>
    <w:p w:rsidR="00DB5BC9" w:rsidRDefault="003E3A5C" w:rsidP="00BD0C4C">
      <w:pPr>
        <w:pStyle w:val="ListParagraph"/>
        <w:numPr>
          <w:ilvl w:val="0"/>
          <w:numId w:val="5"/>
        </w:numPr>
        <w:spacing w:after="160"/>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shall serve the notice </w:t>
      </w:r>
      <w:r w:rsidR="009B0EE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appeal on the Registrar of the court </w:t>
      </w:r>
      <w:r w:rsidRPr="00BE6D5C">
        <w:rPr>
          <w:rFonts w:ascii="Times New Roman" w:hAnsi="Times New Roman" w:cs="Times New Roman"/>
          <w:i/>
          <w:sz w:val="24"/>
          <w:szCs w:val="24"/>
          <w:lang w:val="en-US"/>
        </w:rPr>
        <w:t>a quo</w:t>
      </w:r>
      <w:r w:rsidR="00AC3449">
        <w:rPr>
          <w:rFonts w:ascii="Times New Roman" w:hAnsi="Times New Roman" w:cs="Times New Roman"/>
          <w:sz w:val="24"/>
          <w:szCs w:val="24"/>
          <w:lang w:val="en-US"/>
        </w:rPr>
        <w:t xml:space="preserve"> within 5 days </w:t>
      </w:r>
      <w:r>
        <w:rPr>
          <w:rFonts w:ascii="Times New Roman" w:hAnsi="Times New Roman" w:cs="Times New Roman"/>
          <w:sz w:val="24"/>
          <w:szCs w:val="24"/>
          <w:lang w:val="en-US"/>
        </w:rPr>
        <w:t xml:space="preserve">of this order. </w:t>
      </w:r>
    </w:p>
    <w:p w:rsidR="00BD0C4C" w:rsidRPr="00BD0C4C" w:rsidRDefault="00BD0C4C" w:rsidP="00BD0C4C">
      <w:pPr>
        <w:ind w:left="0"/>
        <w:jc w:val="both"/>
        <w:rPr>
          <w:rFonts w:ascii="Times New Roman" w:hAnsi="Times New Roman" w:cs="Times New Roman"/>
          <w:sz w:val="24"/>
          <w:szCs w:val="24"/>
          <w:lang w:val="en-US"/>
        </w:rPr>
      </w:pPr>
    </w:p>
    <w:p w:rsidR="003E3A5C" w:rsidRDefault="003E3A5C" w:rsidP="008F3A60">
      <w:pPr>
        <w:pStyle w:val="ListParagraph"/>
        <w:numPr>
          <w:ilvl w:val="0"/>
          <w:numId w:val="5"/>
        </w:numPr>
        <w:spacing w:after="160"/>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shall approach the Registrar of this Court for a determination on </w:t>
      </w:r>
      <w:r w:rsidR="00BD0C4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security of costs within 5 days </w:t>
      </w:r>
      <w:r w:rsidR="00B874DF">
        <w:rPr>
          <w:rFonts w:ascii="Times New Roman" w:hAnsi="Times New Roman" w:cs="Times New Roman"/>
          <w:sz w:val="24"/>
          <w:szCs w:val="24"/>
          <w:lang w:val="en-US"/>
        </w:rPr>
        <w:t>of this</w:t>
      </w:r>
      <w:r>
        <w:rPr>
          <w:rFonts w:ascii="Times New Roman" w:hAnsi="Times New Roman" w:cs="Times New Roman"/>
          <w:sz w:val="24"/>
          <w:szCs w:val="24"/>
          <w:lang w:val="en-US"/>
        </w:rPr>
        <w:t xml:space="preserve"> order. </w:t>
      </w:r>
    </w:p>
    <w:p w:rsidR="00DB5BC9" w:rsidRPr="00DB5BC9" w:rsidRDefault="00DB5BC9" w:rsidP="00DB5BC9">
      <w:pPr>
        <w:pStyle w:val="ListParagraph"/>
        <w:rPr>
          <w:rFonts w:ascii="Times New Roman" w:hAnsi="Times New Roman" w:cs="Times New Roman"/>
          <w:sz w:val="24"/>
          <w:szCs w:val="24"/>
          <w:lang w:val="en-US"/>
        </w:rPr>
      </w:pPr>
    </w:p>
    <w:p w:rsidR="003E3A5C" w:rsidRPr="00586FF9" w:rsidRDefault="00BD0C4C" w:rsidP="008F3A60">
      <w:pPr>
        <w:pStyle w:val="ListParagraph"/>
        <w:numPr>
          <w:ilvl w:val="0"/>
          <w:numId w:val="5"/>
        </w:numPr>
        <w:spacing w:after="160"/>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be no order </w:t>
      </w:r>
      <w:r w:rsidR="00ED4EBB">
        <w:rPr>
          <w:rFonts w:ascii="Times New Roman" w:hAnsi="Times New Roman" w:cs="Times New Roman"/>
          <w:sz w:val="24"/>
          <w:szCs w:val="24"/>
          <w:lang w:val="en-US"/>
        </w:rPr>
        <w:t xml:space="preserve">as </w:t>
      </w:r>
      <w:r>
        <w:rPr>
          <w:rFonts w:ascii="Times New Roman" w:hAnsi="Times New Roman" w:cs="Times New Roman"/>
          <w:sz w:val="24"/>
          <w:szCs w:val="24"/>
          <w:lang w:val="en-US"/>
        </w:rPr>
        <w:t>to costs</w:t>
      </w:r>
      <w:r w:rsidR="003E3A5C">
        <w:rPr>
          <w:rFonts w:ascii="Times New Roman" w:hAnsi="Times New Roman" w:cs="Times New Roman"/>
          <w:sz w:val="24"/>
          <w:szCs w:val="24"/>
          <w:lang w:val="en-US"/>
        </w:rPr>
        <w:t xml:space="preserve">. </w:t>
      </w:r>
      <w:r w:rsidR="003E3A5C" w:rsidRPr="00586FF9">
        <w:rPr>
          <w:rFonts w:ascii="Times New Roman" w:hAnsi="Times New Roman" w:cs="Times New Roman"/>
          <w:sz w:val="24"/>
          <w:szCs w:val="24"/>
          <w:lang w:val="en-US"/>
        </w:rPr>
        <w:t xml:space="preserve">   </w:t>
      </w:r>
    </w:p>
    <w:p w:rsidR="00553401" w:rsidRDefault="00553401" w:rsidP="00DA2F3D">
      <w:pPr>
        <w:tabs>
          <w:tab w:val="left" w:pos="450"/>
        </w:tabs>
        <w:spacing w:line="480" w:lineRule="auto"/>
        <w:ind w:left="0"/>
        <w:jc w:val="both"/>
        <w:rPr>
          <w:rFonts w:ascii="Times New Roman" w:hAnsi="Times New Roman" w:cs="Times New Roman"/>
          <w:i/>
          <w:sz w:val="24"/>
          <w:szCs w:val="24"/>
          <w:lang w:val="en-US"/>
        </w:rPr>
      </w:pPr>
    </w:p>
    <w:p w:rsidR="00FA42E2" w:rsidRDefault="00FA42E2" w:rsidP="00DA2F3D">
      <w:pPr>
        <w:tabs>
          <w:tab w:val="left" w:pos="450"/>
        </w:tabs>
        <w:spacing w:line="480" w:lineRule="auto"/>
        <w:ind w:left="0"/>
        <w:jc w:val="both"/>
        <w:rPr>
          <w:rFonts w:ascii="Times New Roman" w:hAnsi="Times New Roman" w:cs="Times New Roman"/>
          <w:i/>
          <w:sz w:val="24"/>
          <w:szCs w:val="24"/>
          <w:lang w:val="en-US"/>
        </w:rPr>
      </w:pPr>
    </w:p>
    <w:p w:rsidR="00B83AF5" w:rsidRPr="002F6810" w:rsidRDefault="00DA2F3D" w:rsidP="00DA2F3D">
      <w:pPr>
        <w:tabs>
          <w:tab w:val="left" w:pos="1440"/>
        </w:tabs>
        <w:spacing w:line="480" w:lineRule="auto"/>
        <w:ind w:hanging="720"/>
        <w:jc w:val="both"/>
        <w:rPr>
          <w:rFonts w:ascii="Times New Roman" w:hAnsi="Times New Roman" w:cs="Times New Roman"/>
          <w:sz w:val="24"/>
          <w:szCs w:val="24"/>
          <w:lang w:val="en-US"/>
        </w:rPr>
      </w:pPr>
      <w:r>
        <w:rPr>
          <w:rFonts w:ascii="Times New Roman" w:hAnsi="Times New Roman" w:cs="Times New Roman"/>
          <w:i/>
          <w:sz w:val="24"/>
          <w:szCs w:val="24"/>
          <w:lang w:val="en-US"/>
        </w:rPr>
        <w:t>Mugomeza &amp; Mazhindu</w:t>
      </w:r>
      <w:r w:rsidR="00B83AF5" w:rsidRPr="002F6810">
        <w:rPr>
          <w:rFonts w:ascii="Times New Roman" w:hAnsi="Times New Roman" w:cs="Times New Roman"/>
          <w:i/>
          <w:sz w:val="24"/>
          <w:szCs w:val="24"/>
          <w:lang w:val="en-US"/>
        </w:rPr>
        <w:t xml:space="preserve">, </w:t>
      </w:r>
      <w:r w:rsidR="00B83AF5">
        <w:rPr>
          <w:rFonts w:ascii="Times New Roman" w:hAnsi="Times New Roman" w:cs="Times New Roman"/>
          <w:sz w:val="24"/>
          <w:szCs w:val="24"/>
          <w:lang w:val="en-US"/>
        </w:rPr>
        <w:t>applicant</w:t>
      </w:r>
      <w:r w:rsidR="00B83AF5" w:rsidRPr="002F6810">
        <w:rPr>
          <w:rFonts w:ascii="Times New Roman" w:hAnsi="Times New Roman" w:cs="Times New Roman"/>
          <w:sz w:val="24"/>
          <w:szCs w:val="24"/>
          <w:lang w:val="en-US"/>
        </w:rPr>
        <w:t>’s legal practitioners.</w:t>
      </w:r>
    </w:p>
    <w:p w:rsidR="00B83AF5" w:rsidRPr="002F6810" w:rsidRDefault="00DA2F3D" w:rsidP="00DA2F3D">
      <w:pPr>
        <w:tabs>
          <w:tab w:val="left" w:pos="2250"/>
        </w:tabs>
        <w:spacing w:line="480" w:lineRule="auto"/>
        <w:ind w:hanging="72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Khuphe &amp; Majamanda Law </w:t>
      </w:r>
      <w:r w:rsidR="008D3597">
        <w:rPr>
          <w:rFonts w:ascii="Times New Roman" w:hAnsi="Times New Roman" w:cs="Times New Roman"/>
          <w:i/>
          <w:sz w:val="24"/>
          <w:szCs w:val="24"/>
          <w:lang w:val="en-US"/>
        </w:rPr>
        <w:t>Chambers,</w:t>
      </w:r>
      <w:r w:rsidR="008D3597" w:rsidRPr="002F6810">
        <w:rPr>
          <w:rFonts w:ascii="Times New Roman" w:hAnsi="Times New Roman" w:cs="Times New Roman"/>
          <w:sz w:val="24"/>
          <w:szCs w:val="24"/>
          <w:lang w:val="en-US"/>
        </w:rPr>
        <w:t xml:space="preserve"> respondent’s</w:t>
      </w:r>
      <w:r w:rsidR="00B83AF5" w:rsidRPr="002F6810">
        <w:rPr>
          <w:rFonts w:ascii="Times New Roman" w:hAnsi="Times New Roman" w:cs="Times New Roman"/>
          <w:sz w:val="24"/>
          <w:szCs w:val="24"/>
          <w:lang w:val="en-US"/>
        </w:rPr>
        <w:t xml:space="preserve"> legal practitioners.</w:t>
      </w:r>
    </w:p>
    <w:p w:rsidR="00553401" w:rsidRDefault="00553401" w:rsidP="0032331E">
      <w:pPr>
        <w:tabs>
          <w:tab w:val="left" w:pos="450"/>
        </w:tabs>
        <w:spacing w:line="480" w:lineRule="auto"/>
        <w:ind w:left="1440" w:hanging="1440"/>
        <w:jc w:val="both"/>
        <w:rPr>
          <w:rFonts w:ascii="Times New Roman" w:hAnsi="Times New Roman" w:cs="Times New Roman"/>
          <w:i/>
          <w:sz w:val="24"/>
          <w:szCs w:val="24"/>
          <w:lang w:val="en-US"/>
        </w:rPr>
      </w:pPr>
    </w:p>
    <w:p w:rsidR="00553401" w:rsidRDefault="00553401" w:rsidP="0032331E">
      <w:pPr>
        <w:tabs>
          <w:tab w:val="left" w:pos="450"/>
        </w:tabs>
        <w:spacing w:line="480" w:lineRule="auto"/>
        <w:ind w:left="1440" w:hanging="1440"/>
        <w:jc w:val="both"/>
        <w:rPr>
          <w:rFonts w:ascii="Times New Roman" w:hAnsi="Times New Roman" w:cs="Times New Roman"/>
          <w:i/>
          <w:sz w:val="24"/>
          <w:szCs w:val="24"/>
          <w:lang w:val="en-US"/>
        </w:rPr>
      </w:pPr>
    </w:p>
    <w:p w:rsidR="00553401" w:rsidRDefault="00553401" w:rsidP="0032331E">
      <w:pPr>
        <w:tabs>
          <w:tab w:val="left" w:pos="450"/>
        </w:tabs>
        <w:spacing w:line="480" w:lineRule="auto"/>
        <w:ind w:left="1440" w:hanging="1440"/>
        <w:jc w:val="both"/>
        <w:rPr>
          <w:rFonts w:ascii="Times New Roman" w:hAnsi="Times New Roman" w:cs="Times New Roman"/>
          <w:i/>
          <w:sz w:val="24"/>
          <w:szCs w:val="24"/>
          <w:lang w:val="en-US"/>
        </w:rPr>
      </w:pPr>
    </w:p>
    <w:p w:rsidR="00553401" w:rsidRDefault="00553401" w:rsidP="0032331E">
      <w:pPr>
        <w:tabs>
          <w:tab w:val="left" w:pos="450"/>
        </w:tabs>
        <w:spacing w:line="480" w:lineRule="auto"/>
        <w:ind w:left="1440" w:hanging="1440"/>
        <w:jc w:val="both"/>
        <w:rPr>
          <w:rFonts w:ascii="Times New Roman" w:hAnsi="Times New Roman" w:cs="Times New Roman"/>
          <w:i/>
          <w:sz w:val="24"/>
          <w:szCs w:val="24"/>
          <w:lang w:val="en-US"/>
        </w:rPr>
      </w:pPr>
    </w:p>
    <w:p w:rsidR="00AB37C4" w:rsidRPr="002E2949" w:rsidRDefault="00AB37C4" w:rsidP="007923AD">
      <w:pPr>
        <w:spacing w:line="276" w:lineRule="auto"/>
        <w:ind w:left="1440" w:hanging="720"/>
        <w:jc w:val="both"/>
        <w:rPr>
          <w:rFonts w:ascii="Times New Roman" w:hAnsi="Times New Roman" w:cs="Times New Roman"/>
          <w:sz w:val="24"/>
          <w:szCs w:val="24"/>
          <w:lang w:val="en-US"/>
        </w:rPr>
      </w:pPr>
    </w:p>
    <w:sectPr w:rsidR="00AB37C4" w:rsidRPr="002E29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9DA" w:rsidRDefault="007F39DA" w:rsidP="002E2949">
      <w:r>
        <w:separator/>
      </w:r>
    </w:p>
  </w:endnote>
  <w:endnote w:type="continuationSeparator" w:id="0">
    <w:p w:rsidR="007F39DA" w:rsidRDefault="007F39DA" w:rsidP="002E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9DA" w:rsidRDefault="007F39DA" w:rsidP="002E2949">
      <w:r>
        <w:separator/>
      </w:r>
    </w:p>
  </w:footnote>
  <w:footnote w:type="continuationSeparator" w:id="0">
    <w:p w:rsidR="007F39DA" w:rsidRDefault="007F39DA" w:rsidP="002E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49" w:rsidRDefault="002E2949">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949" w:rsidRPr="002E2949" w:rsidRDefault="00553401" w:rsidP="00553401">
                          <w:pPr>
                            <w:ind w:left="288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AB4146">
                            <w:rPr>
                              <w:rFonts w:ascii="Times New Roman" w:hAnsi="Times New Roman" w:cs="Times New Roman"/>
                              <w:b/>
                              <w:noProof/>
                              <w:sz w:val="24"/>
                              <w:szCs w:val="24"/>
                            </w:rPr>
                            <w:t xml:space="preserve">    </w:t>
                          </w:r>
                          <w:r w:rsidR="00DA4D2F">
                            <w:rPr>
                              <w:rFonts w:ascii="Times New Roman" w:hAnsi="Times New Roman" w:cs="Times New Roman"/>
                              <w:b/>
                              <w:noProof/>
                              <w:sz w:val="24"/>
                              <w:szCs w:val="24"/>
                            </w:rPr>
                            <w:t xml:space="preserve">                                       </w:t>
                          </w:r>
                          <w:r w:rsidR="002E2949" w:rsidRPr="002E2949">
                            <w:rPr>
                              <w:rFonts w:ascii="Times New Roman" w:hAnsi="Times New Roman" w:cs="Times New Roman"/>
                              <w:b/>
                              <w:noProof/>
                              <w:sz w:val="24"/>
                              <w:szCs w:val="24"/>
                            </w:rPr>
                            <w:t>Judgment No SC</w:t>
                          </w:r>
                          <w:r w:rsidR="00554DF5">
                            <w:rPr>
                              <w:rFonts w:ascii="Times New Roman" w:hAnsi="Times New Roman" w:cs="Times New Roman"/>
                              <w:b/>
                              <w:noProof/>
                              <w:sz w:val="24"/>
                              <w:szCs w:val="24"/>
                            </w:rPr>
                            <w:t xml:space="preserve"> </w:t>
                          </w:r>
                          <w:r w:rsidR="00535023">
                            <w:rPr>
                              <w:rFonts w:ascii="Times New Roman" w:hAnsi="Times New Roman" w:cs="Times New Roman"/>
                              <w:b/>
                              <w:noProof/>
                              <w:sz w:val="24"/>
                              <w:szCs w:val="24"/>
                            </w:rPr>
                            <w:t>82</w:t>
                          </w:r>
                          <w:r>
                            <w:rPr>
                              <w:rFonts w:ascii="Times New Roman" w:hAnsi="Times New Roman" w:cs="Times New Roman"/>
                              <w:b/>
                              <w:noProof/>
                              <w:sz w:val="24"/>
                              <w:szCs w:val="24"/>
                            </w:rPr>
                            <w:t>/25</w:t>
                          </w:r>
                        </w:p>
                        <w:p w:rsidR="002E2949" w:rsidRDefault="00554DF5">
                          <w:pPr>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2E2949" w:rsidRPr="002E2949">
                            <w:rPr>
                              <w:rFonts w:ascii="Times New Roman" w:hAnsi="Times New Roman" w:cs="Times New Roman"/>
                              <w:b/>
                              <w:noProof/>
                              <w:sz w:val="24"/>
                              <w:szCs w:val="24"/>
                            </w:rPr>
                            <w:t xml:space="preserve"> No SC </w:t>
                          </w:r>
                          <w:r w:rsidR="00436234">
                            <w:rPr>
                              <w:rFonts w:ascii="Times New Roman" w:hAnsi="Times New Roman" w:cs="Times New Roman"/>
                              <w:b/>
                              <w:noProof/>
                              <w:sz w:val="24"/>
                              <w:szCs w:val="24"/>
                            </w:rPr>
                            <w:t>30/25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E2949" w:rsidRPr="002E2949" w:rsidRDefault="00553401" w:rsidP="00553401">
                    <w:pPr>
                      <w:ind w:left="288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AB4146">
                      <w:rPr>
                        <w:rFonts w:ascii="Times New Roman" w:hAnsi="Times New Roman" w:cs="Times New Roman"/>
                        <w:b/>
                        <w:noProof/>
                        <w:sz w:val="24"/>
                        <w:szCs w:val="24"/>
                      </w:rPr>
                      <w:t xml:space="preserve">    </w:t>
                    </w:r>
                    <w:r w:rsidR="00DA4D2F">
                      <w:rPr>
                        <w:rFonts w:ascii="Times New Roman" w:hAnsi="Times New Roman" w:cs="Times New Roman"/>
                        <w:b/>
                        <w:noProof/>
                        <w:sz w:val="24"/>
                        <w:szCs w:val="24"/>
                      </w:rPr>
                      <w:t xml:space="preserve">                                       </w:t>
                    </w:r>
                    <w:r w:rsidR="002E2949" w:rsidRPr="002E2949">
                      <w:rPr>
                        <w:rFonts w:ascii="Times New Roman" w:hAnsi="Times New Roman" w:cs="Times New Roman"/>
                        <w:b/>
                        <w:noProof/>
                        <w:sz w:val="24"/>
                        <w:szCs w:val="24"/>
                      </w:rPr>
                      <w:t>Judgment No SC</w:t>
                    </w:r>
                    <w:r w:rsidR="00554DF5">
                      <w:rPr>
                        <w:rFonts w:ascii="Times New Roman" w:hAnsi="Times New Roman" w:cs="Times New Roman"/>
                        <w:b/>
                        <w:noProof/>
                        <w:sz w:val="24"/>
                        <w:szCs w:val="24"/>
                      </w:rPr>
                      <w:t xml:space="preserve"> </w:t>
                    </w:r>
                    <w:r w:rsidR="00535023">
                      <w:rPr>
                        <w:rFonts w:ascii="Times New Roman" w:hAnsi="Times New Roman" w:cs="Times New Roman"/>
                        <w:b/>
                        <w:noProof/>
                        <w:sz w:val="24"/>
                        <w:szCs w:val="24"/>
                      </w:rPr>
                      <w:t>82</w:t>
                    </w:r>
                    <w:r>
                      <w:rPr>
                        <w:rFonts w:ascii="Times New Roman" w:hAnsi="Times New Roman" w:cs="Times New Roman"/>
                        <w:b/>
                        <w:noProof/>
                        <w:sz w:val="24"/>
                        <w:szCs w:val="24"/>
                      </w:rPr>
                      <w:t>/25</w:t>
                    </w:r>
                  </w:p>
                  <w:p w:rsidR="002E2949" w:rsidRDefault="00554DF5">
                    <w:pPr>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002E2949" w:rsidRPr="002E2949">
                      <w:rPr>
                        <w:rFonts w:ascii="Times New Roman" w:hAnsi="Times New Roman" w:cs="Times New Roman"/>
                        <w:b/>
                        <w:noProof/>
                        <w:sz w:val="24"/>
                        <w:szCs w:val="24"/>
                      </w:rPr>
                      <w:t xml:space="preserve"> No SC </w:t>
                    </w:r>
                    <w:r w:rsidR="00436234">
                      <w:rPr>
                        <w:rFonts w:ascii="Times New Roman" w:hAnsi="Times New Roman" w:cs="Times New Roman"/>
                        <w:b/>
                        <w:noProof/>
                        <w:sz w:val="24"/>
                        <w:szCs w:val="24"/>
                      </w:rPr>
                      <w:t>30/25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E2949" w:rsidRDefault="002E2949">
                          <w:pPr>
                            <w:rPr>
                              <w:color w:val="FFFFFF" w:themeColor="background1"/>
                            </w:rPr>
                          </w:pPr>
                          <w:r>
                            <w:fldChar w:fldCharType="begin"/>
                          </w:r>
                          <w:r>
                            <w:instrText xml:space="preserve"> PAGE   \* MERGEFORMAT </w:instrText>
                          </w:r>
                          <w:r>
                            <w:fldChar w:fldCharType="separate"/>
                          </w:r>
                          <w:r w:rsidR="006C4B7B" w:rsidRPr="006C4B7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E2949" w:rsidRDefault="002E2949">
                    <w:pPr>
                      <w:rPr>
                        <w:color w:val="FFFFFF" w:themeColor="background1"/>
                      </w:rPr>
                    </w:pPr>
                    <w:r>
                      <w:fldChar w:fldCharType="begin"/>
                    </w:r>
                    <w:r>
                      <w:instrText xml:space="preserve"> PAGE   \* MERGEFORMAT </w:instrText>
                    </w:r>
                    <w:r>
                      <w:fldChar w:fldCharType="separate"/>
                    </w:r>
                    <w:r w:rsidR="006C4B7B" w:rsidRPr="006C4B7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7BE2"/>
    <w:multiLevelType w:val="hybridMultilevel"/>
    <w:tmpl w:val="A80673C4"/>
    <w:lvl w:ilvl="0" w:tplc="D0BC5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45C9"/>
    <w:multiLevelType w:val="hybridMultilevel"/>
    <w:tmpl w:val="C61A74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EDE15FC"/>
    <w:multiLevelType w:val="hybridMultilevel"/>
    <w:tmpl w:val="6A9AF738"/>
    <w:lvl w:ilvl="0" w:tplc="B01A430A">
      <w:start w:val="1"/>
      <w:numFmt w:val="decimal"/>
      <w:lvlText w:val="%1."/>
      <w:lvlJc w:val="left"/>
      <w:pPr>
        <w:ind w:left="1494" w:hanging="360"/>
      </w:pPr>
      <w:rPr>
        <w:rFonts w:ascii="Times New Roman" w:eastAsiaTheme="minorHAnsi" w:hAnsi="Times New Roman" w:cs="Times New Roman"/>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4DB904FA"/>
    <w:multiLevelType w:val="hybridMultilevel"/>
    <w:tmpl w:val="D6D0A162"/>
    <w:lvl w:ilvl="0" w:tplc="12D02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E506DB"/>
    <w:multiLevelType w:val="hybridMultilevel"/>
    <w:tmpl w:val="E354ABEA"/>
    <w:lvl w:ilvl="0" w:tplc="5158FEA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87"/>
    <w:rsid w:val="0000468C"/>
    <w:rsid w:val="00037C46"/>
    <w:rsid w:val="00042BB1"/>
    <w:rsid w:val="0004489A"/>
    <w:rsid w:val="00062F8B"/>
    <w:rsid w:val="000705A2"/>
    <w:rsid w:val="00074D2D"/>
    <w:rsid w:val="000819BA"/>
    <w:rsid w:val="000853C2"/>
    <w:rsid w:val="00096084"/>
    <w:rsid w:val="00096534"/>
    <w:rsid w:val="000A1A0C"/>
    <w:rsid w:val="000A1A10"/>
    <w:rsid w:val="000B0CD7"/>
    <w:rsid w:val="000B6859"/>
    <w:rsid w:val="000D2E4A"/>
    <w:rsid w:val="000E4D95"/>
    <w:rsid w:val="000E7B13"/>
    <w:rsid w:val="00111C5E"/>
    <w:rsid w:val="00115A6E"/>
    <w:rsid w:val="00115EB4"/>
    <w:rsid w:val="001257A1"/>
    <w:rsid w:val="001341FA"/>
    <w:rsid w:val="001407EE"/>
    <w:rsid w:val="001429CC"/>
    <w:rsid w:val="001577FC"/>
    <w:rsid w:val="00160B25"/>
    <w:rsid w:val="00161F2A"/>
    <w:rsid w:val="0017194B"/>
    <w:rsid w:val="00171B80"/>
    <w:rsid w:val="00186459"/>
    <w:rsid w:val="001B3A66"/>
    <w:rsid w:val="001B3CA2"/>
    <w:rsid w:val="001B3DB2"/>
    <w:rsid w:val="001B67C7"/>
    <w:rsid w:val="001C2A43"/>
    <w:rsid w:val="001D4D46"/>
    <w:rsid w:val="001D586E"/>
    <w:rsid w:val="001D7FA1"/>
    <w:rsid w:val="001E2DA7"/>
    <w:rsid w:val="001E3DCE"/>
    <w:rsid w:val="001F6A5B"/>
    <w:rsid w:val="002105D2"/>
    <w:rsid w:val="002313E3"/>
    <w:rsid w:val="00242668"/>
    <w:rsid w:val="00242F1C"/>
    <w:rsid w:val="00246EA4"/>
    <w:rsid w:val="002601E6"/>
    <w:rsid w:val="0028108D"/>
    <w:rsid w:val="002842D4"/>
    <w:rsid w:val="002A2131"/>
    <w:rsid w:val="002A7E38"/>
    <w:rsid w:val="002C3587"/>
    <w:rsid w:val="002D3D66"/>
    <w:rsid w:val="002D4D5D"/>
    <w:rsid w:val="002E0B66"/>
    <w:rsid w:val="002E23C4"/>
    <w:rsid w:val="002E2949"/>
    <w:rsid w:val="002E29B6"/>
    <w:rsid w:val="002E3D24"/>
    <w:rsid w:val="002F5043"/>
    <w:rsid w:val="002F5FDF"/>
    <w:rsid w:val="002F666E"/>
    <w:rsid w:val="003012C5"/>
    <w:rsid w:val="0031291F"/>
    <w:rsid w:val="00316606"/>
    <w:rsid w:val="0032331E"/>
    <w:rsid w:val="00342AD3"/>
    <w:rsid w:val="00346DBD"/>
    <w:rsid w:val="00376463"/>
    <w:rsid w:val="003856CD"/>
    <w:rsid w:val="003952DB"/>
    <w:rsid w:val="00395793"/>
    <w:rsid w:val="003A46AD"/>
    <w:rsid w:val="003C2CFF"/>
    <w:rsid w:val="003D5E9C"/>
    <w:rsid w:val="003E3A5C"/>
    <w:rsid w:val="003E5F85"/>
    <w:rsid w:val="003F4BC7"/>
    <w:rsid w:val="0041412C"/>
    <w:rsid w:val="00436234"/>
    <w:rsid w:val="00450A33"/>
    <w:rsid w:val="00453AAB"/>
    <w:rsid w:val="00475341"/>
    <w:rsid w:val="004C798B"/>
    <w:rsid w:val="004D723C"/>
    <w:rsid w:val="004D7B7D"/>
    <w:rsid w:val="004F6F88"/>
    <w:rsid w:val="005268E2"/>
    <w:rsid w:val="00535023"/>
    <w:rsid w:val="00543E2D"/>
    <w:rsid w:val="00546A75"/>
    <w:rsid w:val="00553401"/>
    <w:rsid w:val="00554DF5"/>
    <w:rsid w:val="0058189A"/>
    <w:rsid w:val="00590A89"/>
    <w:rsid w:val="005A659C"/>
    <w:rsid w:val="005B0E33"/>
    <w:rsid w:val="005D068D"/>
    <w:rsid w:val="005E5E69"/>
    <w:rsid w:val="005E7148"/>
    <w:rsid w:val="005E7F22"/>
    <w:rsid w:val="00600564"/>
    <w:rsid w:val="0062354B"/>
    <w:rsid w:val="00626B2D"/>
    <w:rsid w:val="006400A5"/>
    <w:rsid w:val="00640C80"/>
    <w:rsid w:val="00644987"/>
    <w:rsid w:val="006601F3"/>
    <w:rsid w:val="00691C2E"/>
    <w:rsid w:val="00692F88"/>
    <w:rsid w:val="006945C5"/>
    <w:rsid w:val="006C4B7B"/>
    <w:rsid w:val="006C515D"/>
    <w:rsid w:val="006D388A"/>
    <w:rsid w:val="006D51E7"/>
    <w:rsid w:val="00710338"/>
    <w:rsid w:val="00711EFE"/>
    <w:rsid w:val="00720529"/>
    <w:rsid w:val="007365C6"/>
    <w:rsid w:val="007633A3"/>
    <w:rsid w:val="007905D6"/>
    <w:rsid w:val="007923AD"/>
    <w:rsid w:val="007A7842"/>
    <w:rsid w:val="007B20BF"/>
    <w:rsid w:val="007B2607"/>
    <w:rsid w:val="007C5C08"/>
    <w:rsid w:val="007D0F81"/>
    <w:rsid w:val="007D10BD"/>
    <w:rsid w:val="007D4E0D"/>
    <w:rsid w:val="007F39DA"/>
    <w:rsid w:val="008010CE"/>
    <w:rsid w:val="0080161A"/>
    <w:rsid w:val="00802D0F"/>
    <w:rsid w:val="00817A2E"/>
    <w:rsid w:val="00820194"/>
    <w:rsid w:val="00844655"/>
    <w:rsid w:val="00873537"/>
    <w:rsid w:val="00876511"/>
    <w:rsid w:val="00885E8C"/>
    <w:rsid w:val="00891E3B"/>
    <w:rsid w:val="00894FE5"/>
    <w:rsid w:val="0089517D"/>
    <w:rsid w:val="008A6275"/>
    <w:rsid w:val="008D3597"/>
    <w:rsid w:val="008F3A60"/>
    <w:rsid w:val="00907C97"/>
    <w:rsid w:val="00921202"/>
    <w:rsid w:val="00926F90"/>
    <w:rsid w:val="00927C98"/>
    <w:rsid w:val="009317D9"/>
    <w:rsid w:val="00942AA8"/>
    <w:rsid w:val="009432F9"/>
    <w:rsid w:val="00961A05"/>
    <w:rsid w:val="00983BFB"/>
    <w:rsid w:val="00987F75"/>
    <w:rsid w:val="00990F7C"/>
    <w:rsid w:val="009A74B9"/>
    <w:rsid w:val="009B0EEC"/>
    <w:rsid w:val="009C3A83"/>
    <w:rsid w:val="009C77E1"/>
    <w:rsid w:val="009D4905"/>
    <w:rsid w:val="009E6864"/>
    <w:rsid w:val="009F52D5"/>
    <w:rsid w:val="00A02584"/>
    <w:rsid w:val="00A2323C"/>
    <w:rsid w:val="00A25B77"/>
    <w:rsid w:val="00A35B8E"/>
    <w:rsid w:val="00A37A8C"/>
    <w:rsid w:val="00A46BFC"/>
    <w:rsid w:val="00A604B0"/>
    <w:rsid w:val="00A605F1"/>
    <w:rsid w:val="00A65D50"/>
    <w:rsid w:val="00A86F05"/>
    <w:rsid w:val="00AB37C4"/>
    <w:rsid w:val="00AB4146"/>
    <w:rsid w:val="00AC3449"/>
    <w:rsid w:val="00AD17F5"/>
    <w:rsid w:val="00AD1B81"/>
    <w:rsid w:val="00AE04CE"/>
    <w:rsid w:val="00AF11BA"/>
    <w:rsid w:val="00B02897"/>
    <w:rsid w:val="00B12A39"/>
    <w:rsid w:val="00B21962"/>
    <w:rsid w:val="00B40F4C"/>
    <w:rsid w:val="00B4286E"/>
    <w:rsid w:val="00B45308"/>
    <w:rsid w:val="00B54E29"/>
    <w:rsid w:val="00B7692D"/>
    <w:rsid w:val="00B83AF5"/>
    <w:rsid w:val="00B84C2A"/>
    <w:rsid w:val="00B874DF"/>
    <w:rsid w:val="00BB32F6"/>
    <w:rsid w:val="00BD0C4C"/>
    <w:rsid w:val="00BD2871"/>
    <w:rsid w:val="00BE107A"/>
    <w:rsid w:val="00BE5D7D"/>
    <w:rsid w:val="00BE6957"/>
    <w:rsid w:val="00BF049D"/>
    <w:rsid w:val="00BF6513"/>
    <w:rsid w:val="00C05E10"/>
    <w:rsid w:val="00C06893"/>
    <w:rsid w:val="00C110F7"/>
    <w:rsid w:val="00C140A2"/>
    <w:rsid w:val="00C15275"/>
    <w:rsid w:val="00C25CFC"/>
    <w:rsid w:val="00C5665E"/>
    <w:rsid w:val="00C628A0"/>
    <w:rsid w:val="00C65EB7"/>
    <w:rsid w:val="00C6738F"/>
    <w:rsid w:val="00C74BBA"/>
    <w:rsid w:val="00C850FB"/>
    <w:rsid w:val="00C95346"/>
    <w:rsid w:val="00C96887"/>
    <w:rsid w:val="00CA5C32"/>
    <w:rsid w:val="00CB2828"/>
    <w:rsid w:val="00CB3D20"/>
    <w:rsid w:val="00CB7777"/>
    <w:rsid w:val="00CC5597"/>
    <w:rsid w:val="00CD1740"/>
    <w:rsid w:val="00CE7379"/>
    <w:rsid w:val="00CF5CA2"/>
    <w:rsid w:val="00D03EDB"/>
    <w:rsid w:val="00D16324"/>
    <w:rsid w:val="00D25BCE"/>
    <w:rsid w:val="00D42369"/>
    <w:rsid w:val="00D46CCF"/>
    <w:rsid w:val="00D507FE"/>
    <w:rsid w:val="00D55028"/>
    <w:rsid w:val="00D559A3"/>
    <w:rsid w:val="00D568E9"/>
    <w:rsid w:val="00D63EB7"/>
    <w:rsid w:val="00D71AF1"/>
    <w:rsid w:val="00D77925"/>
    <w:rsid w:val="00D85FFA"/>
    <w:rsid w:val="00D912AB"/>
    <w:rsid w:val="00D9565A"/>
    <w:rsid w:val="00DA2C04"/>
    <w:rsid w:val="00DA2DEC"/>
    <w:rsid w:val="00DA2F3D"/>
    <w:rsid w:val="00DA494C"/>
    <w:rsid w:val="00DA4D2F"/>
    <w:rsid w:val="00DB258E"/>
    <w:rsid w:val="00DB390B"/>
    <w:rsid w:val="00DB5BC9"/>
    <w:rsid w:val="00DC6E43"/>
    <w:rsid w:val="00DD2F9E"/>
    <w:rsid w:val="00DD4920"/>
    <w:rsid w:val="00DE1A9D"/>
    <w:rsid w:val="00DE1C01"/>
    <w:rsid w:val="00DE1CB9"/>
    <w:rsid w:val="00DE71E3"/>
    <w:rsid w:val="00DE7B1E"/>
    <w:rsid w:val="00DF3781"/>
    <w:rsid w:val="00E375F1"/>
    <w:rsid w:val="00E47360"/>
    <w:rsid w:val="00E528AC"/>
    <w:rsid w:val="00E73919"/>
    <w:rsid w:val="00E74D36"/>
    <w:rsid w:val="00EB0BF3"/>
    <w:rsid w:val="00EB73D8"/>
    <w:rsid w:val="00ED29A6"/>
    <w:rsid w:val="00ED4EBB"/>
    <w:rsid w:val="00F0184C"/>
    <w:rsid w:val="00F03604"/>
    <w:rsid w:val="00F051A1"/>
    <w:rsid w:val="00F1302C"/>
    <w:rsid w:val="00F150D3"/>
    <w:rsid w:val="00F15536"/>
    <w:rsid w:val="00F2198A"/>
    <w:rsid w:val="00F23A2C"/>
    <w:rsid w:val="00F27B56"/>
    <w:rsid w:val="00F32786"/>
    <w:rsid w:val="00F368E7"/>
    <w:rsid w:val="00F3714F"/>
    <w:rsid w:val="00F376BD"/>
    <w:rsid w:val="00F41704"/>
    <w:rsid w:val="00F51A37"/>
    <w:rsid w:val="00F6066F"/>
    <w:rsid w:val="00F7255D"/>
    <w:rsid w:val="00F760D4"/>
    <w:rsid w:val="00FA42E2"/>
    <w:rsid w:val="00FB56E6"/>
    <w:rsid w:val="00FB5F49"/>
    <w:rsid w:val="00FC1350"/>
    <w:rsid w:val="00FC16FF"/>
    <w:rsid w:val="00FC2444"/>
    <w:rsid w:val="00FC6EE5"/>
    <w:rsid w:val="00FD6C21"/>
    <w:rsid w:val="00FE2413"/>
    <w:rsid w:val="00FF2929"/>
    <w:rsid w:val="00FF68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78AA93-5BAE-477F-A998-2DC81DD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1257A1"/>
    <w:pPr>
      <w:keepNext/>
      <w:spacing w:line="480" w:lineRule="auto"/>
      <w:ind w:hanging="720"/>
      <w:jc w:val="both"/>
      <w:outlineLvl w:val="0"/>
    </w:pPr>
    <w:rPr>
      <w:rFonts w:ascii="Times New Roman" w:hAnsi="Times New Roman" w:cs="Times New Roman"/>
      <w:b/>
      <w:sz w:val="24"/>
      <w:szCs w:val="24"/>
      <w:u w:val="single"/>
      <w:lang w:val="en-US"/>
    </w:rPr>
  </w:style>
  <w:style w:type="paragraph" w:styleId="Heading2">
    <w:name w:val="heading 2"/>
    <w:basedOn w:val="Normal"/>
    <w:next w:val="Normal"/>
    <w:link w:val="Heading2Char"/>
    <w:uiPriority w:val="9"/>
    <w:unhideWhenUsed/>
    <w:qFormat/>
    <w:rsid w:val="002A2131"/>
    <w:pPr>
      <w:keepNext/>
      <w:spacing w:line="480" w:lineRule="auto"/>
      <w:ind w:left="0"/>
      <w:jc w:val="both"/>
      <w:outlineLvl w:val="1"/>
    </w:pPr>
    <w:rPr>
      <w:rFonts w:ascii="Times New Roman" w:hAnsi="Times New Roman" w:cs="Times New Roman"/>
      <w:b/>
      <w:sz w:val="24"/>
      <w:szCs w:val="24"/>
      <w:u w:val="single"/>
      <w:lang w:val="en-US"/>
    </w:rPr>
  </w:style>
  <w:style w:type="paragraph" w:styleId="Heading3">
    <w:name w:val="heading 3"/>
    <w:basedOn w:val="Normal"/>
    <w:next w:val="Normal"/>
    <w:link w:val="Heading3Char"/>
    <w:uiPriority w:val="9"/>
    <w:unhideWhenUsed/>
    <w:qFormat/>
    <w:rsid w:val="00A46BFC"/>
    <w:pPr>
      <w:keepNext/>
      <w:spacing w:before="240" w:line="276" w:lineRule="auto"/>
      <w:ind w:left="540" w:firstLine="180"/>
      <w:jc w:val="both"/>
      <w:outlineLvl w:val="2"/>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3C2"/>
    <w:pPr>
      <w:contextualSpacing/>
    </w:pPr>
  </w:style>
  <w:style w:type="paragraph" w:styleId="BalloonText">
    <w:name w:val="Balloon Text"/>
    <w:basedOn w:val="Normal"/>
    <w:link w:val="BalloonTextChar"/>
    <w:uiPriority w:val="99"/>
    <w:semiHidden/>
    <w:unhideWhenUsed/>
    <w:rsid w:val="00161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F2A"/>
    <w:rPr>
      <w:rFonts w:ascii="Segoe UI" w:hAnsi="Segoe UI" w:cs="Segoe UI"/>
      <w:sz w:val="18"/>
      <w:szCs w:val="18"/>
    </w:rPr>
  </w:style>
  <w:style w:type="paragraph" w:styleId="Header">
    <w:name w:val="header"/>
    <w:basedOn w:val="Normal"/>
    <w:link w:val="HeaderChar"/>
    <w:uiPriority w:val="99"/>
    <w:unhideWhenUsed/>
    <w:rsid w:val="002E2949"/>
    <w:pPr>
      <w:tabs>
        <w:tab w:val="center" w:pos="4680"/>
        <w:tab w:val="right" w:pos="9360"/>
      </w:tabs>
    </w:pPr>
  </w:style>
  <w:style w:type="character" w:customStyle="1" w:styleId="HeaderChar">
    <w:name w:val="Header Char"/>
    <w:basedOn w:val="DefaultParagraphFont"/>
    <w:link w:val="Header"/>
    <w:uiPriority w:val="99"/>
    <w:rsid w:val="002E2949"/>
  </w:style>
  <w:style w:type="paragraph" w:styleId="Footer">
    <w:name w:val="footer"/>
    <w:basedOn w:val="Normal"/>
    <w:link w:val="FooterChar"/>
    <w:uiPriority w:val="99"/>
    <w:unhideWhenUsed/>
    <w:rsid w:val="002E2949"/>
    <w:pPr>
      <w:tabs>
        <w:tab w:val="center" w:pos="4680"/>
        <w:tab w:val="right" w:pos="9360"/>
      </w:tabs>
    </w:pPr>
  </w:style>
  <w:style w:type="character" w:customStyle="1" w:styleId="FooterChar">
    <w:name w:val="Footer Char"/>
    <w:basedOn w:val="DefaultParagraphFont"/>
    <w:link w:val="Footer"/>
    <w:uiPriority w:val="99"/>
    <w:rsid w:val="002E2949"/>
  </w:style>
  <w:style w:type="paragraph" w:styleId="BodyTextIndent">
    <w:name w:val="Body Text Indent"/>
    <w:basedOn w:val="Normal"/>
    <w:link w:val="BodyTextIndentChar"/>
    <w:uiPriority w:val="99"/>
    <w:unhideWhenUsed/>
    <w:rsid w:val="002F666E"/>
    <w:pPr>
      <w:spacing w:line="480" w:lineRule="auto"/>
      <w:ind w:left="360" w:hanging="36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F666E"/>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1257A1"/>
    <w:rPr>
      <w:rFonts w:ascii="Times New Roman" w:hAnsi="Times New Roman" w:cs="Times New Roman"/>
      <w:b/>
      <w:sz w:val="24"/>
      <w:szCs w:val="24"/>
      <w:u w:val="single"/>
      <w:lang w:val="en-US"/>
    </w:rPr>
  </w:style>
  <w:style w:type="character" w:customStyle="1" w:styleId="Heading2Char">
    <w:name w:val="Heading 2 Char"/>
    <w:basedOn w:val="DefaultParagraphFont"/>
    <w:link w:val="Heading2"/>
    <w:uiPriority w:val="9"/>
    <w:rsid w:val="002A2131"/>
    <w:rPr>
      <w:rFonts w:ascii="Times New Roman" w:hAnsi="Times New Roman" w:cs="Times New Roman"/>
      <w:b/>
      <w:sz w:val="24"/>
      <w:szCs w:val="24"/>
      <w:u w:val="single"/>
      <w:lang w:val="en-US"/>
    </w:rPr>
  </w:style>
  <w:style w:type="paragraph" w:styleId="BodyTextIndent2">
    <w:name w:val="Body Text Indent 2"/>
    <w:basedOn w:val="Normal"/>
    <w:link w:val="BodyTextIndent2Char"/>
    <w:uiPriority w:val="99"/>
    <w:unhideWhenUsed/>
    <w:rsid w:val="00F051A1"/>
    <w:pPr>
      <w:spacing w:before="240" w:line="276" w:lineRule="auto"/>
      <w:ind w:left="540" w:hanging="540"/>
      <w:jc w:val="both"/>
    </w:pPr>
    <w:rPr>
      <w:rFonts w:ascii="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F051A1"/>
    <w:rPr>
      <w:rFonts w:ascii="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A46BFC"/>
    <w:pPr>
      <w:spacing w:before="240" w:line="276" w:lineRule="auto"/>
      <w:ind w:left="1440"/>
      <w:jc w:val="both"/>
    </w:pPr>
    <w:rPr>
      <w:rFonts w:ascii="Times New Roman" w:hAnsi="Times New Roman" w:cs="Times New Roman"/>
      <w:sz w:val="24"/>
      <w:szCs w:val="24"/>
      <w:lang w:val="en-US"/>
    </w:rPr>
  </w:style>
  <w:style w:type="character" w:customStyle="1" w:styleId="BodyTextIndent3Char">
    <w:name w:val="Body Text Indent 3 Char"/>
    <w:basedOn w:val="DefaultParagraphFont"/>
    <w:link w:val="BodyTextIndent3"/>
    <w:uiPriority w:val="99"/>
    <w:rsid w:val="00A46BFC"/>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46BFC"/>
    <w:rPr>
      <w:rFonts w:ascii="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B57F-1237-44E5-8A16-0177B386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cp:lastPrinted>2025-02-25T12:08:00Z</cp:lastPrinted>
  <dcterms:created xsi:type="dcterms:W3CDTF">2025-09-19T08:43:00Z</dcterms:created>
  <dcterms:modified xsi:type="dcterms:W3CDTF">2025-09-19T08:43:00Z</dcterms:modified>
</cp:coreProperties>
</file>