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7FC" w:rsidRDefault="008147FC" w:rsidP="001D1E65">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FEDERATED PROPERTIES (PRIVATE) </w:t>
      </w:r>
    </w:p>
    <w:p w:rsidR="00E7513E" w:rsidRDefault="008147FC" w:rsidP="001D1E65">
      <w:pPr>
        <w:spacing w:after="0"/>
        <w:jc w:val="both"/>
        <w:rPr>
          <w:rFonts w:ascii="Times New Roman" w:hAnsi="Times New Roman" w:cs="Times New Roman"/>
          <w:sz w:val="24"/>
          <w:szCs w:val="24"/>
        </w:rPr>
      </w:pPr>
      <w:r>
        <w:rPr>
          <w:rFonts w:ascii="Times New Roman" w:hAnsi="Times New Roman" w:cs="Times New Roman"/>
          <w:sz w:val="24"/>
          <w:szCs w:val="24"/>
        </w:rPr>
        <w:t>LIMITED</w:t>
      </w:r>
    </w:p>
    <w:p w:rsidR="008147FC" w:rsidRDefault="008147FC" w:rsidP="001D1E65">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8147FC" w:rsidRDefault="008147FC" w:rsidP="001D1E65">
      <w:pPr>
        <w:spacing w:after="0"/>
        <w:jc w:val="both"/>
        <w:rPr>
          <w:rFonts w:ascii="Times New Roman" w:hAnsi="Times New Roman" w:cs="Times New Roman"/>
          <w:sz w:val="24"/>
          <w:szCs w:val="24"/>
        </w:rPr>
      </w:pPr>
      <w:r>
        <w:rPr>
          <w:rFonts w:ascii="Times New Roman" w:hAnsi="Times New Roman" w:cs="Times New Roman"/>
          <w:sz w:val="24"/>
          <w:szCs w:val="24"/>
        </w:rPr>
        <w:t>O MASOMERA</w:t>
      </w:r>
    </w:p>
    <w:p w:rsidR="008147FC" w:rsidRDefault="008147FC" w:rsidP="001D1E65">
      <w:pPr>
        <w:spacing w:after="0"/>
        <w:jc w:val="both"/>
        <w:rPr>
          <w:rFonts w:ascii="Times New Roman" w:hAnsi="Times New Roman" w:cs="Times New Roman"/>
          <w:sz w:val="24"/>
          <w:szCs w:val="24"/>
        </w:rPr>
      </w:pPr>
      <w:r>
        <w:rPr>
          <w:rFonts w:ascii="Times New Roman" w:hAnsi="Times New Roman" w:cs="Times New Roman"/>
          <w:sz w:val="24"/>
          <w:szCs w:val="24"/>
        </w:rPr>
        <w:t xml:space="preserve">(In his capacity as the executor of the Estate </w:t>
      </w:r>
    </w:p>
    <w:p w:rsidR="008147FC" w:rsidRDefault="008147FC" w:rsidP="001D1E65">
      <w:pPr>
        <w:spacing w:after="0"/>
        <w:jc w:val="both"/>
        <w:rPr>
          <w:rFonts w:ascii="Times New Roman" w:hAnsi="Times New Roman" w:cs="Times New Roman"/>
          <w:sz w:val="24"/>
          <w:szCs w:val="24"/>
        </w:rPr>
      </w:pPr>
      <w:r>
        <w:rPr>
          <w:rFonts w:ascii="Times New Roman" w:hAnsi="Times New Roman" w:cs="Times New Roman"/>
          <w:sz w:val="24"/>
          <w:szCs w:val="24"/>
        </w:rPr>
        <w:t>Late Selestino Chada)</w:t>
      </w:r>
    </w:p>
    <w:p w:rsidR="008147FC" w:rsidRDefault="00CD377F" w:rsidP="001D1E65">
      <w:pPr>
        <w:spacing w:after="0"/>
        <w:jc w:val="both"/>
        <w:rPr>
          <w:rFonts w:ascii="Times New Roman" w:hAnsi="Times New Roman" w:cs="Times New Roman"/>
          <w:sz w:val="24"/>
          <w:szCs w:val="24"/>
        </w:rPr>
      </w:pPr>
      <w:r>
        <w:rPr>
          <w:rFonts w:ascii="Times New Roman" w:hAnsi="Times New Roman" w:cs="Times New Roman"/>
          <w:sz w:val="24"/>
          <w:szCs w:val="24"/>
        </w:rPr>
        <w:t>a</w:t>
      </w:r>
      <w:r w:rsidR="008147FC">
        <w:rPr>
          <w:rFonts w:ascii="Times New Roman" w:hAnsi="Times New Roman" w:cs="Times New Roman"/>
          <w:sz w:val="24"/>
          <w:szCs w:val="24"/>
        </w:rPr>
        <w:t>nd</w:t>
      </w:r>
    </w:p>
    <w:p w:rsidR="008147FC" w:rsidRDefault="008147FC" w:rsidP="001D1E65">
      <w:pPr>
        <w:spacing w:after="0"/>
        <w:jc w:val="both"/>
        <w:rPr>
          <w:rFonts w:ascii="Times New Roman" w:hAnsi="Times New Roman" w:cs="Times New Roman"/>
          <w:sz w:val="24"/>
          <w:szCs w:val="24"/>
        </w:rPr>
      </w:pPr>
      <w:r>
        <w:rPr>
          <w:rFonts w:ascii="Times New Roman" w:hAnsi="Times New Roman" w:cs="Times New Roman"/>
          <w:sz w:val="24"/>
          <w:szCs w:val="24"/>
        </w:rPr>
        <w:t>HARARE MUNICIPALITY</w:t>
      </w:r>
    </w:p>
    <w:p w:rsidR="008147FC" w:rsidRDefault="00CD377F" w:rsidP="001D1E65">
      <w:pPr>
        <w:spacing w:after="0"/>
        <w:jc w:val="both"/>
        <w:rPr>
          <w:rFonts w:ascii="Times New Roman" w:hAnsi="Times New Roman" w:cs="Times New Roman"/>
          <w:sz w:val="24"/>
          <w:szCs w:val="24"/>
        </w:rPr>
      </w:pPr>
      <w:r>
        <w:rPr>
          <w:rFonts w:ascii="Times New Roman" w:hAnsi="Times New Roman" w:cs="Times New Roman"/>
          <w:sz w:val="24"/>
          <w:szCs w:val="24"/>
        </w:rPr>
        <w:t>a</w:t>
      </w:r>
      <w:r w:rsidR="008147FC">
        <w:rPr>
          <w:rFonts w:ascii="Times New Roman" w:hAnsi="Times New Roman" w:cs="Times New Roman"/>
          <w:sz w:val="24"/>
          <w:szCs w:val="24"/>
        </w:rPr>
        <w:t>nd</w:t>
      </w:r>
    </w:p>
    <w:p w:rsidR="008147FC" w:rsidRDefault="008147FC" w:rsidP="001D1E65">
      <w:pPr>
        <w:spacing w:after="0"/>
        <w:jc w:val="both"/>
        <w:rPr>
          <w:rFonts w:ascii="Times New Roman" w:hAnsi="Times New Roman" w:cs="Times New Roman"/>
          <w:sz w:val="24"/>
          <w:szCs w:val="24"/>
        </w:rPr>
      </w:pPr>
      <w:r>
        <w:rPr>
          <w:rFonts w:ascii="Times New Roman" w:hAnsi="Times New Roman" w:cs="Times New Roman"/>
          <w:sz w:val="24"/>
          <w:szCs w:val="24"/>
        </w:rPr>
        <w:t>MASTER OF THE HIGH COURT</w:t>
      </w:r>
    </w:p>
    <w:p w:rsidR="008147FC" w:rsidRDefault="008147FC" w:rsidP="001D1E65">
      <w:pPr>
        <w:spacing w:after="0"/>
        <w:jc w:val="both"/>
        <w:rPr>
          <w:rFonts w:ascii="Times New Roman" w:hAnsi="Times New Roman" w:cs="Times New Roman"/>
          <w:sz w:val="24"/>
          <w:szCs w:val="24"/>
        </w:rPr>
      </w:pPr>
    </w:p>
    <w:p w:rsidR="008147FC" w:rsidRDefault="008147FC" w:rsidP="001D1E65">
      <w:pPr>
        <w:spacing w:after="0"/>
        <w:jc w:val="both"/>
        <w:rPr>
          <w:rFonts w:ascii="Times New Roman" w:hAnsi="Times New Roman" w:cs="Times New Roman"/>
          <w:sz w:val="24"/>
          <w:szCs w:val="24"/>
        </w:rPr>
      </w:pPr>
    </w:p>
    <w:p w:rsidR="008147FC" w:rsidRDefault="008147FC" w:rsidP="001D1E65">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8147FC" w:rsidRDefault="008147FC" w:rsidP="001D1E65">
      <w:pPr>
        <w:spacing w:after="0"/>
        <w:jc w:val="both"/>
        <w:rPr>
          <w:rFonts w:ascii="Times New Roman" w:hAnsi="Times New Roman" w:cs="Times New Roman"/>
          <w:sz w:val="24"/>
          <w:szCs w:val="24"/>
        </w:rPr>
      </w:pPr>
      <w:r>
        <w:rPr>
          <w:rFonts w:ascii="Times New Roman" w:hAnsi="Times New Roman" w:cs="Times New Roman"/>
          <w:sz w:val="24"/>
          <w:szCs w:val="24"/>
        </w:rPr>
        <w:t>MAKONI J</w:t>
      </w:r>
    </w:p>
    <w:p w:rsidR="008147FC" w:rsidRDefault="008147FC" w:rsidP="001D1E65">
      <w:pPr>
        <w:spacing w:after="0"/>
        <w:jc w:val="both"/>
        <w:rPr>
          <w:rFonts w:ascii="Times New Roman" w:hAnsi="Times New Roman" w:cs="Times New Roman"/>
          <w:sz w:val="24"/>
          <w:szCs w:val="24"/>
        </w:rPr>
      </w:pPr>
      <w:r>
        <w:rPr>
          <w:rFonts w:ascii="Times New Roman" w:hAnsi="Times New Roman" w:cs="Times New Roman"/>
          <w:sz w:val="24"/>
          <w:szCs w:val="24"/>
        </w:rPr>
        <w:t>HARARE, 1 December 2011</w:t>
      </w:r>
    </w:p>
    <w:p w:rsidR="008147FC" w:rsidRDefault="008147FC" w:rsidP="001D1E65">
      <w:pPr>
        <w:spacing w:after="0"/>
        <w:jc w:val="both"/>
        <w:rPr>
          <w:rFonts w:ascii="Times New Roman" w:hAnsi="Times New Roman" w:cs="Times New Roman"/>
          <w:sz w:val="24"/>
          <w:szCs w:val="24"/>
        </w:rPr>
      </w:pPr>
    </w:p>
    <w:p w:rsidR="008147FC" w:rsidRPr="008147FC" w:rsidRDefault="008147FC" w:rsidP="001D1E65">
      <w:pPr>
        <w:spacing w:after="0"/>
        <w:jc w:val="both"/>
        <w:rPr>
          <w:rFonts w:ascii="Times New Roman" w:hAnsi="Times New Roman" w:cs="Times New Roman"/>
          <w:b/>
          <w:sz w:val="24"/>
          <w:szCs w:val="24"/>
        </w:rPr>
      </w:pPr>
      <w:r w:rsidRPr="008147FC">
        <w:rPr>
          <w:rFonts w:ascii="Times New Roman" w:hAnsi="Times New Roman" w:cs="Times New Roman"/>
          <w:b/>
          <w:sz w:val="24"/>
          <w:szCs w:val="24"/>
        </w:rPr>
        <w:t>Opposed Matter</w:t>
      </w:r>
    </w:p>
    <w:p w:rsidR="008147FC" w:rsidRDefault="008147FC" w:rsidP="001D1E65">
      <w:pPr>
        <w:spacing w:after="0"/>
        <w:jc w:val="both"/>
        <w:rPr>
          <w:rFonts w:ascii="Times New Roman" w:hAnsi="Times New Roman" w:cs="Times New Roman"/>
          <w:sz w:val="24"/>
          <w:szCs w:val="24"/>
        </w:rPr>
      </w:pPr>
    </w:p>
    <w:p w:rsidR="008147FC" w:rsidRDefault="008147FC" w:rsidP="001D1E65">
      <w:pPr>
        <w:spacing w:after="0"/>
        <w:jc w:val="both"/>
        <w:rPr>
          <w:rFonts w:ascii="Times New Roman" w:hAnsi="Times New Roman" w:cs="Times New Roman"/>
          <w:sz w:val="24"/>
          <w:szCs w:val="24"/>
        </w:rPr>
      </w:pPr>
      <w:r>
        <w:rPr>
          <w:rFonts w:ascii="Times New Roman" w:hAnsi="Times New Roman" w:cs="Times New Roman"/>
          <w:i/>
          <w:sz w:val="24"/>
          <w:szCs w:val="24"/>
        </w:rPr>
        <w:t>M Mavhunga</w:t>
      </w:r>
      <w:r>
        <w:rPr>
          <w:rFonts w:ascii="Times New Roman" w:hAnsi="Times New Roman" w:cs="Times New Roman"/>
          <w:sz w:val="24"/>
          <w:szCs w:val="24"/>
        </w:rPr>
        <w:t>, for the applicant</w:t>
      </w:r>
    </w:p>
    <w:p w:rsidR="008147FC" w:rsidRDefault="008147FC" w:rsidP="001D1E65">
      <w:pPr>
        <w:spacing w:after="0"/>
        <w:jc w:val="both"/>
        <w:rPr>
          <w:rFonts w:ascii="Times New Roman" w:hAnsi="Times New Roman" w:cs="Times New Roman"/>
          <w:sz w:val="24"/>
          <w:szCs w:val="24"/>
        </w:rPr>
      </w:pPr>
      <w:r>
        <w:rPr>
          <w:rFonts w:ascii="Times New Roman" w:hAnsi="Times New Roman" w:cs="Times New Roman"/>
          <w:i/>
          <w:sz w:val="24"/>
          <w:szCs w:val="24"/>
        </w:rPr>
        <w:t>S Chatsanga</w:t>
      </w:r>
      <w:r>
        <w:rPr>
          <w:rFonts w:ascii="Times New Roman" w:hAnsi="Times New Roman" w:cs="Times New Roman"/>
          <w:sz w:val="24"/>
          <w:szCs w:val="24"/>
        </w:rPr>
        <w:t>, for the first respondent</w:t>
      </w:r>
    </w:p>
    <w:p w:rsidR="008147FC" w:rsidRDefault="008147FC" w:rsidP="001D1E65">
      <w:pPr>
        <w:spacing w:after="0"/>
        <w:jc w:val="both"/>
        <w:rPr>
          <w:rFonts w:ascii="Times New Roman" w:hAnsi="Times New Roman" w:cs="Times New Roman"/>
          <w:sz w:val="24"/>
          <w:szCs w:val="24"/>
        </w:rPr>
      </w:pPr>
    </w:p>
    <w:p w:rsidR="008147FC" w:rsidRDefault="008147FC" w:rsidP="001D1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MAKONI J:</w:t>
      </w:r>
      <w:r>
        <w:rPr>
          <w:rFonts w:ascii="Times New Roman" w:hAnsi="Times New Roman" w:cs="Times New Roman"/>
          <w:sz w:val="24"/>
          <w:szCs w:val="24"/>
        </w:rPr>
        <w:tab/>
        <w:t>At the hearing of this matter, I dismissed the application with costs and advised that the reasons will follow later. These are they:</w:t>
      </w:r>
    </w:p>
    <w:p w:rsidR="008147FC" w:rsidRDefault="008147FC" w:rsidP="001D1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approached this court seeking an order that the agreement of sale entered into by Miriam Chada (Miriam) acting as Executor of the Estate late Selestino Chada be declared valid, that the second respondent be ordered to effect cession of house number 727 Glen Norah A (“the </w:t>
      </w:r>
      <w:r w:rsidR="007C3A4C">
        <w:rPr>
          <w:rFonts w:ascii="Times New Roman" w:hAnsi="Times New Roman" w:cs="Times New Roman"/>
          <w:sz w:val="24"/>
          <w:szCs w:val="24"/>
        </w:rPr>
        <w:t>property”) into the applicant’s name and that the respondents pay costs of suit.</w:t>
      </w:r>
    </w:p>
    <w:p w:rsidR="008147FC" w:rsidRDefault="007C3A4C" w:rsidP="001D1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to the matter is that upon the death of Selestino one Miriam Chada (Miriam) was appointed executrix of the Estate. She was appointed on 1 May 2008. On 2 and 3 June 2009, Miriam entered into an agreement of sale of the property, with the applicant.</w:t>
      </w:r>
    </w:p>
    <w:p w:rsidR="007C3A4C" w:rsidRDefault="007C3A4C" w:rsidP="001D1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24 September 2009 one Ropafadzo Chada (Ropafadzo) instituted proceedings in HC 4474/09, claiming the removal of Miriam as executrix of Estate late Selestino Chada, that a fresh edict meeting be convened for the appointment of a neutral executor, that records DRH 625/08 and DR 521/09 be married together for purposes of the edict meeting and that the first respondent pays costs of the application.</w:t>
      </w:r>
    </w:p>
    <w:p w:rsidR="007C3A4C" w:rsidRDefault="007C3A4C" w:rsidP="001D1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Miriam and Ropafadzo were both married to the late Selestino in terms of the African Marriages Act [</w:t>
      </w:r>
      <w:r>
        <w:rPr>
          <w:rFonts w:ascii="Times New Roman" w:hAnsi="Times New Roman" w:cs="Times New Roman"/>
          <w:i/>
          <w:sz w:val="24"/>
          <w:szCs w:val="24"/>
        </w:rPr>
        <w:t>Cap 238</w:t>
      </w:r>
      <w:r>
        <w:rPr>
          <w:rFonts w:ascii="Times New Roman" w:hAnsi="Times New Roman" w:cs="Times New Roman"/>
          <w:sz w:val="24"/>
          <w:szCs w:val="24"/>
        </w:rPr>
        <w:t>]. They both had children with Selestino.</w:t>
      </w:r>
    </w:p>
    <w:p w:rsidR="00950ED8" w:rsidRDefault="007C3A4C" w:rsidP="001D1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basis for Ropafadzo’s application was that Miriam misrepresented facts at the registration of the Estate by excluding her children and herself as beneficiaries of the estate and that she was not acting in the interests of the beneficiaries to the estate. </w:t>
      </w:r>
      <w:r w:rsidR="00C35873">
        <w:rPr>
          <w:rFonts w:ascii="Times New Roman" w:hAnsi="Times New Roman" w:cs="Times New Roman"/>
          <w:sz w:val="24"/>
          <w:szCs w:val="24"/>
        </w:rPr>
        <w:t>On the day of hearing, the first respondent defaulted and default judgment was entered against her.</w:t>
      </w:r>
      <w:r w:rsidR="004643CA">
        <w:rPr>
          <w:rFonts w:ascii="Times New Roman" w:hAnsi="Times New Roman" w:cs="Times New Roman"/>
          <w:sz w:val="24"/>
          <w:szCs w:val="24"/>
        </w:rPr>
        <w:t xml:space="preserve"> </w:t>
      </w:r>
      <w:r w:rsidR="00C35873">
        <w:rPr>
          <w:rFonts w:ascii="Times New Roman" w:hAnsi="Times New Roman" w:cs="Times New Roman"/>
          <w:sz w:val="24"/>
          <w:szCs w:val="24"/>
        </w:rPr>
        <w:t>The current executor was then appointed.</w:t>
      </w:r>
    </w:p>
    <w:p w:rsidR="00C35873" w:rsidRDefault="00C35873" w:rsidP="001D1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is the applicant’s contention that at the time it entered into the agreement of sale with Miriam, she was the duly appointed executor and had authority to represent the estate until that authority was annulled by the court.</w:t>
      </w:r>
    </w:p>
    <w:p w:rsidR="00C35873" w:rsidRDefault="00C35873" w:rsidP="001D1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agreement is therefore valid and binding on the estate. The only remedy available to the first respondent would be to sue the previous executor as she is personally liable for her own acts.</w:t>
      </w:r>
    </w:p>
    <w:p w:rsidR="00C35873" w:rsidRDefault="00C35873" w:rsidP="001D1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opposed on three main grounds. Firstly that the sale of an estate property was made by Miriam in her personal capacity. If it is found that she was selling it on behalf of the estate then she did not have the requisite authority from the third respondent in terms of s 120 of the Administration of Estates Act [</w:t>
      </w:r>
      <w:r>
        <w:rPr>
          <w:rFonts w:ascii="Times New Roman" w:hAnsi="Times New Roman" w:cs="Times New Roman"/>
          <w:i/>
          <w:sz w:val="24"/>
          <w:szCs w:val="24"/>
        </w:rPr>
        <w:t>Cap 6</w:t>
      </w:r>
      <w:r>
        <w:rPr>
          <w:rFonts w:ascii="Times New Roman" w:hAnsi="Times New Roman" w:cs="Times New Roman"/>
          <w:sz w:val="24"/>
          <w:szCs w:val="24"/>
        </w:rPr>
        <w:t>:01</w:t>
      </w:r>
      <w:r w:rsidRPr="00C35873">
        <w:rPr>
          <w:rFonts w:ascii="Times New Roman" w:hAnsi="Times New Roman" w:cs="Times New Roman"/>
          <w:sz w:val="24"/>
          <w:szCs w:val="24"/>
        </w:rPr>
        <w:t>]</w:t>
      </w:r>
      <w:r>
        <w:rPr>
          <w:rFonts w:ascii="Times New Roman" w:hAnsi="Times New Roman" w:cs="Times New Roman"/>
          <w:sz w:val="24"/>
          <w:szCs w:val="24"/>
        </w:rPr>
        <w:t xml:space="preserve"> (the Act). Secondly the appointment of Miriam as executrix was fraudulent as she misrepresented the number of surviving spouses and children. Thirdly, she sold the property without the consent of the other surviving spouse, </w:t>
      </w:r>
      <w:r w:rsidR="00877403">
        <w:rPr>
          <w:rFonts w:ascii="Times New Roman" w:hAnsi="Times New Roman" w:cs="Times New Roman"/>
          <w:sz w:val="24"/>
          <w:szCs w:val="24"/>
        </w:rPr>
        <w:t xml:space="preserve">i </w:t>
      </w:r>
      <w:r>
        <w:rPr>
          <w:rFonts w:ascii="Times New Roman" w:hAnsi="Times New Roman" w:cs="Times New Roman"/>
          <w:sz w:val="24"/>
          <w:szCs w:val="24"/>
        </w:rPr>
        <w:t>e Ropafadzo</w:t>
      </w:r>
      <w:r w:rsidR="00877403">
        <w:rPr>
          <w:rFonts w:ascii="Times New Roman" w:hAnsi="Times New Roman" w:cs="Times New Roman"/>
          <w:sz w:val="24"/>
          <w:szCs w:val="24"/>
        </w:rPr>
        <w:t>.</w:t>
      </w:r>
    </w:p>
    <w:p w:rsidR="00877403" w:rsidRDefault="00877403" w:rsidP="001D1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also further submitted that copy of the agreement of sale does not mention that the property being sold was part of a deceased’s estate. The agreement is silent on whether Miriam was acting in her capacity as Executrix dative.</w:t>
      </w:r>
    </w:p>
    <w:p w:rsidR="00877403" w:rsidRDefault="00877403" w:rsidP="001D1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Miriam was removed as executrix of the Estate on the basis of fraud. This is contained in a court order</w:t>
      </w:r>
      <w:r w:rsidR="00950ED8">
        <w:rPr>
          <w:rFonts w:ascii="Times New Roman" w:hAnsi="Times New Roman" w:cs="Times New Roman"/>
          <w:sz w:val="24"/>
          <w:szCs w:val="24"/>
        </w:rPr>
        <w:t xml:space="preserve"> HC 4474/09</w:t>
      </w:r>
      <w:r>
        <w:rPr>
          <w:rFonts w:ascii="Times New Roman" w:hAnsi="Times New Roman" w:cs="Times New Roman"/>
          <w:sz w:val="24"/>
          <w:szCs w:val="24"/>
        </w:rPr>
        <w:t xml:space="preserve"> which is extant. Miriam has not taken any steps to challenge that order. In my view, the issue then would be what is the effect of her removal on acts that she conducted during her time as the executrix.</w:t>
      </w:r>
    </w:p>
    <w:p w:rsidR="00877403" w:rsidRDefault="00877403" w:rsidP="001D1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same issue</w:t>
      </w:r>
      <w:r w:rsidR="00950ED8">
        <w:rPr>
          <w:rFonts w:ascii="Times New Roman" w:hAnsi="Times New Roman" w:cs="Times New Roman"/>
          <w:sz w:val="24"/>
          <w:szCs w:val="24"/>
        </w:rPr>
        <w:t>,</w:t>
      </w:r>
      <w:r>
        <w:rPr>
          <w:rFonts w:ascii="Times New Roman" w:hAnsi="Times New Roman" w:cs="Times New Roman"/>
          <w:sz w:val="24"/>
          <w:szCs w:val="24"/>
        </w:rPr>
        <w:t xml:space="preserve"> among others</w:t>
      </w:r>
      <w:r w:rsidR="00950ED8">
        <w:rPr>
          <w:rFonts w:ascii="Times New Roman" w:hAnsi="Times New Roman" w:cs="Times New Roman"/>
          <w:sz w:val="24"/>
          <w:szCs w:val="24"/>
        </w:rPr>
        <w:t>,</w:t>
      </w:r>
      <w:r>
        <w:rPr>
          <w:rFonts w:ascii="Times New Roman" w:hAnsi="Times New Roman" w:cs="Times New Roman"/>
          <w:sz w:val="24"/>
          <w:szCs w:val="24"/>
        </w:rPr>
        <w:t xml:space="preserve"> came up for determination in this court in </w:t>
      </w:r>
      <w:r>
        <w:rPr>
          <w:rFonts w:ascii="Times New Roman" w:hAnsi="Times New Roman" w:cs="Times New Roman"/>
          <w:i/>
          <w:sz w:val="24"/>
          <w:szCs w:val="24"/>
        </w:rPr>
        <w:t>Katirawu</w:t>
      </w:r>
      <w:r>
        <w:rPr>
          <w:rFonts w:ascii="Times New Roman" w:hAnsi="Times New Roman" w:cs="Times New Roman"/>
          <w:sz w:val="24"/>
          <w:szCs w:val="24"/>
        </w:rPr>
        <w:t xml:space="preserve"> v </w:t>
      </w:r>
      <w:r>
        <w:rPr>
          <w:rFonts w:ascii="Times New Roman" w:hAnsi="Times New Roman" w:cs="Times New Roman"/>
          <w:i/>
          <w:sz w:val="24"/>
          <w:szCs w:val="24"/>
        </w:rPr>
        <w:t>Katirawu &amp; Ors</w:t>
      </w:r>
      <w:r>
        <w:rPr>
          <w:rFonts w:ascii="Times New Roman" w:hAnsi="Times New Roman" w:cs="Times New Roman"/>
          <w:sz w:val="24"/>
          <w:szCs w:val="24"/>
        </w:rPr>
        <w:t xml:space="preserve"> 2007 (2) ZLR 64 (H). In this matter, MAKARAU JP (as she then was) having made a determination that the appointment of the first respondent as executor was procured by fraud she proceeded to remove the first respondent as executor commenting that:</w:t>
      </w:r>
    </w:p>
    <w:p w:rsidR="00C15A6C" w:rsidRDefault="00C15A6C" w:rsidP="001D1E65">
      <w:pPr>
        <w:spacing w:after="0" w:line="240" w:lineRule="auto"/>
        <w:ind w:left="720"/>
        <w:jc w:val="both"/>
        <w:rPr>
          <w:rFonts w:ascii="Times New Roman" w:hAnsi="Times New Roman" w:cs="Times New Roman"/>
          <w:sz w:val="24"/>
          <w:szCs w:val="24"/>
        </w:rPr>
      </w:pPr>
    </w:p>
    <w:p w:rsidR="00877403" w:rsidRPr="00877403" w:rsidRDefault="00877403" w:rsidP="001D1E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“for nothing logical can flow from a fraud. His appointment was null and void </w:t>
      </w:r>
      <w:r>
        <w:rPr>
          <w:rFonts w:ascii="Times New Roman" w:hAnsi="Times New Roman" w:cs="Times New Roman"/>
          <w:i/>
          <w:sz w:val="24"/>
          <w:szCs w:val="24"/>
        </w:rPr>
        <w:t>ab initio</w:t>
      </w:r>
      <w:r>
        <w:rPr>
          <w:rFonts w:ascii="Times New Roman" w:hAnsi="Times New Roman" w:cs="Times New Roman"/>
          <w:sz w:val="24"/>
          <w:szCs w:val="24"/>
        </w:rPr>
        <w:t xml:space="preserve"> on account of the fraud. It is as if it was never made. It is nothing and upon which nothing of consequence can</w:t>
      </w:r>
      <w:r w:rsidR="00C15A6C">
        <w:rPr>
          <w:rFonts w:ascii="Times New Roman" w:hAnsi="Times New Roman" w:cs="Times New Roman"/>
          <w:sz w:val="24"/>
          <w:szCs w:val="24"/>
        </w:rPr>
        <w:t xml:space="preserve"> hang.”</w:t>
      </w:r>
      <w:r>
        <w:rPr>
          <w:rFonts w:ascii="Times New Roman" w:hAnsi="Times New Roman" w:cs="Times New Roman"/>
          <w:sz w:val="24"/>
          <w:szCs w:val="24"/>
        </w:rPr>
        <w:t xml:space="preserve"> </w:t>
      </w:r>
    </w:p>
    <w:p w:rsidR="008147FC" w:rsidRDefault="008147FC" w:rsidP="001D1E65">
      <w:pPr>
        <w:spacing w:after="0"/>
        <w:jc w:val="both"/>
        <w:rPr>
          <w:rFonts w:ascii="Times New Roman" w:hAnsi="Times New Roman" w:cs="Times New Roman"/>
          <w:sz w:val="24"/>
          <w:szCs w:val="24"/>
        </w:rPr>
      </w:pPr>
    </w:p>
    <w:p w:rsidR="002C44A7" w:rsidRDefault="00C15A6C" w:rsidP="001D1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She then concluded  that the rights of</w:t>
      </w:r>
      <w:r w:rsidR="002C44A7">
        <w:rPr>
          <w:rFonts w:ascii="Times New Roman" w:hAnsi="Times New Roman" w:cs="Times New Roman"/>
          <w:sz w:val="24"/>
          <w:szCs w:val="24"/>
        </w:rPr>
        <w:t xml:space="preserve"> the second respondent (“the purchaser”) believed to have purchased and acquired from the first respondent are tainted by the same illegality and amount to nought by token of the same reasoning.</w:t>
      </w:r>
    </w:p>
    <w:p w:rsidR="00C15A6C" w:rsidRDefault="002C44A7" w:rsidP="001D1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same fate should befall the agreement of sale between the applicant and Miriam.</w:t>
      </w:r>
      <w:r w:rsidR="00950ED8">
        <w:rPr>
          <w:rFonts w:ascii="Times New Roman" w:hAnsi="Times New Roman" w:cs="Times New Roman"/>
          <w:sz w:val="24"/>
          <w:szCs w:val="24"/>
        </w:rPr>
        <w:t xml:space="preserve"> The appointment of Miriam as Executrix was procured by fraud.</w:t>
      </w:r>
      <w:r>
        <w:rPr>
          <w:rFonts w:ascii="Times New Roman" w:hAnsi="Times New Roman" w:cs="Times New Roman"/>
          <w:sz w:val="24"/>
          <w:szCs w:val="24"/>
        </w:rPr>
        <w:t xml:space="preserve"> It is tainted with illegality and is a nullity. What LORD DENNING said in the </w:t>
      </w:r>
      <w:r>
        <w:rPr>
          <w:rFonts w:ascii="Times New Roman" w:hAnsi="Times New Roman" w:cs="Times New Roman"/>
          <w:i/>
          <w:sz w:val="24"/>
          <w:szCs w:val="24"/>
        </w:rPr>
        <w:t>McLoy</w:t>
      </w:r>
      <w:r>
        <w:rPr>
          <w:rFonts w:ascii="Times New Roman" w:hAnsi="Times New Roman" w:cs="Times New Roman"/>
          <w:sz w:val="24"/>
          <w:szCs w:val="24"/>
        </w:rPr>
        <w:t xml:space="preserve"> v </w:t>
      </w:r>
      <w:r>
        <w:rPr>
          <w:rFonts w:ascii="Times New Roman" w:hAnsi="Times New Roman" w:cs="Times New Roman"/>
          <w:i/>
          <w:sz w:val="24"/>
          <w:szCs w:val="24"/>
        </w:rPr>
        <w:t xml:space="preserve">United Africa Company Limited </w:t>
      </w:r>
      <w:r>
        <w:rPr>
          <w:rFonts w:ascii="Times New Roman" w:hAnsi="Times New Roman" w:cs="Times New Roman"/>
          <w:sz w:val="24"/>
          <w:szCs w:val="24"/>
        </w:rPr>
        <w:t>(1961) 3 ALL ER 1169 (PC) at 1172 sums it all up:</w:t>
      </w:r>
    </w:p>
    <w:p w:rsidR="002C44A7" w:rsidRDefault="002C44A7" w:rsidP="001D1E65">
      <w:pPr>
        <w:spacing w:after="0" w:line="240" w:lineRule="auto"/>
        <w:ind w:left="720"/>
        <w:jc w:val="both"/>
        <w:rPr>
          <w:rFonts w:ascii="Times New Roman" w:hAnsi="Times New Roman" w:cs="Times New Roman"/>
          <w:sz w:val="24"/>
          <w:szCs w:val="24"/>
        </w:rPr>
      </w:pPr>
    </w:p>
    <w:p w:rsidR="002C44A7" w:rsidRDefault="002C44A7" w:rsidP="001D1E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 an act is void, then it is in law a nullity. It is not only bad, but incurably bad. There is no need for an order of the court to set it aside. It is automatically null and void without more</w:t>
      </w:r>
      <w:r w:rsidR="008230AC">
        <w:rPr>
          <w:rFonts w:ascii="Times New Roman" w:hAnsi="Times New Roman" w:cs="Times New Roman"/>
          <w:sz w:val="24"/>
          <w:szCs w:val="24"/>
        </w:rPr>
        <w:t xml:space="preserve"> acts, though it is sometimes convenient to have the court declare it to be so. And every proceeding which is founded on it is also bad and incurably bad. You cannot put something on nothing and expect it to stay there. It will collapse.”</w:t>
      </w:r>
    </w:p>
    <w:p w:rsidR="00950ED8" w:rsidRDefault="00950ED8" w:rsidP="00950ED8">
      <w:pPr>
        <w:spacing w:after="0" w:line="240" w:lineRule="auto"/>
        <w:jc w:val="both"/>
        <w:rPr>
          <w:rFonts w:ascii="Times New Roman" w:hAnsi="Times New Roman" w:cs="Times New Roman"/>
          <w:sz w:val="24"/>
          <w:szCs w:val="24"/>
        </w:rPr>
      </w:pPr>
    </w:p>
    <w:p w:rsidR="00950ED8" w:rsidRDefault="00950ED8" w:rsidP="001D1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made the above determination, it is, in my view not necessary to deal with the issue of whether Miriam entered into the agreement in a representative capacity or in her personal capacity and whether she had the requisite authority from the Master of the High Court in terms of s 120 of the Act. </w:t>
      </w:r>
    </w:p>
    <w:p w:rsidR="008230AC" w:rsidRDefault="008230AC" w:rsidP="001D1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w:t>
      </w:r>
      <w:r w:rsidR="00950ED8">
        <w:rPr>
          <w:rFonts w:ascii="Times New Roman" w:hAnsi="Times New Roman" w:cs="Times New Roman"/>
          <w:sz w:val="24"/>
          <w:szCs w:val="24"/>
        </w:rPr>
        <w:t>nt</w:t>
      </w:r>
      <w:r>
        <w:rPr>
          <w:rFonts w:ascii="Times New Roman" w:hAnsi="Times New Roman" w:cs="Times New Roman"/>
          <w:sz w:val="24"/>
          <w:szCs w:val="24"/>
        </w:rPr>
        <w:t xml:space="preserve"> cannot therefore succeed in the relief that it seeks. I will therefore make the following order:</w:t>
      </w:r>
    </w:p>
    <w:p w:rsidR="008230AC" w:rsidRDefault="008230AC" w:rsidP="00950ED8">
      <w:pPr>
        <w:spacing w:after="0" w:line="240" w:lineRule="auto"/>
        <w:jc w:val="both"/>
        <w:rPr>
          <w:rFonts w:ascii="Times New Roman" w:hAnsi="Times New Roman" w:cs="Times New Roman"/>
          <w:sz w:val="24"/>
          <w:szCs w:val="24"/>
        </w:rPr>
      </w:pPr>
    </w:p>
    <w:p w:rsidR="008230AC" w:rsidRDefault="008230AC" w:rsidP="001D1E6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 dismissed.</w:t>
      </w:r>
    </w:p>
    <w:p w:rsidR="008230AC" w:rsidRDefault="008230AC" w:rsidP="001D1E6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to pay the first respondent’s costs.</w:t>
      </w:r>
    </w:p>
    <w:p w:rsidR="008230AC" w:rsidRDefault="008230AC" w:rsidP="001D1E65">
      <w:pPr>
        <w:spacing w:after="0" w:line="360" w:lineRule="auto"/>
        <w:jc w:val="both"/>
        <w:rPr>
          <w:rFonts w:ascii="Times New Roman" w:hAnsi="Times New Roman" w:cs="Times New Roman"/>
          <w:sz w:val="24"/>
          <w:szCs w:val="24"/>
        </w:rPr>
      </w:pPr>
    </w:p>
    <w:p w:rsidR="008230AC" w:rsidRDefault="008230AC" w:rsidP="001D1E65">
      <w:pPr>
        <w:spacing w:after="0" w:line="360" w:lineRule="auto"/>
        <w:jc w:val="both"/>
        <w:rPr>
          <w:rFonts w:ascii="Times New Roman" w:hAnsi="Times New Roman" w:cs="Times New Roman"/>
          <w:sz w:val="24"/>
          <w:szCs w:val="24"/>
        </w:rPr>
      </w:pPr>
    </w:p>
    <w:p w:rsidR="008230AC" w:rsidRDefault="008230AC" w:rsidP="001D1E65">
      <w:pPr>
        <w:spacing w:after="0" w:line="360" w:lineRule="auto"/>
        <w:jc w:val="both"/>
        <w:rPr>
          <w:rFonts w:ascii="Times New Roman" w:hAnsi="Times New Roman" w:cs="Times New Roman"/>
          <w:sz w:val="24"/>
          <w:szCs w:val="24"/>
        </w:rPr>
      </w:pPr>
    </w:p>
    <w:p w:rsidR="008230AC" w:rsidRDefault="008230AC" w:rsidP="001D1E6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Mavhunga &amp; Sigauke</w:t>
      </w:r>
      <w:r>
        <w:rPr>
          <w:rFonts w:ascii="Times New Roman" w:hAnsi="Times New Roman" w:cs="Times New Roman"/>
          <w:sz w:val="24"/>
          <w:szCs w:val="24"/>
        </w:rPr>
        <w:t>, applicant’s legal practitioners</w:t>
      </w:r>
    </w:p>
    <w:p w:rsidR="008230AC" w:rsidRPr="008230AC" w:rsidRDefault="008230AC" w:rsidP="001D1E6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Robinson &amp; Makonyere</w:t>
      </w:r>
      <w:r>
        <w:rPr>
          <w:rFonts w:ascii="Times New Roman" w:hAnsi="Times New Roman" w:cs="Times New Roman"/>
          <w:sz w:val="24"/>
          <w:szCs w:val="24"/>
        </w:rPr>
        <w:t>, 1</w:t>
      </w:r>
      <w:r w:rsidRPr="008230A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8230AC" w:rsidRPr="008230A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CCA" w:rsidRDefault="00C20CCA" w:rsidP="001D1E65">
      <w:pPr>
        <w:spacing w:after="0" w:line="240" w:lineRule="auto"/>
      </w:pPr>
      <w:r>
        <w:separator/>
      </w:r>
    </w:p>
  </w:endnote>
  <w:endnote w:type="continuationSeparator" w:id="0">
    <w:p w:rsidR="00C20CCA" w:rsidRDefault="00C20CCA" w:rsidP="001D1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CCA" w:rsidRDefault="00C20CCA" w:rsidP="001D1E65">
      <w:pPr>
        <w:spacing w:after="0" w:line="240" w:lineRule="auto"/>
      </w:pPr>
      <w:r>
        <w:separator/>
      </w:r>
    </w:p>
  </w:footnote>
  <w:footnote w:type="continuationSeparator" w:id="0">
    <w:p w:rsidR="00C20CCA" w:rsidRDefault="00C20CCA" w:rsidP="001D1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691263"/>
      <w:docPartObj>
        <w:docPartGallery w:val="Page Numbers (Top of Page)"/>
        <w:docPartUnique/>
      </w:docPartObj>
    </w:sdtPr>
    <w:sdtEndPr>
      <w:rPr>
        <w:noProof/>
      </w:rPr>
    </w:sdtEndPr>
    <w:sdtContent>
      <w:p w:rsidR="001D1E65" w:rsidRDefault="001D1E65">
        <w:pPr>
          <w:pStyle w:val="Header"/>
          <w:jc w:val="right"/>
          <w:rPr>
            <w:noProof/>
          </w:rPr>
        </w:pPr>
        <w:r>
          <w:fldChar w:fldCharType="begin"/>
        </w:r>
        <w:r>
          <w:instrText xml:space="preserve"> PAGE   \* MERGEFORMAT </w:instrText>
        </w:r>
        <w:r>
          <w:fldChar w:fldCharType="separate"/>
        </w:r>
        <w:r w:rsidR="00F90EDA">
          <w:rPr>
            <w:noProof/>
          </w:rPr>
          <w:t>1</w:t>
        </w:r>
        <w:r>
          <w:rPr>
            <w:noProof/>
          </w:rPr>
          <w:fldChar w:fldCharType="end"/>
        </w:r>
      </w:p>
      <w:p w:rsidR="001D1E65" w:rsidRDefault="001D1E65">
        <w:pPr>
          <w:pStyle w:val="Header"/>
          <w:jc w:val="right"/>
          <w:rPr>
            <w:noProof/>
          </w:rPr>
        </w:pPr>
        <w:r>
          <w:rPr>
            <w:noProof/>
          </w:rPr>
          <w:t>HH</w:t>
        </w:r>
        <w:r w:rsidR="00597292">
          <w:rPr>
            <w:noProof/>
          </w:rPr>
          <w:t xml:space="preserve"> 81-2012</w:t>
        </w:r>
        <w:r>
          <w:rPr>
            <w:noProof/>
          </w:rPr>
          <w:t xml:space="preserve"> </w:t>
        </w:r>
      </w:p>
      <w:p w:rsidR="001D1E65" w:rsidRDefault="001D1E65">
        <w:pPr>
          <w:pStyle w:val="Header"/>
          <w:jc w:val="right"/>
        </w:pPr>
        <w:r>
          <w:rPr>
            <w:noProof/>
          </w:rPr>
          <w:t>HC 5376/10</w:t>
        </w:r>
      </w:p>
    </w:sdtContent>
  </w:sdt>
  <w:p w:rsidR="001D1E65" w:rsidRDefault="001D1E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A1D52"/>
    <w:multiLevelType w:val="hybridMultilevel"/>
    <w:tmpl w:val="24E266D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7FC"/>
    <w:rsid w:val="000917E0"/>
    <w:rsid w:val="001D1E65"/>
    <w:rsid w:val="002C44A7"/>
    <w:rsid w:val="003405AC"/>
    <w:rsid w:val="004643CA"/>
    <w:rsid w:val="00597292"/>
    <w:rsid w:val="007C3A4C"/>
    <w:rsid w:val="008147FC"/>
    <w:rsid w:val="008230AC"/>
    <w:rsid w:val="00877403"/>
    <w:rsid w:val="00950ED8"/>
    <w:rsid w:val="00C15A6C"/>
    <w:rsid w:val="00C20CCA"/>
    <w:rsid w:val="00C35873"/>
    <w:rsid w:val="00CD377F"/>
    <w:rsid w:val="00E7513E"/>
    <w:rsid w:val="00F04000"/>
    <w:rsid w:val="00F90E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0AC"/>
    <w:pPr>
      <w:ind w:left="720"/>
      <w:contextualSpacing/>
    </w:pPr>
  </w:style>
  <w:style w:type="paragraph" w:styleId="Header">
    <w:name w:val="header"/>
    <w:basedOn w:val="Normal"/>
    <w:link w:val="HeaderChar"/>
    <w:uiPriority w:val="99"/>
    <w:unhideWhenUsed/>
    <w:rsid w:val="001D1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E65"/>
  </w:style>
  <w:style w:type="paragraph" w:styleId="Footer">
    <w:name w:val="footer"/>
    <w:basedOn w:val="Normal"/>
    <w:link w:val="FooterChar"/>
    <w:uiPriority w:val="99"/>
    <w:unhideWhenUsed/>
    <w:rsid w:val="001D1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E65"/>
  </w:style>
  <w:style w:type="paragraph" w:styleId="BalloonText">
    <w:name w:val="Balloon Text"/>
    <w:basedOn w:val="Normal"/>
    <w:link w:val="BalloonTextChar"/>
    <w:uiPriority w:val="99"/>
    <w:semiHidden/>
    <w:unhideWhenUsed/>
    <w:rsid w:val="00CD3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7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0AC"/>
    <w:pPr>
      <w:ind w:left="720"/>
      <w:contextualSpacing/>
    </w:pPr>
  </w:style>
  <w:style w:type="paragraph" w:styleId="Header">
    <w:name w:val="header"/>
    <w:basedOn w:val="Normal"/>
    <w:link w:val="HeaderChar"/>
    <w:uiPriority w:val="99"/>
    <w:unhideWhenUsed/>
    <w:rsid w:val="001D1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E65"/>
  </w:style>
  <w:style w:type="paragraph" w:styleId="Footer">
    <w:name w:val="footer"/>
    <w:basedOn w:val="Normal"/>
    <w:link w:val="FooterChar"/>
    <w:uiPriority w:val="99"/>
    <w:unhideWhenUsed/>
    <w:rsid w:val="001D1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E65"/>
  </w:style>
  <w:style w:type="paragraph" w:styleId="BalloonText">
    <w:name w:val="Balloon Text"/>
    <w:basedOn w:val="Normal"/>
    <w:link w:val="BalloonTextChar"/>
    <w:uiPriority w:val="99"/>
    <w:semiHidden/>
    <w:unhideWhenUsed/>
    <w:rsid w:val="00CD3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7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2012-03-16T14:01:00Z</cp:lastPrinted>
  <dcterms:created xsi:type="dcterms:W3CDTF">2012-06-05T13:53:00Z</dcterms:created>
  <dcterms:modified xsi:type="dcterms:W3CDTF">2012-06-05T13:53:00Z</dcterms:modified>
</cp:coreProperties>
</file>