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D9" w:rsidRDefault="001A4BD9" w:rsidP="001A4BD9">
      <w:pPr>
        <w:spacing w:line="360" w:lineRule="auto"/>
        <w:jc w:val="both"/>
        <w:rPr>
          <w:b/>
        </w:rPr>
      </w:pPr>
      <w:r w:rsidRPr="00047C13">
        <w:rPr>
          <w:b/>
        </w:rPr>
        <w:t>IN T</w:t>
      </w:r>
      <w:r>
        <w:rPr>
          <w:b/>
        </w:rPr>
        <w:t>HE LABOUR COURT OF ZIMBABWE      JUDGMENT NO. LC/H/</w:t>
      </w:r>
      <w:r w:rsidR="003D1829">
        <w:rPr>
          <w:b/>
        </w:rPr>
        <w:t>361</w:t>
      </w:r>
      <w:r>
        <w:rPr>
          <w:b/>
        </w:rPr>
        <w:t>/2016</w:t>
      </w:r>
    </w:p>
    <w:p w:rsidR="001A4BD9" w:rsidRDefault="001A4BD9" w:rsidP="001A4BD9">
      <w:pPr>
        <w:spacing w:line="360" w:lineRule="auto"/>
        <w:jc w:val="both"/>
        <w:rPr>
          <w:b/>
        </w:rPr>
      </w:pPr>
      <w:r w:rsidRPr="00047C13">
        <w:rPr>
          <w:b/>
        </w:rPr>
        <w:t xml:space="preserve">HARARE, </w:t>
      </w:r>
      <w:r>
        <w:rPr>
          <w:b/>
        </w:rPr>
        <w:t>18 FEBRUARY 2016</w:t>
      </w:r>
      <w:r>
        <w:rPr>
          <w:b/>
        </w:rPr>
        <w:tab/>
      </w:r>
      <w:r w:rsidRPr="00047C13">
        <w:rPr>
          <w:b/>
        </w:rPr>
        <w:t xml:space="preserve">  </w:t>
      </w:r>
      <w:r w:rsidRPr="00047C13">
        <w:rPr>
          <w:b/>
        </w:rPr>
        <w:tab/>
      </w:r>
      <w:r w:rsidRPr="00047C13">
        <w:rPr>
          <w:b/>
        </w:rPr>
        <w:tab/>
      </w:r>
      <w:r>
        <w:rPr>
          <w:b/>
        </w:rPr>
        <w:t xml:space="preserve">               </w:t>
      </w:r>
      <w:r w:rsidRPr="00047C13">
        <w:rPr>
          <w:b/>
        </w:rPr>
        <w:t>CASE NO. LC/H/</w:t>
      </w:r>
      <w:r>
        <w:rPr>
          <w:b/>
        </w:rPr>
        <w:t>488/15</w:t>
      </w:r>
    </w:p>
    <w:p w:rsidR="001A4BD9" w:rsidRDefault="001A4BD9" w:rsidP="001A4BD9">
      <w:pPr>
        <w:spacing w:line="360" w:lineRule="auto"/>
        <w:jc w:val="both"/>
        <w:rPr>
          <w:b/>
        </w:rPr>
      </w:pPr>
      <w:r>
        <w:rPr>
          <w:b/>
        </w:rPr>
        <w:t xml:space="preserve">AND </w:t>
      </w:r>
      <w:r w:rsidR="00A22999">
        <w:rPr>
          <w:b/>
        </w:rPr>
        <w:t>10 JUNE</w:t>
      </w:r>
      <w:r>
        <w:rPr>
          <w:b/>
        </w:rPr>
        <w:t xml:space="preserve"> 2016</w:t>
      </w:r>
    </w:p>
    <w:p w:rsidR="001A4BD9" w:rsidRPr="00047C13" w:rsidRDefault="001A4BD9" w:rsidP="001A4BD9">
      <w:pPr>
        <w:spacing w:line="360" w:lineRule="auto"/>
        <w:jc w:val="both"/>
      </w:pPr>
      <w:r w:rsidRPr="00047C13">
        <w:t>In the matter between</w:t>
      </w:r>
      <w:r>
        <w:t>:-</w:t>
      </w:r>
    </w:p>
    <w:p w:rsidR="001A4BD9" w:rsidRPr="00047C13" w:rsidRDefault="001A4BD9" w:rsidP="001A4BD9">
      <w:pPr>
        <w:spacing w:line="360" w:lineRule="auto"/>
        <w:jc w:val="both"/>
      </w:pPr>
    </w:p>
    <w:p w:rsidR="001A4BD9" w:rsidRDefault="00A70D88" w:rsidP="001A4BD9">
      <w:pPr>
        <w:spacing w:line="360" w:lineRule="auto"/>
        <w:jc w:val="both"/>
        <w:rPr>
          <w:b/>
        </w:rPr>
      </w:pPr>
      <w:r>
        <w:rPr>
          <w:b/>
        </w:rPr>
        <w:t>FAVCO (PVT) LTD</w:t>
      </w:r>
      <w:r w:rsidR="001A4BD9">
        <w:rPr>
          <w:b/>
        </w:rPr>
        <w:tab/>
      </w:r>
      <w:r>
        <w:rPr>
          <w:b/>
        </w:rPr>
        <w:tab/>
      </w:r>
      <w:r w:rsidR="001A4BD9">
        <w:rPr>
          <w:b/>
        </w:rPr>
        <w:tab/>
      </w:r>
      <w:r w:rsidR="001A4BD9">
        <w:rPr>
          <w:b/>
        </w:rPr>
        <w:tab/>
      </w:r>
      <w:r w:rsidR="001A4BD9">
        <w:rPr>
          <w:b/>
        </w:rPr>
        <w:tab/>
      </w:r>
      <w:r w:rsidR="001A4BD9">
        <w:rPr>
          <w:b/>
        </w:rPr>
        <w:tab/>
        <w:t xml:space="preserve">Appellant </w:t>
      </w:r>
    </w:p>
    <w:p w:rsidR="001A4BD9" w:rsidRDefault="001A4BD9" w:rsidP="001A4BD9">
      <w:pPr>
        <w:spacing w:line="360" w:lineRule="auto"/>
        <w:jc w:val="both"/>
      </w:pPr>
      <w:r>
        <w:t>And</w:t>
      </w:r>
    </w:p>
    <w:p w:rsidR="001A4BD9" w:rsidRPr="00E4649E" w:rsidRDefault="00562859" w:rsidP="001A4BD9">
      <w:pPr>
        <w:spacing w:line="360" w:lineRule="auto"/>
        <w:jc w:val="both"/>
        <w:rPr>
          <w:b/>
        </w:rPr>
      </w:pPr>
      <w:r>
        <w:rPr>
          <w:b/>
        </w:rPr>
        <w:t>TAWANDA MU</w:t>
      </w:r>
      <w:bookmarkStart w:id="0" w:name="_GoBack"/>
      <w:bookmarkEnd w:id="0"/>
      <w:r w:rsidR="00A70D88">
        <w:rPr>
          <w:b/>
        </w:rPr>
        <w:t>SVAIRE</w:t>
      </w:r>
      <w:r w:rsidR="00A70D88">
        <w:rPr>
          <w:b/>
        </w:rPr>
        <w:tab/>
      </w:r>
      <w:r w:rsidR="001A4BD9">
        <w:rPr>
          <w:b/>
        </w:rPr>
        <w:tab/>
      </w:r>
      <w:r w:rsidR="001A4BD9">
        <w:rPr>
          <w:b/>
        </w:rPr>
        <w:tab/>
      </w:r>
      <w:r w:rsidR="001A4BD9">
        <w:rPr>
          <w:b/>
        </w:rPr>
        <w:tab/>
      </w:r>
      <w:r w:rsidR="001A4BD9">
        <w:rPr>
          <w:b/>
        </w:rPr>
        <w:tab/>
        <w:t>Respondent</w:t>
      </w:r>
    </w:p>
    <w:p w:rsidR="001A4BD9" w:rsidRPr="00047C13" w:rsidRDefault="001A4BD9" w:rsidP="001A4BD9">
      <w:pPr>
        <w:spacing w:line="360" w:lineRule="auto"/>
        <w:jc w:val="both"/>
        <w:rPr>
          <w:b/>
        </w:rPr>
      </w:pPr>
    </w:p>
    <w:p w:rsidR="001A4BD9" w:rsidRPr="00047C13" w:rsidRDefault="001A4BD9" w:rsidP="001A4BD9">
      <w:pPr>
        <w:spacing w:line="360" w:lineRule="auto"/>
        <w:jc w:val="both"/>
      </w:pPr>
      <w:r>
        <w:t xml:space="preserve">Before </w:t>
      </w:r>
      <w:r w:rsidRPr="00047C13">
        <w:t>Honourable</w:t>
      </w:r>
      <w:r>
        <w:t xml:space="preserve"> R. Manyangadze, J</w:t>
      </w:r>
    </w:p>
    <w:p w:rsidR="001A4BD9" w:rsidRPr="00047C13" w:rsidRDefault="001A4BD9" w:rsidP="001A4BD9">
      <w:pPr>
        <w:spacing w:line="360" w:lineRule="auto"/>
        <w:jc w:val="both"/>
      </w:pPr>
      <w:r w:rsidRPr="00047C13">
        <w:tab/>
      </w:r>
      <w:r w:rsidRPr="00047C13">
        <w:tab/>
      </w:r>
      <w:r w:rsidRPr="00047C13">
        <w:tab/>
      </w:r>
    </w:p>
    <w:p w:rsidR="001A4BD9" w:rsidRDefault="001A4BD9" w:rsidP="001A4BD9">
      <w:pPr>
        <w:spacing w:line="360" w:lineRule="auto"/>
        <w:jc w:val="both"/>
        <w:rPr>
          <w:b/>
        </w:rPr>
      </w:pPr>
      <w:r>
        <w:rPr>
          <w:b/>
        </w:rPr>
        <w:t>For Appellant</w:t>
      </w:r>
      <w:r w:rsidRPr="00047C13">
        <w:rPr>
          <w:b/>
        </w:rPr>
        <w:t xml:space="preserve"> </w:t>
      </w:r>
      <w:r w:rsidRPr="00047C13">
        <w:rPr>
          <w:b/>
        </w:rPr>
        <w:tab/>
      </w:r>
      <w:r>
        <w:rPr>
          <w:b/>
        </w:rPr>
        <w:tab/>
      </w:r>
      <w:r w:rsidR="00A70D88">
        <w:rPr>
          <w:b/>
        </w:rPr>
        <w:t>Mr. G. Jakuosi (Legal Practitioner)</w:t>
      </w:r>
    </w:p>
    <w:p w:rsidR="001A4BD9" w:rsidRPr="00CF1210" w:rsidRDefault="001A4BD9" w:rsidP="001A4BD9">
      <w:pPr>
        <w:pStyle w:val="NoSpacing"/>
        <w:spacing w:line="360" w:lineRule="auto"/>
        <w:rPr>
          <w:b/>
        </w:rPr>
      </w:pPr>
      <w:r w:rsidRPr="00494C95">
        <w:rPr>
          <w:b/>
        </w:rPr>
        <w:t>For Respondent</w:t>
      </w:r>
      <w:r>
        <w:tab/>
      </w:r>
      <w:r>
        <w:tab/>
      </w:r>
      <w:r w:rsidR="00F22B02">
        <w:rPr>
          <w:b/>
        </w:rPr>
        <w:t xml:space="preserve">Mr W. </w:t>
      </w:r>
      <w:proofErr w:type="spellStart"/>
      <w:r w:rsidR="00F22B02">
        <w:rPr>
          <w:b/>
        </w:rPr>
        <w:t>Madzi</w:t>
      </w:r>
      <w:r w:rsidR="002C60F3">
        <w:rPr>
          <w:b/>
        </w:rPr>
        <w:t>mba</w:t>
      </w:r>
      <w:r w:rsidR="00F22B02">
        <w:rPr>
          <w:b/>
        </w:rPr>
        <w:t>muto</w:t>
      </w:r>
      <w:proofErr w:type="spellEnd"/>
      <w:r>
        <w:rPr>
          <w:b/>
        </w:rPr>
        <w:t xml:space="preserve"> (Legal Practitioner)</w:t>
      </w:r>
    </w:p>
    <w:p w:rsidR="001A4BD9" w:rsidRDefault="001A4BD9" w:rsidP="001A4BD9">
      <w:pPr>
        <w:pStyle w:val="NoSpacing"/>
        <w:rPr>
          <w:b/>
        </w:rPr>
      </w:pPr>
      <w:r w:rsidRPr="00CF1210">
        <w:rPr>
          <w:b/>
        </w:rPr>
        <w:tab/>
      </w:r>
      <w:r w:rsidRPr="00CF1210">
        <w:rPr>
          <w:b/>
        </w:rPr>
        <w:tab/>
      </w:r>
      <w:r w:rsidRPr="00CF1210">
        <w:rPr>
          <w:b/>
        </w:rPr>
        <w:tab/>
      </w:r>
      <w:r w:rsidRPr="00CF1210">
        <w:rPr>
          <w:b/>
        </w:rPr>
        <w:tab/>
      </w:r>
      <w:r w:rsidRPr="00CF1210">
        <w:rPr>
          <w:b/>
        </w:rPr>
        <w:tab/>
      </w:r>
    </w:p>
    <w:p w:rsidR="001A4BD9" w:rsidRPr="00CF1210" w:rsidRDefault="001A4BD9" w:rsidP="001A4BD9">
      <w:pPr>
        <w:pStyle w:val="NoSpacing"/>
        <w:rPr>
          <w:b/>
        </w:rPr>
      </w:pPr>
    </w:p>
    <w:p w:rsidR="001A4BD9" w:rsidRDefault="001A4BD9" w:rsidP="001A4BD9">
      <w:pPr>
        <w:spacing w:line="360" w:lineRule="auto"/>
        <w:jc w:val="both"/>
        <w:rPr>
          <w:b/>
        </w:rPr>
      </w:pPr>
      <w:r>
        <w:rPr>
          <w:b/>
        </w:rPr>
        <w:t>MANYANGADZE, J:</w:t>
      </w:r>
    </w:p>
    <w:p w:rsidR="004B2A1C" w:rsidRDefault="004B2A1C" w:rsidP="006C5FB3">
      <w:pPr>
        <w:spacing w:line="360" w:lineRule="auto"/>
        <w:jc w:val="both"/>
      </w:pPr>
    </w:p>
    <w:p w:rsidR="006C5FB3" w:rsidRDefault="006C5FB3" w:rsidP="006C5FB3">
      <w:pPr>
        <w:spacing w:line="360" w:lineRule="auto"/>
        <w:jc w:val="both"/>
      </w:pPr>
      <w:r>
        <w:tab/>
      </w:r>
      <w:r w:rsidR="00B77E8B">
        <w:t>This is an appeal against an arbitral award handed down on 1 April 2015 which set aside the dismissal of the respondent from appellant’s employment, and substituted it with a final written warning.</w:t>
      </w:r>
    </w:p>
    <w:p w:rsidR="00B77E8B" w:rsidRDefault="00B77E8B" w:rsidP="00EF7562">
      <w:pPr>
        <w:jc w:val="both"/>
      </w:pPr>
    </w:p>
    <w:p w:rsidR="00BB714B" w:rsidRDefault="00B77E8B" w:rsidP="006C5FB3">
      <w:pPr>
        <w:spacing w:line="360" w:lineRule="auto"/>
        <w:jc w:val="both"/>
      </w:pPr>
      <w:r>
        <w:tab/>
        <w:t>The facts constituting the background to this matter are common c</w:t>
      </w:r>
      <w:r w:rsidR="00874684">
        <w:t xml:space="preserve">ause.  The respondent was employed by the appellant as a </w:t>
      </w:r>
      <w:r w:rsidR="005D2E79">
        <w:t>De</w:t>
      </w:r>
      <w:r w:rsidR="009B0FDF">
        <w:t xml:space="preserve">spatch and Logistics Controller.  In that capacity, he was responsible for the </w:t>
      </w:r>
      <w:r w:rsidR="005D2E79">
        <w:t>de</w:t>
      </w:r>
      <w:r w:rsidR="009B0FDF">
        <w:t>spatch</w:t>
      </w:r>
      <w:r w:rsidR="004938A0">
        <w:t xml:space="preserve"> of goods to various customers.</w:t>
      </w:r>
    </w:p>
    <w:p w:rsidR="00BB714B" w:rsidRDefault="00BB714B" w:rsidP="000D22CF">
      <w:pPr>
        <w:jc w:val="both"/>
      </w:pPr>
    </w:p>
    <w:p w:rsidR="00B77E8B" w:rsidRDefault="00BB714B" w:rsidP="00E878AB">
      <w:pPr>
        <w:spacing w:line="360" w:lineRule="auto"/>
        <w:ind w:firstLine="720"/>
        <w:jc w:val="both"/>
      </w:pPr>
      <w:r>
        <w:t xml:space="preserve">On 6 July 2013, an order was </w:t>
      </w:r>
      <w:r w:rsidR="00FD3038">
        <w:t>despatched to</w:t>
      </w:r>
      <w:r w:rsidR="005D2E79">
        <w:t xml:space="preserve"> one of the </w:t>
      </w:r>
      <w:r w:rsidR="00FD3038">
        <w:t>appellant’s</w:t>
      </w:r>
      <w:r w:rsidR="005D2E79">
        <w:t xml:space="preserve"> customers, Mohammed Mussa.  The order was returned, as Mohammed Mussa was not receiving local orders that day.  This was on a Saturday.  </w:t>
      </w:r>
      <w:r w:rsidR="002C60F3">
        <w:t>T</w:t>
      </w:r>
      <w:r w:rsidR="005D2E79">
        <w:t>he respondent was off duty</w:t>
      </w:r>
      <w:r w:rsidR="00DB4568">
        <w:t>.  When the respondent assumed duty on Sunday, 7 July 2013, the returned order was handed over</w:t>
      </w:r>
      <w:r w:rsidR="00F71FEC">
        <w:t xml:space="preserve"> to him, so that it could be re-routed to </w:t>
      </w:r>
      <w:proofErr w:type="spellStart"/>
      <w:r w:rsidR="00F71FEC">
        <w:t>Muhommed</w:t>
      </w:r>
      <w:proofErr w:type="spellEnd"/>
      <w:r w:rsidR="00F71FEC">
        <w:t xml:space="preserve"> </w:t>
      </w:r>
      <w:proofErr w:type="spellStart"/>
      <w:r w:rsidR="00F71FEC">
        <w:t>Mussa</w:t>
      </w:r>
      <w:proofErr w:type="spellEnd"/>
      <w:r w:rsidR="007F492B">
        <w:t>. O</w:t>
      </w:r>
      <w:r w:rsidR="00F71FEC">
        <w:t>n Monday, 8 July</w:t>
      </w:r>
      <w:r w:rsidR="00FA67B5">
        <w:t>,</w:t>
      </w:r>
      <w:r w:rsidR="00F71FEC">
        <w:t xml:space="preserve"> the order was re-routed for delivery to Mohammed </w:t>
      </w:r>
      <w:proofErr w:type="spellStart"/>
      <w:r w:rsidR="00F71FEC">
        <w:t>Mussa</w:t>
      </w:r>
      <w:proofErr w:type="spellEnd"/>
      <w:r w:rsidR="00F71FEC">
        <w:t xml:space="preserve">, and was </w:t>
      </w:r>
      <w:r w:rsidR="00FA67B5">
        <w:t xml:space="preserve">to </w:t>
      </w:r>
      <w:r w:rsidR="009C7E61">
        <w:t xml:space="preserve">leave the premises together with deliveries to </w:t>
      </w:r>
      <w:r w:rsidR="000E058F">
        <w:t xml:space="preserve">various other customers, </w:t>
      </w:r>
      <w:r w:rsidR="001C0DB8">
        <w:t>scheduled for</w:t>
      </w:r>
      <w:r w:rsidR="00E878AB">
        <w:t xml:space="preserve"> that day.</w:t>
      </w:r>
    </w:p>
    <w:p w:rsidR="00E878AB" w:rsidRDefault="00E878AB" w:rsidP="00E878AB">
      <w:pPr>
        <w:spacing w:line="360" w:lineRule="auto"/>
        <w:ind w:firstLine="720"/>
        <w:jc w:val="both"/>
      </w:pPr>
      <w:r>
        <w:lastRenderedPageBreak/>
        <w:t xml:space="preserve">The order in question never reached its destination, Mohammed Mussa.  </w:t>
      </w:r>
      <w:r w:rsidR="00CE54B2">
        <w:t xml:space="preserve">It turned out that the invoice relating to that order had been erroneously </w:t>
      </w:r>
      <w:r w:rsidR="004962D2">
        <w:t xml:space="preserve">filed as proof of delivery by the filing clerk.  It did </w:t>
      </w:r>
      <w:r w:rsidR="001C0DB8">
        <w:t>not appear on the M</w:t>
      </w:r>
      <w:r w:rsidR="004962D2">
        <w:t xml:space="preserve">issing </w:t>
      </w:r>
      <w:r w:rsidR="00A10930">
        <w:t>Invoice</w:t>
      </w:r>
      <w:r w:rsidR="001C0DB8">
        <w:t>s</w:t>
      </w:r>
      <w:r w:rsidR="00A10930">
        <w:t xml:space="preserve"> Report released by the Finance Department.  The effect of all this was that the order was </w:t>
      </w:r>
      <w:r w:rsidR="002608A7">
        <w:t>indicated as having been despatched</w:t>
      </w:r>
      <w:r w:rsidR="00D55310">
        <w:t>,</w:t>
      </w:r>
      <w:r w:rsidR="002608A7">
        <w:t xml:space="preserve"> when in fact it had not </w:t>
      </w:r>
      <w:r w:rsidR="00AA4127">
        <w:t xml:space="preserve">been </w:t>
      </w:r>
      <w:r w:rsidR="003B7A63">
        <w:t>despatched</w:t>
      </w:r>
      <w:r w:rsidR="00AA4127">
        <w:t>.  The goods were never delivered to</w:t>
      </w:r>
      <w:r w:rsidR="00D55310">
        <w:t xml:space="preserve"> </w:t>
      </w:r>
      <w:r w:rsidR="00095614">
        <w:t>the</w:t>
      </w:r>
      <w:r w:rsidR="00AA4127">
        <w:t xml:space="preserve"> customer.</w:t>
      </w:r>
    </w:p>
    <w:p w:rsidR="00D24DB7" w:rsidRDefault="00D24DB7" w:rsidP="000D22CF">
      <w:pPr>
        <w:ind w:firstLine="720"/>
        <w:jc w:val="both"/>
      </w:pPr>
    </w:p>
    <w:p w:rsidR="00D24DB7" w:rsidRDefault="00D24DB7" w:rsidP="00E878AB">
      <w:pPr>
        <w:spacing w:line="360" w:lineRule="auto"/>
        <w:ind w:firstLine="720"/>
        <w:jc w:val="both"/>
      </w:pPr>
      <w:r>
        <w:t>For failing to effectively supervise the activities in his department and</w:t>
      </w:r>
      <w:r w:rsidR="003905D6">
        <w:t xml:space="preserve"> follow up the Mohammed Mussa consignment, the respondent was </w:t>
      </w:r>
      <w:r w:rsidR="0031019E">
        <w:t xml:space="preserve">charged with misconduct.  The charge was in terms of Section 4 (a) of the Labour </w:t>
      </w:r>
      <w:r w:rsidR="00981507">
        <w:t xml:space="preserve">(National Employment Code of Conduct) </w:t>
      </w:r>
      <w:r w:rsidR="00297482">
        <w:t>Regulations, Statutory Instrument 15 of 2006.</w:t>
      </w:r>
    </w:p>
    <w:p w:rsidR="00297482" w:rsidRDefault="00297482" w:rsidP="000D22CF">
      <w:pPr>
        <w:ind w:firstLine="720"/>
        <w:jc w:val="both"/>
      </w:pPr>
    </w:p>
    <w:p w:rsidR="00297482" w:rsidRPr="000D22CF" w:rsidRDefault="00297482" w:rsidP="000D22CF">
      <w:pPr>
        <w:spacing w:line="276" w:lineRule="auto"/>
        <w:ind w:left="720"/>
        <w:jc w:val="both"/>
        <w:rPr>
          <w:sz w:val="22"/>
          <w:szCs w:val="22"/>
        </w:rPr>
      </w:pPr>
      <w:r w:rsidRPr="000D22CF">
        <w:rPr>
          <w:sz w:val="22"/>
          <w:szCs w:val="22"/>
        </w:rPr>
        <w:t xml:space="preserve">“Any act of conduct or omission </w:t>
      </w:r>
      <w:r w:rsidR="00BC0DCF" w:rsidRPr="000D22CF">
        <w:rPr>
          <w:sz w:val="22"/>
          <w:szCs w:val="22"/>
        </w:rPr>
        <w:t>inconsistent with the fulfillment of the e</w:t>
      </w:r>
      <w:r w:rsidR="00574BC2" w:rsidRPr="000D22CF">
        <w:rPr>
          <w:sz w:val="22"/>
          <w:szCs w:val="22"/>
        </w:rPr>
        <w:t xml:space="preserve">xpress or implied conditions of </w:t>
      </w:r>
      <w:r w:rsidR="004B2A1C" w:rsidRPr="000D22CF">
        <w:rPr>
          <w:sz w:val="22"/>
          <w:szCs w:val="22"/>
        </w:rPr>
        <w:t xml:space="preserve">his </w:t>
      </w:r>
      <w:r w:rsidR="00B66B53">
        <w:rPr>
          <w:sz w:val="22"/>
          <w:szCs w:val="22"/>
        </w:rPr>
        <w:t>or her</w:t>
      </w:r>
      <w:r w:rsidR="00286ABD" w:rsidRPr="000D22CF">
        <w:rPr>
          <w:sz w:val="22"/>
          <w:szCs w:val="22"/>
        </w:rPr>
        <w:t xml:space="preserve"> contract.”</w:t>
      </w:r>
    </w:p>
    <w:p w:rsidR="00286ABD" w:rsidRDefault="00286ABD" w:rsidP="000D22CF">
      <w:pPr>
        <w:ind w:firstLine="720"/>
        <w:jc w:val="both"/>
      </w:pPr>
    </w:p>
    <w:p w:rsidR="00286ABD" w:rsidRDefault="00286ABD" w:rsidP="00E878AB">
      <w:pPr>
        <w:spacing w:line="360" w:lineRule="auto"/>
        <w:ind w:firstLine="720"/>
        <w:jc w:val="both"/>
      </w:pPr>
      <w:r>
        <w:t xml:space="preserve">A disciplinary hearing convened by the appellant found </w:t>
      </w:r>
      <w:r w:rsidR="000064E6">
        <w:t>the respondent</w:t>
      </w:r>
      <w:r>
        <w:t xml:space="preserve"> guilty and imposed </w:t>
      </w:r>
      <w:r w:rsidR="007F13D4">
        <w:t>a penalty of dismissal.  His appeal to an internal appeal authority was dismissed on 15 October 2013.  The matter was referred to a Labour Officer and subsequently to an arbitrator.</w:t>
      </w:r>
      <w:r w:rsidR="007F3E31">
        <w:t xml:space="preserve">  This le</w:t>
      </w:r>
      <w:r w:rsidR="00F572EB">
        <w:t>d to the arbitral award which is the subject of this appeal.</w:t>
      </w:r>
    </w:p>
    <w:p w:rsidR="00F572EB" w:rsidRDefault="00F572EB" w:rsidP="000D22CF">
      <w:pPr>
        <w:ind w:firstLine="720"/>
        <w:jc w:val="both"/>
      </w:pPr>
    </w:p>
    <w:p w:rsidR="00F572EB" w:rsidRDefault="00083869" w:rsidP="00E878AB">
      <w:pPr>
        <w:spacing w:line="360" w:lineRule="auto"/>
        <w:ind w:firstLine="720"/>
        <w:jc w:val="both"/>
      </w:pPr>
      <w:r>
        <w:t xml:space="preserve">The grounds of appeal are stated as; </w:t>
      </w:r>
    </w:p>
    <w:p w:rsidR="00D019AA" w:rsidRDefault="00D019AA" w:rsidP="000D22CF">
      <w:pPr>
        <w:ind w:firstLine="720"/>
        <w:jc w:val="both"/>
      </w:pPr>
    </w:p>
    <w:p w:rsidR="007520AD" w:rsidRPr="000D22CF" w:rsidRDefault="00B37AAB" w:rsidP="000D22CF">
      <w:pPr>
        <w:spacing w:line="276" w:lineRule="auto"/>
        <w:ind w:left="1440" w:hanging="720"/>
        <w:jc w:val="both"/>
        <w:rPr>
          <w:sz w:val="22"/>
          <w:szCs w:val="22"/>
        </w:rPr>
      </w:pPr>
      <w:r>
        <w:t>“1</w:t>
      </w:r>
      <w:r>
        <w:tab/>
      </w:r>
      <w:r w:rsidRPr="000D22CF">
        <w:rPr>
          <w:sz w:val="22"/>
          <w:szCs w:val="22"/>
        </w:rPr>
        <w:t xml:space="preserve">Having upheld the Respondent’s </w:t>
      </w:r>
      <w:r w:rsidR="00012AB9" w:rsidRPr="000D22CF">
        <w:rPr>
          <w:sz w:val="22"/>
          <w:szCs w:val="22"/>
        </w:rPr>
        <w:t xml:space="preserve">conviction, the Honourable Arbitrator erred at law and seriously misdirected himself on the facts by interfering with the penalty </w:t>
      </w:r>
      <w:r w:rsidR="005461E1" w:rsidRPr="000D22CF">
        <w:rPr>
          <w:sz w:val="22"/>
          <w:szCs w:val="22"/>
        </w:rPr>
        <w:t xml:space="preserve">meted out by the employer in the </w:t>
      </w:r>
      <w:r w:rsidR="007520AD" w:rsidRPr="000D22CF">
        <w:rPr>
          <w:sz w:val="22"/>
          <w:szCs w:val="22"/>
        </w:rPr>
        <w:t>absence</w:t>
      </w:r>
      <w:r w:rsidR="005461E1" w:rsidRPr="000D22CF">
        <w:rPr>
          <w:sz w:val="22"/>
          <w:szCs w:val="22"/>
        </w:rPr>
        <w:t xml:space="preserve"> of a serious</w:t>
      </w:r>
      <w:r w:rsidR="007520AD" w:rsidRPr="000D22CF">
        <w:rPr>
          <w:sz w:val="22"/>
          <w:szCs w:val="22"/>
        </w:rPr>
        <w:t xml:space="preserve"> misdirection in the employer’s choice of penalty.</w:t>
      </w:r>
    </w:p>
    <w:p w:rsidR="00193B5E" w:rsidRPr="000D22CF" w:rsidRDefault="007520AD" w:rsidP="000D22CF">
      <w:pPr>
        <w:spacing w:line="276" w:lineRule="auto"/>
        <w:ind w:left="1440" w:hanging="720"/>
        <w:jc w:val="both"/>
        <w:rPr>
          <w:sz w:val="22"/>
          <w:szCs w:val="22"/>
        </w:rPr>
      </w:pPr>
      <w:r w:rsidRPr="000D22CF">
        <w:rPr>
          <w:sz w:val="22"/>
          <w:szCs w:val="22"/>
        </w:rPr>
        <w:t xml:space="preserve"> 2.</w:t>
      </w:r>
      <w:r w:rsidRPr="000D22CF">
        <w:rPr>
          <w:sz w:val="22"/>
          <w:szCs w:val="22"/>
        </w:rPr>
        <w:tab/>
        <w:t>The Honourable Arbitrator erred at law in pre-quantify</w:t>
      </w:r>
      <w:r w:rsidR="0097229C" w:rsidRPr="000D22CF">
        <w:rPr>
          <w:sz w:val="22"/>
          <w:szCs w:val="22"/>
        </w:rPr>
        <w:t xml:space="preserve">ing damages in the form of back pay from the date of dismissal to the date of award without subjecting same to whether or not the Respondent could </w:t>
      </w:r>
      <w:r w:rsidR="00193B5E" w:rsidRPr="000D22CF">
        <w:rPr>
          <w:sz w:val="22"/>
          <w:szCs w:val="22"/>
        </w:rPr>
        <w:t>have successfully mitigated such a loss.”</w:t>
      </w:r>
    </w:p>
    <w:p w:rsidR="00193B5E" w:rsidRDefault="00193B5E" w:rsidP="000D22CF">
      <w:pPr>
        <w:jc w:val="both"/>
      </w:pPr>
    </w:p>
    <w:p w:rsidR="001A44BA" w:rsidRDefault="00193B5E" w:rsidP="00193B5E">
      <w:pPr>
        <w:spacing w:line="360" w:lineRule="auto"/>
        <w:jc w:val="both"/>
      </w:pPr>
      <w:r>
        <w:t xml:space="preserve">It is clear this appeal arises from the penalty imposed by the arbitrator, in substitution </w:t>
      </w:r>
      <w:r w:rsidR="009C25E8">
        <w:t>of</w:t>
      </w:r>
      <w:r>
        <w:t xml:space="preserve"> </w:t>
      </w:r>
      <w:r w:rsidR="009C25E8">
        <w:t>that</w:t>
      </w:r>
      <w:r>
        <w:t xml:space="preserve"> imposed by the respondent’s disci</w:t>
      </w:r>
      <w:r w:rsidR="009C25E8">
        <w:t>plinary authority.</w:t>
      </w:r>
      <w:r w:rsidR="005461E1">
        <w:t xml:space="preserve">   </w:t>
      </w:r>
    </w:p>
    <w:p w:rsidR="001A44BA" w:rsidRDefault="001A44BA" w:rsidP="000D22CF">
      <w:pPr>
        <w:jc w:val="both"/>
      </w:pPr>
    </w:p>
    <w:p w:rsidR="00EA2416" w:rsidRDefault="001A44BA" w:rsidP="000D22CF">
      <w:pPr>
        <w:spacing w:line="360" w:lineRule="auto"/>
        <w:ind w:firstLine="720"/>
        <w:jc w:val="both"/>
      </w:pPr>
      <w:r>
        <w:t xml:space="preserve">The </w:t>
      </w:r>
      <w:r w:rsidR="00CB050D">
        <w:t xml:space="preserve">appellant; in the </w:t>
      </w:r>
      <w:r w:rsidR="00E4396D">
        <w:t>main</w:t>
      </w:r>
      <w:r w:rsidR="00CB050D">
        <w:t>, argues that it was improper for the arbitrator to i</w:t>
      </w:r>
      <w:r w:rsidR="00E4396D">
        <w:t>nterfere with the penalty meted</w:t>
      </w:r>
      <w:r w:rsidR="00CB050D">
        <w:t xml:space="preserve"> out by </w:t>
      </w:r>
      <w:proofErr w:type="gramStart"/>
      <w:r w:rsidR="00CB050D">
        <w:t xml:space="preserve">the  </w:t>
      </w:r>
      <w:r w:rsidR="003A0B44">
        <w:t>disciplinary</w:t>
      </w:r>
      <w:proofErr w:type="gramEnd"/>
      <w:r w:rsidR="003A0B44">
        <w:t xml:space="preserve"> tribunal.  It was a</w:t>
      </w:r>
      <w:r w:rsidR="00CB050D">
        <w:t xml:space="preserve">n exercise </w:t>
      </w:r>
      <w:r w:rsidR="00CB050D">
        <w:lastRenderedPageBreak/>
        <w:t>of discretion by that tribunal</w:t>
      </w:r>
      <w:r w:rsidR="007764B3">
        <w:t xml:space="preserve">, which should not be easily </w:t>
      </w:r>
      <w:r w:rsidR="00975C1D">
        <w:t>interfered</w:t>
      </w:r>
      <w:r w:rsidR="007764B3">
        <w:t xml:space="preserve"> </w:t>
      </w:r>
      <w:r w:rsidR="00DB0305">
        <w:t xml:space="preserve">with.  In this regard, the </w:t>
      </w:r>
      <w:r w:rsidR="00975C1D">
        <w:t>appellant</w:t>
      </w:r>
      <w:r w:rsidR="00DB0305">
        <w:t xml:space="preserve"> referred to the case of </w:t>
      </w:r>
      <w:r w:rsidR="00DB0305" w:rsidRPr="002500CF">
        <w:rPr>
          <w:i/>
        </w:rPr>
        <w:t>Tenesi</w:t>
      </w:r>
      <w:r w:rsidR="00DB0305">
        <w:t xml:space="preserve"> </w:t>
      </w:r>
      <w:r w:rsidR="00C6114F">
        <w:t xml:space="preserve">vs </w:t>
      </w:r>
      <w:r w:rsidR="00C6114F" w:rsidRPr="002500CF">
        <w:rPr>
          <w:i/>
        </w:rPr>
        <w:t>Public Service</w:t>
      </w:r>
      <w:r w:rsidR="00C6114F">
        <w:t xml:space="preserve"> </w:t>
      </w:r>
      <w:r w:rsidR="00C6114F" w:rsidRPr="002500CF">
        <w:rPr>
          <w:i/>
        </w:rPr>
        <w:t>Commission</w:t>
      </w:r>
      <w:r w:rsidR="00C6114F">
        <w:t xml:space="preserve"> 1996 (1) ZLR 196 wherein the Court cited </w:t>
      </w:r>
      <w:r w:rsidR="002500CF">
        <w:t xml:space="preserve">with approval </w:t>
      </w:r>
      <w:r w:rsidR="00975C1D">
        <w:t>remarks</w:t>
      </w:r>
      <w:r w:rsidR="002500CF">
        <w:t xml:space="preserve"> in the South </w:t>
      </w:r>
      <w:r w:rsidR="00851C67">
        <w:t xml:space="preserve">African case of </w:t>
      </w:r>
      <w:proofErr w:type="spellStart"/>
      <w:r w:rsidR="00975C1D">
        <w:rPr>
          <w:i/>
        </w:rPr>
        <w:t>Osk</w:t>
      </w:r>
      <w:r w:rsidR="00851C67" w:rsidRPr="000D22CF">
        <w:rPr>
          <w:i/>
        </w:rPr>
        <w:t>ill</w:t>
      </w:r>
      <w:proofErr w:type="spellEnd"/>
      <w:r w:rsidR="00851C67" w:rsidRPr="000D22CF">
        <w:rPr>
          <w:i/>
        </w:rPr>
        <w:t xml:space="preserve"> Properties</w:t>
      </w:r>
      <w:r w:rsidR="00851C67">
        <w:t xml:space="preserve"> </w:t>
      </w:r>
      <w:proofErr w:type="spellStart"/>
      <w:r w:rsidR="00851C67">
        <w:t>vs</w:t>
      </w:r>
      <w:proofErr w:type="spellEnd"/>
      <w:r w:rsidR="00851C67">
        <w:t xml:space="preserve"> </w:t>
      </w:r>
      <w:r w:rsidR="00851C67" w:rsidRPr="000D22CF">
        <w:rPr>
          <w:i/>
        </w:rPr>
        <w:t>Chairman Rent Control Board</w:t>
      </w:r>
      <w:r w:rsidR="00851C67">
        <w:t xml:space="preserve"> 1985 (2) SA 234, at 37;</w:t>
      </w:r>
    </w:p>
    <w:p w:rsidR="00EA2416" w:rsidRDefault="00EA2416" w:rsidP="00DC6B70">
      <w:pPr>
        <w:jc w:val="both"/>
      </w:pPr>
    </w:p>
    <w:p w:rsidR="00A67BDB" w:rsidRPr="00DC6B70" w:rsidRDefault="00EA2416" w:rsidP="00DC6B70">
      <w:pPr>
        <w:spacing w:line="276" w:lineRule="auto"/>
        <w:ind w:left="720"/>
        <w:jc w:val="both"/>
        <w:rPr>
          <w:sz w:val="22"/>
          <w:szCs w:val="22"/>
        </w:rPr>
      </w:pPr>
      <w:r w:rsidRPr="00DC6B70">
        <w:rPr>
          <w:sz w:val="22"/>
          <w:szCs w:val="22"/>
        </w:rPr>
        <w:t>“It should be emphasized that a court of law will not interfere w</w:t>
      </w:r>
      <w:r w:rsidR="00784695" w:rsidRPr="00DC6B70">
        <w:rPr>
          <w:sz w:val="22"/>
          <w:szCs w:val="22"/>
        </w:rPr>
        <w:t xml:space="preserve">ith the exercise of its discretion by a quasi-judicial body merely on grounds that it was unreasonable.  To warrant interference on grounds of unreasonableness, the </w:t>
      </w:r>
      <w:r w:rsidR="00194327" w:rsidRPr="00DC6B70">
        <w:rPr>
          <w:sz w:val="22"/>
          <w:szCs w:val="22"/>
        </w:rPr>
        <w:t>unreasonableness</w:t>
      </w:r>
      <w:r w:rsidR="00784695" w:rsidRPr="00DC6B70">
        <w:rPr>
          <w:sz w:val="22"/>
          <w:szCs w:val="22"/>
        </w:rPr>
        <w:t xml:space="preserve"> must</w:t>
      </w:r>
      <w:r w:rsidR="00194327" w:rsidRPr="00DC6B70">
        <w:rPr>
          <w:sz w:val="22"/>
          <w:szCs w:val="22"/>
        </w:rPr>
        <w:t xml:space="preserve"> be so gross that something else can be inferred</w:t>
      </w:r>
      <w:r w:rsidR="005461E1" w:rsidRPr="00DC6B70">
        <w:rPr>
          <w:sz w:val="22"/>
          <w:szCs w:val="22"/>
        </w:rPr>
        <w:t xml:space="preserve"> </w:t>
      </w:r>
      <w:r w:rsidR="00C55284" w:rsidRPr="00DC6B70">
        <w:rPr>
          <w:sz w:val="22"/>
          <w:szCs w:val="22"/>
        </w:rPr>
        <w:t>from it.  In reviewing the proceedings of a statutory or other body lawfully vested with a discretion, the jurisdiction of a court of law is limited to the question whether that body in fact exercised its discretion.  It has no jurisdiction to enquire into</w:t>
      </w:r>
      <w:r w:rsidR="00F34693" w:rsidRPr="00DC6B70">
        <w:rPr>
          <w:sz w:val="22"/>
          <w:szCs w:val="22"/>
        </w:rPr>
        <w:t xml:space="preserve"> the correctness of the conclusion arrived at by it on the evidence before it.  See </w:t>
      </w:r>
      <w:r w:rsidR="00F34693" w:rsidRPr="00DC6B70">
        <w:rPr>
          <w:i/>
          <w:sz w:val="22"/>
          <w:szCs w:val="22"/>
        </w:rPr>
        <w:t xml:space="preserve">Schoch </w:t>
      </w:r>
      <w:r w:rsidR="00F34693" w:rsidRPr="00DC6B70">
        <w:rPr>
          <w:sz w:val="22"/>
          <w:szCs w:val="22"/>
        </w:rPr>
        <w:t xml:space="preserve">NO &amp; </w:t>
      </w:r>
      <w:r w:rsidR="00126161" w:rsidRPr="00DC6B70">
        <w:rPr>
          <w:i/>
          <w:sz w:val="22"/>
          <w:szCs w:val="22"/>
        </w:rPr>
        <w:t>Ors v Bhettay &amp; Ors</w:t>
      </w:r>
      <w:r w:rsidR="00126161" w:rsidRPr="00DC6B70">
        <w:rPr>
          <w:sz w:val="22"/>
          <w:szCs w:val="22"/>
        </w:rPr>
        <w:t xml:space="preserve"> 1974 (4) SA 860 (A) at 866 E-F.</w:t>
      </w:r>
      <w:r w:rsidR="00A67BDB" w:rsidRPr="00DC6B70">
        <w:rPr>
          <w:sz w:val="22"/>
          <w:szCs w:val="22"/>
        </w:rPr>
        <w:t>”</w:t>
      </w:r>
    </w:p>
    <w:p w:rsidR="00A67BDB" w:rsidRDefault="00A67BDB" w:rsidP="00890816">
      <w:pPr>
        <w:jc w:val="both"/>
      </w:pPr>
    </w:p>
    <w:p w:rsidR="00885AC2" w:rsidRDefault="00A67BDB" w:rsidP="00193B5E">
      <w:pPr>
        <w:spacing w:line="360" w:lineRule="auto"/>
        <w:jc w:val="both"/>
      </w:pPr>
      <w:r>
        <w:tab/>
        <w:t>The remarks in the case cited by the appellant,</w:t>
      </w:r>
      <w:r w:rsidR="009B779B">
        <w:t xml:space="preserve"> it must be </w:t>
      </w:r>
      <w:r w:rsidR="00C84B80">
        <w:t>noted</w:t>
      </w:r>
      <w:r>
        <w:t>, were dealing with the review of</w:t>
      </w:r>
      <w:r w:rsidR="00C84B80">
        <w:t xml:space="preserve"> proceedings by a </w:t>
      </w:r>
      <w:r w:rsidR="007E2867">
        <w:t xml:space="preserve">Rent </w:t>
      </w:r>
      <w:r w:rsidR="006554B4">
        <w:t>Control</w:t>
      </w:r>
      <w:r w:rsidR="007E2867">
        <w:t xml:space="preserve"> Board</w:t>
      </w:r>
      <w:r w:rsidR="00C84B80">
        <w:t>.</w:t>
      </w:r>
      <w:r w:rsidR="005461E1">
        <w:t xml:space="preserve"> </w:t>
      </w:r>
      <w:r w:rsidR="000F39EF">
        <w:t xml:space="preserve">However, the </w:t>
      </w:r>
      <w:r w:rsidR="00C84B80">
        <w:t xml:space="preserve">principle </w:t>
      </w:r>
      <w:r w:rsidR="00B666A4">
        <w:t xml:space="preserve">enunciated is equally applicable </w:t>
      </w:r>
      <w:r w:rsidR="00C84B80">
        <w:t>to</w:t>
      </w:r>
      <w:r w:rsidR="00B666A4">
        <w:t xml:space="preserve"> disciplinary penalties.  It is that </w:t>
      </w:r>
      <w:r w:rsidR="00AE0811">
        <w:t>an</w:t>
      </w:r>
      <w:r w:rsidR="00B666A4">
        <w:t xml:space="preserve"> </w:t>
      </w:r>
      <w:r w:rsidR="00E90487">
        <w:t>appellate</w:t>
      </w:r>
      <w:r w:rsidR="00B666A4">
        <w:t xml:space="preserve"> court will not lightly interfere with the </w:t>
      </w:r>
      <w:r w:rsidR="00AC7D21">
        <w:t>exercise of discretion by a lower court, unless</w:t>
      </w:r>
      <w:r w:rsidR="00FD2AA1">
        <w:t xml:space="preserve"> it can be demonstrated there was serious misdirection or</w:t>
      </w:r>
      <w:r w:rsidR="00920D85">
        <w:t xml:space="preserve"> gross</w:t>
      </w:r>
      <w:r w:rsidR="00FD2AA1">
        <w:t xml:space="preserve"> unreasonableness on the part of the </w:t>
      </w:r>
      <w:r w:rsidR="0003299A">
        <w:t>lower tribunal.</w:t>
      </w:r>
    </w:p>
    <w:p w:rsidR="00885AC2" w:rsidRDefault="00885AC2" w:rsidP="00635DBF">
      <w:pPr>
        <w:jc w:val="both"/>
      </w:pPr>
    </w:p>
    <w:p w:rsidR="00454948" w:rsidRDefault="00885AC2" w:rsidP="00193B5E">
      <w:pPr>
        <w:spacing w:line="360" w:lineRule="auto"/>
        <w:jc w:val="both"/>
      </w:pPr>
      <w:r>
        <w:tab/>
        <w:t xml:space="preserve">With regard to disciplinary penalties, the case of </w:t>
      </w:r>
      <w:r w:rsidRPr="00EC7177">
        <w:rPr>
          <w:i/>
        </w:rPr>
        <w:t>Mashonaland Turf Club</w:t>
      </w:r>
      <w:r>
        <w:t xml:space="preserve"> </w:t>
      </w:r>
      <w:r w:rsidR="00001841">
        <w:t xml:space="preserve">v </w:t>
      </w:r>
      <w:r w:rsidR="00001841" w:rsidRPr="00EC7177">
        <w:rPr>
          <w:i/>
        </w:rPr>
        <w:t>Mutangadura</w:t>
      </w:r>
      <w:r w:rsidR="00AD56F2">
        <w:t xml:space="preserve"> SC</w:t>
      </w:r>
      <w:r w:rsidR="00001841">
        <w:t xml:space="preserve"> 5/12 is more specific.  The Supreme Court </w:t>
      </w:r>
      <w:r w:rsidR="00577BED">
        <w:t>stated; at pages 3-4 of the cyclostyled judgment;</w:t>
      </w:r>
    </w:p>
    <w:p w:rsidR="00454948" w:rsidRDefault="00454948" w:rsidP="00193B5E">
      <w:pPr>
        <w:spacing w:line="360" w:lineRule="auto"/>
        <w:jc w:val="both"/>
      </w:pPr>
    </w:p>
    <w:p w:rsidR="00050C56" w:rsidRDefault="00454948" w:rsidP="00A55719">
      <w:pPr>
        <w:spacing w:line="276" w:lineRule="auto"/>
        <w:ind w:left="720"/>
        <w:jc w:val="both"/>
      </w:pPr>
      <w:r w:rsidRPr="00A55719">
        <w:rPr>
          <w:sz w:val="22"/>
          <w:szCs w:val="22"/>
        </w:rPr>
        <w:t xml:space="preserve">“In the exercise of their powers in terms of S12B(4) of the Labour </w:t>
      </w:r>
      <w:r w:rsidR="00EE1CF9">
        <w:rPr>
          <w:sz w:val="22"/>
          <w:szCs w:val="22"/>
        </w:rPr>
        <w:t>Act,  t</w:t>
      </w:r>
      <w:r w:rsidR="001F6876" w:rsidRPr="00A55719">
        <w:rPr>
          <w:sz w:val="22"/>
          <w:szCs w:val="22"/>
        </w:rPr>
        <w:t xml:space="preserve">he Labour Court and Arbitrators must be reminded that the section does not confer upon them an unbounded power to alter a penalty of dismissal imposed by an employer just because they disagree with it.  </w:t>
      </w:r>
      <w:r w:rsidR="001F6876" w:rsidRPr="00EE1CF9">
        <w:rPr>
          <w:sz w:val="22"/>
          <w:szCs w:val="22"/>
        </w:rPr>
        <w:t>In the absence of a misdirection or unreasonableness</w:t>
      </w:r>
      <w:r w:rsidR="001F6876" w:rsidRPr="00A55719">
        <w:rPr>
          <w:sz w:val="22"/>
          <w:szCs w:val="22"/>
        </w:rPr>
        <w:t xml:space="preserve"> on the part of the employer in arriving at the decision to dismiss an employee</w:t>
      </w:r>
      <w:r w:rsidR="007E3038" w:rsidRPr="00A55719">
        <w:rPr>
          <w:sz w:val="22"/>
          <w:szCs w:val="22"/>
        </w:rPr>
        <w:t xml:space="preserve">, an appeal court will generally not interfere with the exercise of the </w:t>
      </w:r>
      <w:r w:rsidR="00B77235" w:rsidRPr="00A55719">
        <w:rPr>
          <w:sz w:val="22"/>
          <w:szCs w:val="22"/>
        </w:rPr>
        <w:t>employer’s discretion to dismiss an employee found guilty of a misconduct which goes to the root of the contract of employ</w:t>
      </w:r>
      <w:r w:rsidR="005D5987" w:rsidRPr="00A55719">
        <w:rPr>
          <w:sz w:val="22"/>
          <w:szCs w:val="22"/>
        </w:rPr>
        <w:t>ment.”</w:t>
      </w:r>
      <w:r w:rsidR="005D5987">
        <w:t xml:space="preserve"> </w:t>
      </w:r>
    </w:p>
    <w:p w:rsidR="00050C56" w:rsidRDefault="00050C56" w:rsidP="00EC7177">
      <w:pPr>
        <w:jc w:val="both"/>
      </w:pPr>
    </w:p>
    <w:p w:rsidR="0092198F" w:rsidRDefault="00050C56" w:rsidP="00193B5E">
      <w:pPr>
        <w:spacing w:line="360" w:lineRule="auto"/>
        <w:jc w:val="both"/>
      </w:pPr>
      <w:r>
        <w:tab/>
        <w:t xml:space="preserve">The position was </w:t>
      </w:r>
      <w:r w:rsidR="00162441">
        <w:t>again emphasised</w:t>
      </w:r>
      <w:r>
        <w:t xml:space="preserve"> in </w:t>
      </w:r>
      <w:proofErr w:type="spellStart"/>
      <w:r w:rsidRPr="003203AE">
        <w:rPr>
          <w:i/>
        </w:rPr>
        <w:t>Innscor</w:t>
      </w:r>
      <w:proofErr w:type="spellEnd"/>
      <w:r w:rsidRPr="003203AE">
        <w:rPr>
          <w:i/>
        </w:rPr>
        <w:t xml:space="preserve"> Africa (</w:t>
      </w:r>
      <w:proofErr w:type="spellStart"/>
      <w:r w:rsidRPr="003203AE">
        <w:rPr>
          <w:i/>
        </w:rPr>
        <w:t>Pvt</w:t>
      </w:r>
      <w:proofErr w:type="spellEnd"/>
      <w:r w:rsidRPr="003203AE">
        <w:rPr>
          <w:i/>
        </w:rPr>
        <w:t>) Ltd</w:t>
      </w:r>
      <w:r>
        <w:t xml:space="preserve"> </w:t>
      </w:r>
      <w:r w:rsidRPr="003203AE">
        <w:rPr>
          <w:i/>
        </w:rPr>
        <w:t xml:space="preserve">v </w:t>
      </w:r>
      <w:r w:rsidR="00A55719" w:rsidRPr="003203AE">
        <w:rPr>
          <w:i/>
        </w:rPr>
        <w:t>Letr</w:t>
      </w:r>
      <w:r w:rsidR="00E77E2F">
        <w:rPr>
          <w:i/>
        </w:rPr>
        <w:t>o</w:t>
      </w:r>
      <w:r w:rsidR="00A55719" w:rsidRPr="003203AE">
        <w:rPr>
          <w:i/>
        </w:rPr>
        <w:t>n Chimoto</w:t>
      </w:r>
      <w:r w:rsidR="00A55719">
        <w:t xml:space="preserve"> SC 6/12. </w:t>
      </w:r>
      <w:r w:rsidR="00162441">
        <w:t xml:space="preserve">MALABA </w:t>
      </w:r>
      <w:r w:rsidR="00A55719">
        <w:t>DCJ stated:</w:t>
      </w:r>
    </w:p>
    <w:p w:rsidR="0092198F" w:rsidRDefault="0092198F" w:rsidP="00EC7177">
      <w:pPr>
        <w:jc w:val="both"/>
      </w:pPr>
    </w:p>
    <w:p w:rsidR="00E878AB" w:rsidRPr="00EC7177" w:rsidRDefault="0092198F" w:rsidP="00EC7177">
      <w:pPr>
        <w:spacing w:line="276" w:lineRule="auto"/>
        <w:ind w:left="720"/>
        <w:jc w:val="both"/>
        <w:rPr>
          <w:sz w:val="22"/>
          <w:szCs w:val="22"/>
        </w:rPr>
      </w:pPr>
      <w:r w:rsidRPr="00EC7177">
        <w:rPr>
          <w:sz w:val="22"/>
          <w:szCs w:val="22"/>
        </w:rPr>
        <w:t xml:space="preserve">“A principle has now been firmly established to the </w:t>
      </w:r>
      <w:r w:rsidR="006253E1" w:rsidRPr="00EC7177">
        <w:rPr>
          <w:sz w:val="22"/>
          <w:szCs w:val="22"/>
        </w:rPr>
        <w:t>effect</w:t>
      </w:r>
      <w:r w:rsidRPr="00EC7177">
        <w:rPr>
          <w:sz w:val="22"/>
          <w:szCs w:val="22"/>
        </w:rPr>
        <w:t xml:space="preserve"> an appellate court should not </w:t>
      </w:r>
      <w:r w:rsidR="0030427A" w:rsidRPr="00EC7177">
        <w:rPr>
          <w:sz w:val="22"/>
          <w:szCs w:val="22"/>
        </w:rPr>
        <w:t>interfere</w:t>
      </w:r>
      <w:r w:rsidRPr="00EC7177">
        <w:rPr>
          <w:sz w:val="22"/>
          <w:szCs w:val="22"/>
        </w:rPr>
        <w:t xml:space="preserve"> with an exercise of discretion by a lower court or tribunal unless </w:t>
      </w:r>
      <w:r w:rsidR="00275D27">
        <w:rPr>
          <w:sz w:val="22"/>
          <w:szCs w:val="22"/>
        </w:rPr>
        <w:t xml:space="preserve">there </w:t>
      </w:r>
      <w:r w:rsidR="006253E1" w:rsidRPr="00EC7177">
        <w:rPr>
          <w:sz w:val="22"/>
          <w:szCs w:val="22"/>
        </w:rPr>
        <w:t>has</w:t>
      </w:r>
      <w:r w:rsidRPr="00EC7177">
        <w:rPr>
          <w:sz w:val="22"/>
          <w:szCs w:val="22"/>
        </w:rPr>
        <w:t xml:space="preserve"> been</w:t>
      </w:r>
      <w:r w:rsidR="004D7602">
        <w:rPr>
          <w:sz w:val="22"/>
          <w:szCs w:val="22"/>
        </w:rPr>
        <w:t xml:space="preserve"> a clear misdirection on</w:t>
      </w:r>
      <w:r w:rsidR="004F657A" w:rsidRPr="00EC7177">
        <w:rPr>
          <w:sz w:val="22"/>
          <w:szCs w:val="22"/>
        </w:rPr>
        <w:t xml:space="preserve"> the part of the lower court.  In this case the Labour Court did not even </w:t>
      </w:r>
      <w:r w:rsidR="00A145AE" w:rsidRPr="00EC7177">
        <w:rPr>
          <w:sz w:val="22"/>
          <w:szCs w:val="22"/>
        </w:rPr>
        <w:t>appreciate that it was dealing with a case of an exercise of discretion by the arbitrator.  The Labour Court merely substituted its own di</w:t>
      </w:r>
      <w:r w:rsidR="00AB2C39" w:rsidRPr="00EC7177">
        <w:rPr>
          <w:sz w:val="22"/>
          <w:szCs w:val="22"/>
        </w:rPr>
        <w:t>scretion for that of the arbitrator</w:t>
      </w:r>
      <w:r w:rsidR="00B33923" w:rsidRPr="00EC7177">
        <w:rPr>
          <w:sz w:val="22"/>
          <w:szCs w:val="22"/>
        </w:rPr>
        <w:t>.”</w:t>
      </w:r>
      <w:r w:rsidR="005461E1" w:rsidRPr="00EC7177">
        <w:rPr>
          <w:sz w:val="22"/>
          <w:szCs w:val="22"/>
        </w:rPr>
        <w:t xml:space="preserve">      </w:t>
      </w:r>
    </w:p>
    <w:p w:rsidR="00E3093F" w:rsidRDefault="00E3093F" w:rsidP="0030427A">
      <w:pPr>
        <w:jc w:val="both"/>
      </w:pPr>
    </w:p>
    <w:p w:rsidR="00E3093F" w:rsidRDefault="00E3093F" w:rsidP="00193B5E">
      <w:pPr>
        <w:spacing w:line="360" w:lineRule="auto"/>
        <w:jc w:val="both"/>
      </w:pPr>
      <w:r>
        <w:tab/>
        <w:t xml:space="preserve">The Supreme Court castigated both </w:t>
      </w:r>
      <w:r w:rsidR="007C5E40">
        <w:t xml:space="preserve">the Arbitral tribunal and the Labour Court for interfering with the </w:t>
      </w:r>
      <w:r w:rsidR="007A229E">
        <w:t>employer’s discre</w:t>
      </w:r>
      <w:r w:rsidR="003D7EAA">
        <w:t>tion to impose what it considered</w:t>
      </w:r>
      <w:r w:rsidR="007A229E">
        <w:t xml:space="preserve"> an appropriate penalty.  It must be noted that Letron </w:t>
      </w:r>
      <w:r w:rsidR="00810169">
        <w:t>Chimoto had</w:t>
      </w:r>
      <w:r w:rsidR="003D7EAA">
        <w:t xml:space="preserve"> not even stolen the</w:t>
      </w:r>
      <w:r w:rsidR="00E77E2F">
        <w:t xml:space="preserve"> pizza in question, valued at only US $4</w:t>
      </w:r>
      <w:proofErr w:type="gramStart"/>
      <w:r w:rsidR="00E77E2F">
        <w:t>,00</w:t>
      </w:r>
      <w:proofErr w:type="gramEnd"/>
      <w:r w:rsidR="00E77E2F">
        <w:t>.  He had disregarded the procedures relating to its production, which created</w:t>
      </w:r>
      <w:r w:rsidR="003D7EAA">
        <w:t xml:space="preserve"> an</w:t>
      </w:r>
      <w:r w:rsidR="00E77E2F">
        <w:t xml:space="preserve"> </w:t>
      </w:r>
      <w:r w:rsidR="00344B71">
        <w:t>opportunity for theft.  The employer viewed that conduct seriously, and imposed dismissal.  The arbitrator and the L</w:t>
      </w:r>
      <w:r w:rsidR="008126A2">
        <w:t>abour Court were overly concerned with the amount of prejudice to the company, and the pressure the employe</w:t>
      </w:r>
      <w:r w:rsidR="001053E7">
        <w:t>e worke</w:t>
      </w:r>
      <w:r w:rsidR="00B97845">
        <w:t>d</w:t>
      </w:r>
      <w:r w:rsidR="001053E7">
        <w:t xml:space="preserve"> under.</w:t>
      </w:r>
      <w:r w:rsidR="00B97845">
        <w:t xml:space="preserve"> Thes</w:t>
      </w:r>
      <w:r w:rsidR="00A161FD">
        <w:t>e were considered immaterial, where the e</w:t>
      </w:r>
      <w:r w:rsidR="003D71EC">
        <w:t>mployer regarded the conduct</w:t>
      </w:r>
      <w:r w:rsidR="00A81ADE">
        <w:t xml:space="preserve"> as</w:t>
      </w:r>
      <w:r w:rsidR="009D2656">
        <w:t xml:space="preserve"> one that goes to the roof of the employment relationship.</w:t>
      </w:r>
    </w:p>
    <w:p w:rsidR="008F1BA7" w:rsidRDefault="008F1BA7" w:rsidP="0030427A">
      <w:pPr>
        <w:jc w:val="both"/>
      </w:pPr>
    </w:p>
    <w:p w:rsidR="008F1BA7" w:rsidRDefault="008F1BA7" w:rsidP="0030427A">
      <w:pPr>
        <w:spacing w:line="360" w:lineRule="auto"/>
        <w:ind w:firstLine="720"/>
        <w:jc w:val="both"/>
      </w:pPr>
      <w:r>
        <w:t xml:space="preserve">Given this clear and consistent position in the authorities, I agree with the submission in paragraph 12, of the </w:t>
      </w:r>
      <w:r w:rsidR="00120560">
        <w:t xml:space="preserve">appellant’s heads of argument that; </w:t>
      </w:r>
    </w:p>
    <w:p w:rsidR="004964E1" w:rsidRDefault="004964E1" w:rsidP="0030427A">
      <w:pPr>
        <w:jc w:val="both"/>
      </w:pPr>
    </w:p>
    <w:p w:rsidR="004964E1" w:rsidRDefault="00C904D4" w:rsidP="00C904D4">
      <w:pPr>
        <w:spacing w:line="276" w:lineRule="auto"/>
        <w:ind w:left="720"/>
        <w:jc w:val="both"/>
        <w:rPr>
          <w:sz w:val="22"/>
          <w:szCs w:val="22"/>
        </w:rPr>
      </w:pPr>
      <w:r>
        <w:t>“</w:t>
      </w:r>
      <w:r w:rsidR="004964E1" w:rsidRPr="00C904D4">
        <w:rPr>
          <w:sz w:val="22"/>
          <w:szCs w:val="22"/>
        </w:rPr>
        <w:t>T</w:t>
      </w:r>
      <w:r w:rsidRPr="00C904D4">
        <w:rPr>
          <w:sz w:val="22"/>
          <w:szCs w:val="22"/>
        </w:rPr>
        <w:t>he Appellant (sic) has a heavy</w:t>
      </w:r>
      <w:r w:rsidR="004964E1" w:rsidRPr="00C904D4">
        <w:rPr>
          <w:sz w:val="22"/>
          <w:szCs w:val="22"/>
        </w:rPr>
        <w:t xml:space="preserve"> onus on him to demonstrate that the penalty meted to him is grossly </w:t>
      </w:r>
      <w:r w:rsidR="008F1B4C" w:rsidRPr="00C904D4">
        <w:rPr>
          <w:sz w:val="22"/>
          <w:szCs w:val="22"/>
        </w:rPr>
        <w:t xml:space="preserve">unreasonable, </w:t>
      </w:r>
      <w:r>
        <w:rPr>
          <w:sz w:val="22"/>
          <w:szCs w:val="22"/>
        </w:rPr>
        <w:t>capricious</w:t>
      </w:r>
      <w:r w:rsidR="008F1B4C" w:rsidRPr="00C904D4">
        <w:rPr>
          <w:sz w:val="22"/>
          <w:szCs w:val="22"/>
        </w:rPr>
        <w:t xml:space="preserve"> or </w:t>
      </w:r>
      <w:r w:rsidR="008F1B4C" w:rsidRPr="003018FB">
        <w:rPr>
          <w:i/>
          <w:sz w:val="22"/>
          <w:szCs w:val="22"/>
        </w:rPr>
        <w:t>m</w:t>
      </w:r>
      <w:r w:rsidR="00E42A44" w:rsidRPr="003018FB">
        <w:rPr>
          <w:i/>
          <w:sz w:val="22"/>
          <w:szCs w:val="22"/>
        </w:rPr>
        <w:t>a</w:t>
      </w:r>
      <w:r w:rsidR="008F1B4C" w:rsidRPr="003018FB">
        <w:rPr>
          <w:i/>
          <w:sz w:val="22"/>
          <w:szCs w:val="22"/>
        </w:rPr>
        <w:t>la</w:t>
      </w:r>
      <w:r w:rsidR="00E42A44" w:rsidRPr="003018FB">
        <w:rPr>
          <w:i/>
          <w:sz w:val="22"/>
          <w:szCs w:val="22"/>
        </w:rPr>
        <w:t xml:space="preserve"> </w:t>
      </w:r>
      <w:r w:rsidR="003018FB" w:rsidRPr="003018FB">
        <w:rPr>
          <w:i/>
          <w:sz w:val="22"/>
          <w:szCs w:val="22"/>
        </w:rPr>
        <w:t>f</w:t>
      </w:r>
      <w:r w:rsidR="008F1B4C" w:rsidRPr="003018FB">
        <w:rPr>
          <w:i/>
          <w:sz w:val="22"/>
          <w:szCs w:val="22"/>
        </w:rPr>
        <w:t>ide</w:t>
      </w:r>
      <w:r w:rsidR="008F1B4C" w:rsidRPr="00C904D4">
        <w:rPr>
          <w:sz w:val="22"/>
          <w:szCs w:val="22"/>
        </w:rPr>
        <w:t>.”</w:t>
      </w:r>
    </w:p>
    <w:p w:rsidR="00C904D4" w:rsidRPr="00C904D4" w:rsidRDefault="00C904D4" w:rsidP="00C904D4">
      <w:pPr>
        <w:spacing w:line="276" w:lineRule="auto"/>
        <w:ind w:left="720"/>
        <w:jc w:val="both"/>
        <w:rPr>
          <w:sz w:val="22"/>
          <w:szCs w:val="22"/>
        </w:rPr>
      </w:pPr>
    </w:p>
    <w:p w:rsidR="00B87385" w:rsidRDefault="00B87385" w:rsidP="00193B5E">
      <w:pPr>
        <w:spacing w:line="360" w:lineRule="auto"/>
        <w:jc w:val="both"/>
      </w:pPr>
      <w:r>
        <w:t xml:space="preserve">The respondent has been unable to </w:t>
      </w:r>
      <w:r w:rsidR="003018FB">
        <w:t>demonstrate</w:t>
      </w:r>
      <w:r w:rsidR="009747C3">
        <w:t xml:space="preserve"> that the </w:t>
      </w:r>
      <w:r w:rsidR="003018FB">
        <w:t>sentence</w:t>
      </w:r>
      <w:r w:rsidR="009747C3">
        <w:t xml:space="preserve"> is so grossly unreasonable</w:t>
      </w:r>
      <w:r w:rsidR="0033765D">
        <w:t xml:space="preserve"> it </w:t>
      </w:r>
      <w:r w:rsidR="003018FB">
        <w:t>warrants</w:t>
      </w:r>
      <w:r w:rsidR="0033765D">
        <w:t xml:space="preserve"> interference.  </w:t>
      </w:r>
    </w:p>
    <w:p w:rsidR="0033765D" w:rsidRDefault="0033765D" w:rsidP="00FD2263">
      <w:pPr>
        <w:jc w:val="both"/>
      </w:pPr>
    </w:p>
    <w:p w:rsidR="0033765D" w:rsidRDefault="0033765D" w:rsidP="00193B5E">
      <w:pPr>
        <w:spacing w:line="360" w:lineRule="auto"/>
        <w:jc w:val="both"/>
      </w:pPr>
      <w:r>
        <w:tab/>
        <w:t xml:space="preserve">A reading of respondent’s heads of argument, in which the despatch </w:t>
      </w:r>
      <w:r w:rsidR="006E2153">
        <w:t xml:space="preserve">procedures are detailed, seems like an attack on </w:t>
      </w:r>
      <w:r w:rsidR="00F819A2">
        <w:t>the conviction.  He is effectively</w:t>
      </w:r>
      <w:r w:rsidR="006E2153">
        <w:t xml:space="preserve"> </w:t>
      </w:r>
      <w:r w:rsidR="00F819A2">
        <w:t>arguing</w:t>
      </w:r>
      <w:r w:rsidR="00060515">
        <w:t xml:space="preserve"> that he was not responsible for the failed delivery, but other departments were.  If the respondent was unhappy with his conviction, he should have filed a cross-appeal on this aspect, rather than bring it out in submissions against penalty</w:t>
      </w:r>
      <w:r w:rsidR="00D54FE7">
        <w:t>.  What</w:t>
      </w:r>
      <w:r w:rsidR="00F751E3">
        <w:t xml:space="preserve"> this means is that there are no </w:t>
      </w:r>
      <w:r w:rsidR="00F42383">
        <w:t>meaningful</w:t>
      </w:r>
      <w:r w:rsidR="00F751E3">
        <w:t xml:space="preserve"> submissions on the appropriateness of the penalty</w:t>
      </w:r>
      <w:r w:rsidR="003967F9">
        <w:t xml:space="preserve">.  In my view, it was a wrong approach </w:t>
      </w:r>
      <w:r w:rsidR="00F42383">
        <w:t>altogether by the respondent</w:t>
      </w:r>
      <w:r w:rsidR="003967F9">
        <w:t>, to make submissions that a</w:t>
      </w:r>
      <w:r w:rsidR="0017652C">
        <w:t xml:space="preserve">ppear to take the court back to the question of whether </w:t>
      </w:r>
      <w:r w:rsidR="0017652C">
        <w:lastRenderedPageBreak/>
        <w:t>or not respondent should be held liable</w:t>
      </w:r>
      <w:r w:rsidR="0092530B">
        <w:t>.  As indicated, he should have noted a cross-appeal</w:t>
      </w:r>
      <w:r w:rsidR="00986B75">
        <w:t xml:space="preserve"> on the question of liability, if he </w:t>
      </w:r>
      <w:r w:rsidR="0032674E">
        <w:t>felt he was wrongly convicted of the misconduct.</w:t>
      </w:r>
    </w:p>
    <w:p w:rsidR="00C73FF3" w:rsidRDefault="00C73FF3" w:rsidP="00FD2263">
      <w:pPr>
        <w:jc w:val="both"/>
      </w:pPr>
    </w:p>
    <w:p w:rsidR="00C73FF3" w:rsidRDefault="00AF3CF9" w:rsidP="00193B5E">
      <w:pPr>
        <w:spacing w:line="360" w:lineRule="auto"/>
        <w:jc w:val="both"/>
      </w:pPr>
      <w:r>
        <w:tab/>
        <w:t>The appellant clearly viewed</w:t>
      </w:r>
      <w:r w:rsidR="00C73FF3">
        <w:t xml:space="preserve"> the misconduct as serious.  In its submissions to the arbitrator</w:t>
      </w:r>
      <w:r>
        <w:t>,</w:t>
      </w:r>
      <w:r w:rsidR="00C73FF3">
        <w:t xml:space="preserve"> it pointed out the </w:t>
      </w:r>
      <w:r w:rsidR="009D542B">
        <w:t>effect on the customer’s trust in the appellant, and the effect on t</w:t>
      </w:r>
      <w:r w:rsidR="00E844D4">
        <w:t>he availability of its products</w:t>
      </w:r>
      <w:r w:rsidR="009D542B">
        <w:t xml:space="preserve"> on the </w:t>
      </w:r>
      <w:r w:rsidR="00300197">
        <w:t>customer’s shelves.  The arbitrator summarized</w:t>
      </w:r>
      <w:r>
        <w:t xml:space="preserve"> these submissions</w:t>
      </w:r>
      <w:r w:rsidR="00300197">
        <w:t xml:space="preserve"> as follows:</w:t>
      </w:r>
    </w:p>
    <w:p w:rsidR="003B77B7" w:rsidRDefault="003B77B7" w:rsidP="00FD2263">
      <w:pPr>
        <w:jc w:val="both"/>
      </w:pPr>
    </w:p>
    <w:p w:rsidR="003B77B7" w:rsidRPr="004918C7" w:rsidRDefault="004918C7" w:rsidP="004918C7">
      <w:pPr>
        <w:spacing w:line="276" w:lineRule="auto"/>
        <w:ind w:left="720"/>
        <w:jc w:val="both"/>
        <w:rPr>
          <w:sz w:val="22"/>
          <w:szCs w:val="22"/>
        </w:rPr>
      </w:pPr>
      <w:r>
        <w:t>“</w:t>
      </w:r>
      <w:r w:rsidRPr="004918C7">
        <w:rPr>
          <w:sz w:val="22"/>
          <w:szCs w:val="22"/>
        </w:rPr>
        <w:t>The</w:t>
      </w:r>
      <w:r w:rsidR="003B77B7" w:rsidRPr="004918C7">
        <w:rPr>
          <w:sz w:val="22"/>
          <w:szCs w:val="22"/>
        </w:rPr>
        <w:t xml:space="preserve"> respondent argued that the dollar value </w:t>
      </w:r>
      <w:r w:rsidR="00714873">
        <w:rPr>
          <w:sz w:val="22"/>
          <w:szCs w:val="22"/>
        </w:rPr>
        <w:t xml:space="preserve">of </w:t>
      </w:r>
      <w:r w:rsidR="003B77B7" w:rsidRPr="004918C7">
        <w:rPr>
          <w:sz w:val="22"/>
          <w:szCs w:val="22"/>
        </w:rPr>
        <w:t>$1 831,95 trivialised by th</w:t>
      </w:r>
      <w:r w:rsidR="00255F91" w:rsidRPr="004918C7">
        <w:rPr>
          <w:sz w:val="22"/>
          <w:szCs w:val="22"/>
        </w:rPr>
        <w:t>e claimant, should not cloud the effects of this undelivered order to the customer, which include the loss of trust or faith in FAVCO by</w:t>
      </w:r>
      <w:r w:rsidR="00DD5576" w:rsidRPr="004918C7">
        <w:rPr>
          <w:sz w:val="22"/>
          <w:szCs w:val="22"/>
        </w:rPr>
        <w:t xml:space="preserve"> the customer and the impact of availability of FAVCO products on the MM shelves.</w:t>
      </w:r>
      <w:r w:rsidRPr="004918C7">
        <w:rPr>
          <w:sz w:val="22"/>
          <w:szCs w:val="22"/>
        </w:rPr>
        <w:t>”</w:t>
      </w:r>
    </w:p>
    <w:p w:rsidR="00766002" w:rsidRPr="00712963" w:rsidRDefault="00766002" w:rsidP="004918C7">
      <w:pPr>
        <w:spacing w:line="276" w:lineRule="auto"/>
        <w:jc w:val="both"/>
        <w:rPr>
          <w:sz w:val="22"/>
          <w:szCs w:val="22"/>
        </w:rPr>
      </w:pPr>
    </w:p>
    <w:p w:rsidR="006C4FFA" w:rsidRDefault="006C4FFA" w:rsidP="00193B5E">
      <w:pPr>
        <w:spacing w:line="360" w:lineRule="auto"/>
        <w:jc w:val="both"/>
      </w:pPr>
      <w:r>
        <w:tab/>
        <w:t>When dismissing the respondent’s appeal</w:t>
      </w:r>
      <w:r w:rsidR="00EB31D7">
        <w:t>, the appellant’s appeal authority noted</w:t>
      </w:r>
      <w:r w:rsidR="00284B41">
        <w:t>,</w:t>
      </w:r>
    </w:p>
    <w:p w:rsidR="00E43C30" w:rsidRDefault="00E43C30" w:rsidP="00DB76BC">
      <w:pPr>
        <w:jc w:val="both"/>
      </w:pPr>
    </w:p>
    <w:p w:rsidR="004827D5" w:rsidRPr="004918C7" w:rsidRDefault="00E43C30" w:rsidP="004918C7">
      <w:pPr>
        <w:spacing w:line="276" w:lineRule="auto"/>
        <w:ind w:left="720"/>
        <w:jc w:val="both"/>
        <w:rPr>
          <w:sz w:val="22"/>
          <w:szCs w:val="22"/>
        </w:rPr>
      </w:pPr>
      <w:r w:rsidRPr="00DB76BC">
        <w:rPr>
          <w:sz w:val="22"/>
          <w:szCs w:val="22"/>
        </w:rPr>
        <w:t xml:space="preserve">“In your own words, your role was/is to ensure the sale is concluded.  This particular sale was not concluded.  </w:t>
      </w:r>
      <w:r w:rsidR="001F2AF6" w:rsidRPr="00DB76BC">
        <w:rPr>
          <w:sz w:val="22"/>
          <w:szCs w:val="22"/>
        </w:rPr>
        <w:t>I am not convinced that you did all that was expected</w:t>
      </w:r>
      <w:r w:rsidR="003B7E17" w:rsidRPr="00DB76BC">
        <w:rPr>
          <w:sz w:val="22"/>
          <w:szCs w:val="22"/>
        </w:rPr>
        <w:t xml:space="preserve"> of you or all that you should have done “to conclude the sale”.  Instead you attempt at several occasions to shift the responsibil</w:t>
      </w:r>
      <w:r w:rsidR="001B4EF3" w:rsidRPr="00DB76BC">
        <w:rPr>
          <w:sz w:val="22"/>
          <w:szCs w:val="22"/>
        </w:rPr>
        <w:t>ity away from yourself.  This is not expected of a person in a supervisory position.”</w:t>
      </w:r>
    </w:p>
    <w:p w:rsidR="00326FA6" w:rsidRDefault="00326FA6" w:rsidP="00DB76BC">
      <w:pPr>
        <w:jc w:val="both"/>
      </w:pPr>
    </w:p>
    <w:p w:rsidR="00053489" w:rsidRDefault="00326FA6" w:rsidP="00193B5E">
      <w:pPr>
        <w:spacing w:line="360" w:lineRule="auto"/>
        <w:jc w:val="both"/>
      </w:pPr>
      <w:r>
        <w:tab/>
        <w:t xml:space="preserve">In the circumstances, the court finds no basis for interfering with the penalty </w:t>
      </w:r>
      <w:r w:rsidR="00B635C0">
        <w:t>imposed</w:t>
      </w:r>
      <w:r>
        <w:t xml:space="preserve"> by the appellant’s disciplinary tr</w:t>
      </w:r>
      <w:r w:rsidR="00B635C0">
        <w:t>ibunal.</w:t>
      </w:r>
      <w:r w:rsidR="00E50906">
        <w:t xml:space="preserve"> </w:t>
      </w:r>
      <w:r w:rsidR="00B635C0">
        <w:t>The</w:t>
      </w:r>
      <w:r w:rsidR="00E50906">
        <w:t xml:space="preserve"> respondent </w:t>
      </w:r>
      <w:r w:rsidR="00B635C0">
        <w:t>was properly and</w:t>
      </w:r>
      <w:r w:rsidR="00E50906">
        <w:t xml:space="preserve"> lawfully dismissed. </w:t>
      </w:r>
    </w:p>
    <w:p w:rsidR="00053489" w:rsidRDefault="00053489" w:rsidP="00DB76BC">
      <w:pPr>
        <w:jc w:val="both"/>
      </w:pPr>
    </w:p>
    <w:p w:rsidR="00326FA6" w:rsidRDefault="00E50906" w:rsidP="00193B5E">
      <w:pPr>
        <w:spacing w:line="360" w:lineRule="auto"/>
        <w:jc w:val="both"/>
      </w:pPr>
      <w:r>
        <w:t xml:space="preserve">Having ruled that the respondent, was </w:t>
      </w:r>
      <w:r w:rsidR="002D18B4">
        <w:t>properly</w:t>
      </w:r>
      <w:r>
        <w:t xml:space="preserve"> dismissed</w:t>
      </w:r>
      <w:r w:rsidR="000B13D7">
        <w:t>, the arbitral award must be set aside and the decision of the</w:t>
      </w:r>
      <w:r w:rsidR="0048434B">
        <w:t xml:space="preserve"> respondent’s Acting Manager, as Appeals Officer, be uph</w:t>
      </w:r>
      <w:r w:rsidR="00053489">
        <w:t xml:space="preserve">eld.  Consequently, it is unnecessary to delve into the second ground of appeal.  It has been </w:t>
      </w:r>
      <w:r w:rsidR="002D18B4">
        <w:t>rendered</w:t>
      </w:r>
      <w:r w:rsidR="001F4FBB">
        <w:t xml:space="preserve"> unnecessary by the upholding of the first ground of appeal.</w:t>
      </w:r>
    </w:p>
    <w:p w:rsidR="001F4FBB" w:rsidRDefault="001F4FBB" w:rsidP="00193B5E">
      <w:pPr>
        <w:spacing w:line="360" w:lineRule="auto"/>
        <w:jc w:val="both"/>
      </w:pPr>
    </w:p>
    <w:p w:rsidR="001F4FBB" w:rsidRDefault="001F4FBB" w:rsidP="00193B5E">
      <w:pPr>
        <w:spacing w:line="360" w:lineRule="auto"/>
        <w:jc w:val="both"/>
      </w:pPr>
      <w:r>
        <w:t>It is accordingly ordered that;</w:t>
      </w:r>
    </w:p>
    <w:p w:rsidR="001F4FBB" w:rsidRDefault="001F4FBB" w:rsidP="00193B5E">
      <w:pPr>
        <w:spacing w:line="360" w:lineRule="auto"/>
        <w:jc w:val="both"/>
      </w:pPr>
    </w:p>
    <w:p w:rsidR="001F4FBB" w:rsidRDefault="001F4FBB" w:rsidP="001F4FBB">
      <w:pPr>
        <w:pStyle w:val="ListParagraph"/>
        <w:numPr>
          <w:ilvl w:val="0"/>
          <w:numId w:val="2"/>
        </w:numPr>
        <w:spacing w:line="360" w:lineRule="auto"/>
        <w:jc w:val="both"/>
      </w:pPr>
      <w:r>
        <w:t xml:space="preserve">The appeal be </w:t>
      </w:r>
      <w:r w:rsidR="00D674C4">
        <w:t xml:space="preserve">and is hereby </w:t>
      </w:r>
      <w:r w:rsidR="002D18B4">
        <w:t>allowed</w:t>
      </w:r>
      <w:r w:rsidR="00D674C4">
        <w:t>.</w:t>
      </w:r>
    </w:p>
    <w:p w:rsidR="00A87F30" w:rsidRDefault="00D10AEA" w:rsidP="00A87F30">
      <w:pPr>
        <w:pStyle w:val="ListParagraph"/>
        <w:numPr>
          <w:ilvl w:val="0"/>
          <w:numId w:val="2"/>
        </w:numPr>
        <w:spacing w:line="360" w:lineRule="auto"/>
        <w:jc w:val="both"/>
      </w:pPr>
      <w:r>
        <w:lastRenderedPageBreak/>
        <w:t>The arbitral award hand</w:t>
      </w:r>
      <w:r w:rsidR="003960B0">
        <w:t>ed</w:t>
      </w:r>
      <w:r>
        <w:t xml:space="preserve"> down by Honourable J. </w:t>
      </w:r>
      <w:proofErr w:type="spellStart"/>
      <w:r w:rsidR="002D18B4">
        <w:t>Connick</w:t>
      </w:r>
      <w:proofErr w:type="spellEnd"/>
      <w:r w:rsidR="00A87F30">
        <w:t xml:space="preserve"> on 1 April 2015 be and is hereby set aside.</w:t>
      </w:r>
    </w:p>
    <w:p w:rsidR="00652F4C" w:rsidRDefault="00652F4C" w:rsidP="00A87F30">
      <w:pPr>
        <w:pStyle w:val="ListParagraph"/>
        <w:numPr>
          <w:ilvl w:val="0"/>
          <w:numId w:val="2"/>
        </w:numPr>
        <w:spacing w:line="360" w:lineRule="auto"/>
        <w:jc w:val="both"/>
      </w:pPr>
      <w:r>
        <w:t xml:space="preserve">The </w:t>
      </w:r>
      <w:r w:rsidR="00E344D2">
        <w:t xml:space="preserve">determination by the appellant’s Acting </w:t>
      </w:r>
      <w:r w:rsidR="00AE5779">
        <w:t xml:space="preserve">Manager, Mr L. </w:t>
      </w:r>
      <w:proofErr w:type="spellStart"/>
      <w:r w:rsidR="003960B0">
        <w:t>Connick</w:t>
      </w:r>
      <w:proofErr w:type="spellEnd"/>
      <w:r w:rsidR="00AE5779">
        <w:t>, as Appeal Officer, on 15 October 2015</w:t>
      </w:r>
      <w:r w:rsidR="00C40E09">
        <w:t>, be and is hereby upheld.</w:t>
      </w:r>
    </w:p>
    <w:p w:rsidR="00C40E09" w:rsidRDefault="002D18B4" w:rsidP="00A87F30">
      <w:pPr>
        <w:pStyle w:val="ListParagraph"/>
        <w:numPr>
          <w:ilvl w:val="0"/>
          <w:numId w:val="2"/>
        </w:numPr>
        <w:spacing w:line="360" w:lineRule="auto"/>
        <w:jc w:val="both"/>
      </w:pPr>
      <w:r>
        <w:t>The respondent shall</w:t>
      </w:r>
      <w:r w:rsidR="00C40E09">
        <w:t xml:space="preserve"> bear the appellant’s costs.</w:t>
      </w:r>
    </w:p>
    <w:p w:rsidR="00C117C8" w:rsidRDefault="00C117C8" w:rsidP="00C117C8">
      <w:pPr>
        <w:pStyle w:val="ListParagraph"/>
        <w:spacing w:line="360" w:lineRule="auto"/>
        <w:jc w:val="both"/>
      </w:pPr>
    </w:p>
    <w:p w:rsidR="00C117C8" w:rsidRDefault="00C117C8" w:rsidP="00C117C8">
      <w:pPr>
        <w:pStyle w:val="ListParagraph"/>
        <w:spacing w:line="360" w:lineRule="auto"/>
        <w:jc w:val="both"/>
      </w:pPr>
    </w:p>
    <w:p w:rsidR="00C117C8" w:rsidRDefault="003F35EB" w:rsidP="00C117C8">
      <w:pPr>
        <w:pStyle w:val="ListParagraph"/>
        <w:spacing w:line="360" w:lineRule="auto"/>
        <w:jc w:val="both"/>
      </w:pPr>
      <w:r w:rsidRPr="001B0542">
        <w:rPr>
          <w:i/>
        </w:rPr>
        <w:t>Dube, Manikai &amp; Hwacha</w:t>
      </w:r>
      <w:r w:rsidR="002D18B4">
        <w:t>, Appellant</w:t>
      </w:r>
      <w:r>
        <w:t>’s legal practitioners</w:t>
      </w:r>
    </w:p>
    <w:p w:rsidR="00970636" w:rsidRDefault="00970636" w:rsidP="00C117C8">
      <w:pPr>
        <w:pStyle w:val="ListParagraph"/>
        <w:spacing w:line="360" w:lineRule="auto"/>
        <w:jc w:val="both"/>
      </w:pPr>
      <w:r w:rsidRPr="001B0542">
        <w:rPr>
          <w:i/>
        </w:rPr>
        <w:t>Nyikadzino, Simango &amp; Partners</w:t>
      </w:r>
      <w:r>
        <w:t>, respondent’s legal practitioners</w:t>
      </w:r>
    </w:p>
    <w:p w:rsidR="00DD5576" w:rsidRDefault="00DD5576" w:rsidP="00193B5E">
      <w:pPr>
        <w:spacing w:line="360" w:lineRule="auto"/>
        <w:jc w:val="both"/>
      </w:pPr>
    </w:p>
    <w:p w:rsidR="00DD5576" w:rsidRDefault="00DD5576" w:rsidP="00193B5E">
      <w:pPr>
        <w:spacing w:line="360" w:lineRule="auto"/>
        <w:jc w:val="both"/>
      </w:pPr>
    </w:p>
    <w:sectPr w:rsidR="00DD5576" w:rsidSect="007A56F8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EF7" w:rsidRDefault="00A32EF7" w:rsidP="00584398">
      <w:r>
        <w:separator/>
      </w:r>
    </w:p>
  </w:endnote>
  <w:endnote w:type="continuationSeparator" w:id="0">
    <w:p w:rsidR="00A32EF7" w:rsidRDefault="00A32EF7" w:rsidP="0058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670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3489" w:rsidRDefault="000534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85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53489" w:rsidRDefault="000534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EF7" w:rsidRDefault="00A32EF7" w:rsidP="00584398">
      <w:r>
        <w:separator/>
      </w:r>
    </w:p>
  </w:footnote>
  <w:footnote w:type="continuationSeparator" w:id="0">
    <w:p w:rsidR="00A32EF7" w:rsidRDefault="00A32EF7" w:rsidP="00584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489" w:rsidRPr="00584398" w:rsidRDefault="00053489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3144FB">
      <w:rPr>
        <w:lang w:val="en-ZW"/>
      </w:rPr>
      <w:t>361</w:t>
    </w:r>
    <w:r>
      <w:rPr>
        <w:lang w:val="en-ZW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7449E"/>
    <w:multiLevelType w:val="hybridMultilevel"/>
    <w:tmpl w:val="D83065CA"/>
    <w:lvl w:ilvl="0" w:tplc="73AC10EE">
      <w:start w:val="1"/>
      <w:numFmt w:val="decimal"/>
      <w:lvlText w:val="%1"/>
      <w:lvlJc w:val="left"/>
      <w:pPr>
        <w:ind w:left="1080" w:hanging="360"/>
      </w:pPr>
      <w:rPr>
        <w:rFonts w:ascii="Tahoma" w:eastAsia="Times New Roman" w:hAnsi="Tahoma" w:cs="Times New Roman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FE14E3"/>
    <w:multiLevelType w:val="hybridMultilevel"/>
    <w:tmpl w:val="18082E8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D9"/>
    <w:rsid w:val="00001841"/>
    <w:rsid w:val="000064E6"/>
    <w:rsid w:val="00012AB9"/>
    <w:rsid w:val="0003299A"/>
    <w:rsid w:val="00050C56"/>
    <w:rsid w:val="00051D25"/>
    <w:rsid w:val="00053489"/>
    <w:rsid w:val="00053F12"/>
    <w:rsid w:val="00060515"/>
    <w:rsid w:val="00083869"/>
    <w:rsid w:val="00095614"/>
    <w:rsid w:val="000A548B"/>
    <w:rsid w:val="000B13D7"/>
    <w:rsid w:val="000C6E18"/>
    <w:rsid w:val="000D22CF"/>
    <w:rsid w:val="000E058F"/>
    <w:rsid w:val="000F39EF"/>
    <w:rsid w:val="001053E7"/>
    <w:rsid w:val="00120560"/>
    <w:rsid w:val="00126161"/>
    <w:rsid w:val="00136AFB"/>
    <w:rsid w:val="0014299A"/>
    <w:rsid w:val="00152CEA"/>
    <w:rsid w:val="00162441"/>
    <w:rsid w:val="0017652C"/>
    <w:rsid w:val="001811E1"/>
    <w:rsid w:val="00193B5E"/>
    <w:rsid w:val="00194327"/>
    <w:rsid w:val="001A44BA"/>
    <w:rsid w:val="001A4BD9"/>
    <w:rsid w:val="001A77EA"/>
    <w:rsid w:val="001B0542"/>
    <w:rsid w:val="001B4EF3"/>
    <w:rsid w:val="001C0DB8"/>
    <w:rsid w:val="001F2AF6"/>
    <w:rsid w:val="001F4FBB"/>
    <w:rsid w:val="001F6876"/>
    <w:rsid w:val="002500CF"/>
    <w:rsid w:val="00255F91"/>
    <w:rsid w:val="002608A7"/>
    <w:rsid w:val="002674B5"/>
    <w:rsid w:val="00275D27"/>
    <w:rsid w:val="00284B41"/>
    <w:rsid w:val="00286ABD"/>
    <w:rsid w:val="0029106C"/>
    <w:rsid w:val="00297482"/>
    <w:rsid w:val="002C60F3"/>
    <w:rsid w:val="002D18B4"/>
    <w:rsid w:val="002E41CD"/>
    <w:rsid w:val="002F7E9F"/>
    <w:rsid w:val="00300197"/>
    <w:rsid w:val="003018FB"/>
    <w:rsid w:val="0030427A"/>
    <w:rsid w:val="0031019E"/>
    <w:rsid w:val="003102F1"/>
    <w:rsid w:val="003106B0"/>
    <w:rsid w:val="003144FB"/>
    <w:rsid w:val="003203AE"/>
    <w:rsid w:val="0032674E"/>
    <w:rsid w:val="00326FA6"/>
    <w:rsid w:val="0033765D"/>
    <w:rsid w:val="00344B71"/>
    <w:rsid w:val="0035266A"/>
    <w:rsid w:val="0036170C"/>
    <w:rsid w:val="00374189"/>
    <w:rsid w:val="003905D6"/>
    <w:rsid w:val="003960B0"/>
    <w:rsid w:val="003967F9"/>
    <w:rsid w:val="003A0B44"/>
    <w:rsid w:val="003A12A4"/>
    <w:rsid w:val="003B77B7"/>
    <w:rsid w:val="003B7A63"/>
    <w:rsid w:val="003B7E17"/>
    <w:rsid w:val="003C48FD"/>
    <w:rsid w:val="003D1829"/>
    <w:rsid w:val="003D71EC"/>
    <w:rsid w:val="003D7EAA"/>
    <w:rsid w:val="003F35EB"/>
    <w:rsid w:val="00454948"/>
    <w:rsid w:val="004827D5"/>
    <w:rsid w:val="0048434B"/>
    <w:rsid w:val="004918C7"/>
    <w:rsid w:val="004938A0"/>
    <w:rsid w:val="004962D2"/>
    <w:rsid w:val="004964E1"/>
    <w:rsid w:val="004B2A1C"/>
    <w:rsid w:val="004B3779"/>
    <w:rsid w:val="004B76AB"/>
    <w:rsid w:val="004D7602"/>
    <w:rsid w:val="004F25AD"/>
    <w:rsid w:val="004F2D08"/>
    <w:rsid w:val="004F657A"/>
    <w:rsid w:val="00534DC1"/>
    <w:rsid w:val="005461E1"/>
    <w:rsid w:val="00562859"/>
    <w:rsid w:val="00571061"/>
    <w:rsid w:val="00574BC2"/>
    <w:rsid w:val="00577BED"/>
    <w:rsid w:val="00584398"/>
    <w:rsid w:val="005B6522"/>
    <w:rsid w:val="005D2E79"/>
    <w:rsid w:val="005D5987"/>
    <w:rsid w:val="005F30D1"/>
    <w:rsid w:val="006253E1"/>
    <w:rsid w:val="00635DBF"/>
    <w:rsid w:val="00641C51"/>
    <w:rsid w:val="00652F4C"/>
    <w:rsid w:val="006554B4"/>
    <w:rsid w:val="00671B22"/>
    <w:rsid w:val="00691D9C"/>
    <w:rsid w:val="006B321B"/>
    <w:rsid w:val="006C4FFA"/>
    <w:rsid w:val="006C5FB3"/>
    <w:rsid w:val="006E2153"/>
    <w:rsid w:val="006F440E"/>
    <w:rsid w:val="007023C2"/>
    <w:rsid w:val="00712963"/>
    <w:rsid w:val="00714873"/>
    <w:rsid w:val="00717E61"/>
    <w:rsid w:val="007520AD"/>
    <w:rsid w:val="00766002"/>
    <w:rsid w:val="007764B3"/>
    <w:rsid w:val="00784695"/>
    <w:rsid w:val="007A229E"/>
    <w:rsid w:val="007A56F8"/>
    <w:rsid w:val="007C5E40"/>
    <w:rsid w:val="007E2867"/>
    <w:rsid w:val="007E3038"/>
    <w:rsid w:val="007F13D4"/>
    <w:rsid w:val="007F3E31"/>
    <w:rsid w:val="007F492B"/>
    <w:rsid w:val="00810169"/>
    <w:rsid w:val="008126A2"/>
    <w:rsid w:val="00851C67"/>
    <w:rsid w:val="0087337A"/>
    <w:rsid w:val="00874684"/>
    <w:rsid w:val="00885AC2"/>
    <w:rsid w:val="00890816"/>
    <w:rsid w:val="00894594"/>
    <w:rsid w:val="008C72F6"/>
    <w:rsid w:val="008E6951"/>
    <w:rsid w:val="008F1B4C"/>
    <w:rsid w:val="008F1BA7"/>
    <w:rsid w:val="00902F28"/>
    <w:rsid w:val="00920D85"/>
    <w:rsid w:val="0092198F"/>
    <w:rsid w:val="0092530B"/>
    <w:rsid w:val="009257E6"/>
    <w:rsid w:val="0093188A"/>
    <w:rsid w:val="0096044E"/>
    <w:rsid w:val="00970636"/>
    <w:rsid w:val="0097229C"/>
    <w:rsid w:val="009747C3"/>
    <w:rsid w:val="00975C1D"/>
    <w:rsid w:val="00981507"/>
    <w:rsid w:val="009848B1"/>
    <w:rsid w:val="00986B75"/>
    <w:rsid w:val="00992C2E"/>
    <w:rsid w:val="009960E2"/>
    <w:rsid w:val="00996632"/>
    <w:rsid w:val="009A5B12"/>
    <w:rsid w:val="009B0FDF"/>
    <w:rsid w:val="009B779B"/>
    <w:rsid w:val="009C25E8"/>
    <w:rsid w:val="009C7E61"/>
    <w:rsid w:val="009D1D75"/>
    <w:rsid w:val="009D2656"/>
    <w:rsid w:val="009D542B"/>
    <w:rsid w:val="009E4BF5"/>
    <w:rsid w:val="00A10930"/>
    <w:rsid w:val="00A145AE"/>
    <w:rsid w:val="00A161FD"/>
    <w:rsid w:val="00A22999"/>
    <w:rsid w:val="00A32EF7"/>
    <w:rsid w:val="00A55719"/>
    <w:rsid w:val="00A67BDB"/>
    <w:rsid w:val="00A70D88"/>
    <w:rsid w:val="00A81ADE"/>
    <w:rsid w:val="00A85890"/>
    <w:rsid w:val="00A87F30"/>
    <w:rsid w:val="00AA4127"/>
    <w:rsid w:val="00AB2C39"/>
    <w:rsid w:val="00AC7D21"/>
    <w:rsid w:val="00AD56F2"/>
    <w:rsid w:val="00AE0811"/>
    <w:rsid w:val="00AE5779"/>
    <w:rsid w:val="00AF3CF9"/>
    <w:rsid w:val="00B27612"/>
    <w:rsid w:val="00B33923"/>
    <w:rsid w:val="00B37AAB"/>
    <w:rsid w:val="00B635C0"/>
    <w:rsid w:val="00B666A4"/>
    <w:rsid w:val="00B66B53"/>
    <w:rsid w:val="00B77235"/>
    <w:rsid w:val="00B77E8B"/>
    <w:rsid w:val="00B87385"/>
    <w:rsid w:val="00B97845"/>
    <w:rsid w:val="00BB714B"/>
    <w:rsid w:val="00BC0DCF"/>
    <w:rsid w:val="00C076E5"/>
    <w:rsid w:val="00C117C8"/>
    <w:rsid w:val="00C1398F"/>
    <w:rsid w:val="00C33654"/>
    <w:rsid w:val="00C40E09"/>
    <w:rsid w:val="00C55284"/>
    <w:rsid w:val="00C6114F"/>
    <w:rsid w:val="00C73FF3"/>
    <w:rsid w:val="00C84B80"/>
    <w:rsid w:val="00C904D4"/>
    <w:rsid w:val="00CB050D"/>
    <w:rsid w:val="00CD09AA"/>
    <w:rsid w:val="00CE54B2"/>
    <w:rsid w:val="00CF4F12"/>
    <w:rsid w:val="00D019AA"/>
    <w:rsid w:val="00D10AEA"/>
    <w:rsid w:val="00D24DB7"/>
    <w:rsid w:val="00D54FE7"/>
    <w:rsid w:val="00D55310"/>
    <w:rsid w:val="00D66248"/>
    <w:rsid w:val="00D674C4"/>
    <w:rsid w:val="00D96A2E"/>
    <w:rsid w:val="00DB0305"/>
    <w:rsid w:val="00DB4568"/>
    <w:rsid w:val="00DB76BC"/>
    <w:rsid w:val="00DC6B70"/>
    <w:rsid w:val="00DD5576"/>
    <w:rsid w:val="00DE5CC6"/>
    <w:rsid w:val="00E20264"/>
    <w:rsid w:val="00E3093F"/>
    <w:rsid w:val="00E344D2"/>
    <w:rsid w:val="00E42A44"/>
    <w:rsid w:val="00E4396D"/>
    <w:rsid w:val="00E43C30"/>
    <w:rsid w:val="00E50906"/>
    <w:rsid w:val="00E569E8"/>
    <w:rsid w:val="00E773EF"/>
    <w:rsid w:val="00E77E2F"/>
    <w:rsid w:val="00E844D4"/>
    <w:rsid w:val="00E878AB"/>
    <w:rsid w:val="00E90487"/>
    <w:rsid w:val="00EA2416"/>
    <w:rsid w:val="00EB31D7"/>
    <w:rsid w:val="00EC39DC"/>
    <w:rsid w:val="00EC7177"/>
    <w:rsid w:val="00EE1CF9"/>
    <w:rsid w:val="00EF7562"/>
    <w:rsid w:val="00F227BD"/>
    <w:rsid w:val="00F22B02"/>
    <w:rsid w:val="00F34693"/>
    <w:rsid w:val="00F42383"/>
    <w:rsid w:val="00F572EB"/>
    <w:rsid w:val="00F71FEC"/>
    <w:rsid w:val="00F751E3"/>
    <w:rsid w:val="00F819A2"/>
    <w:rsid w:val="00FA67B5"/>
    <w:rsid w:val="00FC0167"/>
    <w:rsid w:val="00FC4AE3"/>
    <w:rsid w:val="00FD2012"/>
    <w:rsid w:val="00FD2263"/>
    <w:rsid w:val="00FD2AA1"/>
    <w:rsid w:val="00FD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BD9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4BD9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843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398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843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398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019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44FB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4FB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BD9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4BD9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843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398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843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398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019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44FB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4F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F7101-BEBC-433E-A81C-A2C28847D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56</cp:revision>
  <cp:lastPrinted>2016-06-09T13:33:00Z</cp:lastPrinted>
  <dcterms:created xsi:type="dcterms:W3CDTF">2016-05-12T09:34:00Z</dcterms:created>
  <dcterms:modified xsi:type="dcterms:W3CDTF">2016-06-09T13:35:00Z</dcterms:modified>
</cp:coreProperties>
</file>