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7AA" w:rsidRDefault="003627AA" w:rsidP="00603CC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FARHIGH TRADING (PVT) LTD</w:t>
      </w:r>
    </w:p>
    <w:p w:rsidR="003627AA" w:rsidRDefault="003627AA" w:rsidP="00603C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3627AA" w:rsidRDefault="003627AA" w:rsidP="00603C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ADDITIONAL SHERIFF CHIVHU</w:t>
      </w:r>
    </w:p>
    <w:p w:rsidR="003627AA" w:rsidRDefault="003627AA" w:rsidP="00603C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CENTRAL ESTATE (PVT) LTD</w:t>
      </w:r>
    </w:p>
    <w:p w:rsidR="003627AA" w:rsidRDefault="003627AA" w:rsidP="00603C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627AA" w:rsidRDefault="003627AA" w:rsidP="00603C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PETER TARUVINGA AND 37 OTHERS </w:t>
      </w:r>
    </w:p>
    <w:p w:rsidR="003627AA" w:rsidRDefault="003627AA" w:rsidP="00603CCB">
      <w:pPr>
        <w:spacing w:after="0" w:line="240" w:lineRule="auto"/>
        <w:jc w:val="both"/>
        <w:rPr>
          <w:rFonts w:ascii="Times New Roman" w:hAnsi="Times New Roman" w:cs="Times New Roman"/>
          <w:sz w:val="24"/>
          <w:szCs w:val="24"/>
        </w:rPr>
      </w:pPr>
    </w:p>
    <w:p w:rsidR="003627AA" w:rsidRDefault="003627AA" w:rsidP="00603CCB">
      <w:pPr>
        <w:spacing w:after="0" w:line="240" w:lineRule="auto"/>
        <w:jc w:val="both"/>
        <w:rPr>
          <w:rFonts w:ascii="Times New Roman" w:hAnsi="Times New Roman" w:cs="Times New Roman"/>
          <w:sz w:val="24"/>
          <w:szCs w:val="24"/>
        </w:rPr>
      </w:pPr>
    </w:p>
    <w:p w:rsidR="003627AA" w:rsidRDefault="003627AA" w:rsidP="00603CCB">
      <w:pPr>
        <w:spacing w:after="0" w:line="240" w:lineRule="auto"/>
        <w:jc w:val="both"/>
        <w:rPr>
          <w:rFonts w:ascii="Times New Roman" w:hAnsi="Times New Roman" w:cs="Times New Roman"/>
          <w:sz w:val="24"/>
          <w:szCs w:val="24"/>
        </w:rPr>
      </w:pPr>
    </w:p>
    <w:p w:rsidR="004A0C42" w:rsidRPr="00603CCB" w:rsidRDefault="00603CCB" w:rsidP="00603CCB">
      <w:pPr>
        <w:spacing w:after="0" w:line="240" w:lineRule="auto"/>
        <w:jc w:val="both"/>
        <w:rPr>
          <w:rFonts w:ascii="Times New Roman" w:hAnsi="Times New Roman" w:cs="Times New Roman"/>
          <w:sz w:val="24"/>
          <w:szCs w:val="24"/>
        </w:rPr>
      </w:pPr>
      <w:r w:rsidRPr="00603CCB">
        <w:rPr>
          <w:rFonts w:ascii="Times New Roman" w:hAnsi="Times New Roman" w:cs="Times New Roman"/>
          <w:sz w:val="24"/>
          <w:szCs w:val="24"/>
        </w:rPr>
        <w:t>HIGH COURT OF ZIMBABWE</w:t>
      </w:r>
    </w:p>
    <w:p w:rsidR="000374A8" w:rsidRPr="00603CCB" w:rsidRDefault="00603CCB" w:rsidP="00603CCB">
      <w:pPr>
        <w:spacing w:after="0" w:line="240" w:lineRule="auto"/>
        <w:jc w:val="both"/>
        <w:rPr>
          <w:rFonts w:ascii="Times New Roman" w:hAnsi="Times New Roman" w:cs="Times New Roman"/>
          <w:sz w:val="24"/>
          <w:szCs w:val="24"/>
        </w:rPr>
      </w:pPr>
      <w:r w:rsidRPr="00603CCB">
        <w:rPr>
          <w:rFonts w:ascii="Times New Roman" w:hAnsi="Times New Roman" w:cs="Times New Roman"/>
          <w:sz w:val="24"/>
          <w:szCs w:val="24"/>
        </w:rPr>
        <w:t>MANGOTA</w:t>
      </w:r>
      <w:r>
        <w:rPr>
          <w:rFonts w:ascii="Times New Roman" w:hAnsi="Times New Roman" w:cs="Times New Roman"/>
          <w:sz w:val="24"/>
          <w:szCs w:val="24"/>
        </w:rPr>
        <w:t xml:space="preserve"> J</w:t>
      </w:r>
    </w:p>
    <w:p w:rsidR="000374A8" w:rsidRPr="00603CCB" w:rsidRDefault="00603CCB" w:rsidP="00603CCB">
      <w:pPr>
        <w:spacing w:after="0" w:line="240" w:lineRule="auto"/>
        <w:jc w:val="both"/>
        <w:rPr>
          <w:rFonts w:ascii="Times New Roman" w:hAnsi="Times New Roman" w:cs="Times New Roman"/>
          <w:sz w:val="24"/>
          <w:szCs w:val="24"/>
        </w:rPr>
      </w:pPr>
      <w:r w:rsidRPr="00603CCB">
        <w:rPr>
          <w:rFonts w:ascii="Times New Roman" w:hAnsi="Times New Roman" w:cs="Times New Roman"/>
          <w:sz w:val="24"/>
          <w:szCs w:val="24"/>
        </w:rPr>
        <w:t>HARARE</w:t>
      </w:r>
      <w:r w:rsidR="000374A8" w:rsidRPr="00603CCB">
        <w:rPr>
          <w:rFonts w:ascii="Times New Roman" w:hAnsi="Times New Roman" w:cs="Times New Roman"/>
          <w:sz w:val="24"/>
          <w:szCs w:val="24"/>
        </w:rPr>
        <w:t>, 25 July 2018</w:t>
      </w:r>
      <w:r w:rsidR="00581C9F">
        <w:rPr>
          <w:rFonts w:ascii="Times New Roman" w:hAnsi="Times New Roman" w:cs="Times New Roman"/>
          <w:sz w:val="24"/>
          <w:szCs w:val="24"/>
        </w:rPr>
        <w:t xml:space="preserve"> and 12 September, 2018</w:t>
      </w:r>
    </w:p>
    <w:p w:rsidR="000374A8" w:rsidRDefault="000374A8" w:rsidP="00161B85">
      <w:pPr>
        <w:spacing w:line="240" w:lineRule="auto"/>
        <w:jc w:val="both"/>
        <w:rPr>
          <w:rFonts w:ascii="Times New Roman" w:hAnsi="Times New Roman" w:cs="Times New Roman"/>
          <w:sz w:val="24"/>
          <w:szCs w:val="24"/>
        </w:rPr>
      </w:pPr>
    </w:p>
    <w:p w:rsidR="00161B85" w:rsidRDefault="00161B85" w:rsidP="00161B85">
      <w:pPr>
        <w:spacing w:line="240" w:lineRule="auto"/>
        <w:jc w:val="both"/>
        <w:rPr>
          <w:rFonts w:ascii="Times New Roman" w:hAnsi="Times New Roman" w:cs="Times New Roman"/>
          <w:sz w:val="24"/>
          <w:szCs w:val="24"/>
        </w:rPr>
      </w:pPr>
    </w:p>
    <w:p w:rsidR="00161B85" w:rsidRDefault="00161B85" w:rsidP="00161B85">
      <w:pPr>
        <w:spacing w:line="240" w:lineRule="auto"/>
        <w:jc w:val="both"/>
        <w:rPr>
          <w:rFonts w:ascii="Times New Roman" w:hAnsi="Times New Roman" w:cs="Times New Roman"/>
          <w:b/>
          <w:sz w:val="24"/>
          <w:szCs w:val="24"/>
        </w:rPr>
      </w:pPr>
      <w:r w:rsidRPr="00161B85">
        <w:rPr>
          <w:rFonts w:ascii="Times New Roman" w:hAnsi="Times New Roman" w:cs="Times New Roman"/>
          <w:b/>
          <w:sz w:val="24"/>
          <w:szCs w:val="24"/>
        </w:rPr>
        <w:t>Opposed Application</w:t>
      </w:r>
    </w:p>
    <w:p w:rsidR="00161B85" w:rsidRPr="00161B85" w:rsidRDefault="00161B85" w:rsidP="00161B85">
      <w:pPr>
        <w:spacing w:line="240" w:lineRule="auto"/>
        <w:jc w:val="both"/>
        <w:rPr>
          <w:rFonts w:ascii="Times New Roman" w:hAnsi="Times New Roman" w:cs="Times New Roman"/>
          <w:b/>
          <w:sz w:val="24"/>
          <w:szCs w:val="24"/>
        </w:rPr>
      </w:pPr>
    </w:p>
    <w:p w:rsidR="00161B85" w:rsidRDefault="005D1D31" w:rsidP="00161B85">
      <w:pPr>
        <w:spacing w:after="0" w:line="240" w:lineRule="auto"/>
        <w:jc w:val="both"/>
        <w:rPr>
          <w:rFonts w:ascii="Times New Roman" w:hAnsi="Times New Roman" w:cs="Times New Roman"/>
          <w:sz w:val="24"/>
          <w:szCs w:val="24"/>
        </w:rPr>
      </w:pPr>
      <w:r w:rsidRPr="005D1D31">
        <w:rPr>
          <w:rFonts w:ascii="Times New Roman" w:hAnsi="Times New Roman" w:cs="Times New Roman"/>
          <w:i/>
          <w:sz w:val="24"/>
          <w:szCs w:val="24"/>
        </w:rPr>
        <w:t>B. Moyo</w:t>
      </w:r>
      <w:r w:rsidR="00161B85">
        <w:rPr>
          <w:rFonts w:ascii="Times New Roman" w:hAnsi="Times New Roman" w:cs="Times New Roman"/>
          <w:sz w:val="24"/>
          <w:szCs w:val="24"/>
        </w:rPr>
        <w:t xml:space="preserve">, for the applicant </w:t>
      </w:r>
    </w:p>
    <w:p w:rsidR="005D1D31" w:rsidRDefault="005D1D31" w:rsidP="00161B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appearance </w:t>
      </w:r>
      <w:r w:rsidR="00161B85">
        <w:rPr>
          <w:rFonts w:ascii="Times New Roman" w:hAnsi="Times New Roman" w:cs="Times New Roman"/>
          <w:sz w:val="24"/>
          <w:szCs w:val="24"/>
        </w:rPr>
        <w:t>for the respondent</w:t>
      </w:r>
    </w:p>
    <w:p w:rsidR="00161B85" w:rsidRDefault="005D1D31" w:rsidP="00161B85">
      <w:pPr>
        <w:spacing w:after="0" w:line="240" w:lineRule="auto"/>
        <w:jc w:val="both"/>
        <w:rPr>
          <w:rFonts w:ascii="Times New Roman" w:hAnsi="Times New Roman" w:cs="Times New Roman"/>
          <w:sz w:val="24"/>
          <w:szCs w:val="24"/>
        </w:rPr>
      </w:pPr>
      <w:r w:rsidRPr="005D1D31">
        <w:rPr>
          <w:rFonts w:ascii="Times New Roman" w:hAnsi="Times New Roman" w:cs="Times New Roman"/>
          <w:i/>
          <w:sz w:val="24"/>
          <w:szCs w:val="24"/>
        </w:rPr>
        <w:t>K. Masasire</w:t>
      </w:r>
      <w:r>
        <w:rPr>
          <w:rFonts w:ascii="Times New Roman" w:hAnsi="Times New Roman" w:cs="Times New Roman"/>
          <w:sz w:val="24"/>
          <w:szCs w:val="24"/>
        </w:rPr>
        <w:t>, for the 2</w:t>
      </w:r>
      <w:r w:rsidRPr="005D1D3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r w:rsidR="00161B85">
        <w:rPr>
          <w:rFonts w:ascii="Times New Roman" w:hAnsi="Times New Roman" w:cs="Times New Roman"/>
          <w:sz w:val="24"/>
          <w:szCs w:val="24"/>
        </w:rPr>
        <w:t xml:space="preserve"> </w:t>
      </w:r>
    </w:p>
    <w:p w:rsidR="00161B85" w:rsidRDefault="00161B85" w:rsidP="00161B85">
      <w:pPr>
        <w:spacing w:after="0" w:line="240" w:lineRule="auto"/>
        <w:jc w:val="both"/>
        <w:rPr>
          <w:rFonts w:ascii="Times New Roman" w:hAnsi="Times New Roman" w:cs="Times New Roman"/>
          <w:sz w:val="24"/>
          <w:szCs w:val="24"/>
        </w:rPr>
      </w:pPr>
    </w:p>
    <w:p w:rsidR="00161B85" w:rsidRPr="00603CCB" w:rsidRDefault="00161B85" w:rsidP="00161B85">
      <w:pPr>
        <w:spacing w:after="0" w:line="240" w:lineRule="auto"/>
        <w:jc w:val="both"/>
        <w:rPr>
          <w:rFonts w:ascii="Times New Roman" w:hAnsi="Times New Roman" w:cs="Times New Roman"/>
          <w:sz w:val="24"/>
          <w:szCs w:val="24"/>
        </w:rPr>
      </w:pPr>
    </w:p>
    <w:p w:rsidR="000374A8" w:rsidRPr="00603CCB" w:rsidRDefault="00603CCB" w:rsidP="00603C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03CCB">
        <w:rPr>
          <w:rFonts w:ascii="Times New Roman" w:hAnsi="Times New Roman" w:cs="Times New Roman"/>
          <w:sz w:val="24"/>
          <w:szCs w:val="24"/>
        </w:rPr>
        <w:t>MANGOTA J</w:t>
      </w:r>
      <w:r w:rsidR="000374A8" w:rsidRPr="00603CCB">
        <w:rPr>
          <w:rFonts w:ascii="Times New Roman" w:hAnsi="Times New Roman" w:cs="Times New Roman"/>
          <w:sz w:val="24"/>
          <w:szCs w:val="24"/>
        </w:rPr>
        <w:t>:</w:t>
      </w:r>
      <w:r>
        <w:rPr>
          <w:rFonts w:ascii="Times New Roman" w:hAnsi="Times New Roman" w:cs="Times New Roman"/>
          <w:sz w:val="24"/>
          <w:szCs w:val="24"/>
        </w:rPr>
        <w:t xml:space="preserve"> </w:t>
      </w:r>
      <w:r w:rsidR="000374A8" w:rsidRPr="00603CCB">
        <w:rPr>
          <w:rFonts w:ascii="Times New Roman" w:hAnsi="Times New Roman" w:cs="Times New Roman"/>
          <w:sz w:val="24"/>
          <w:szCs w:val="24"/>
        </w:rPr>
        <w:t xml:space="preserve">I dealt with this application on 25 July, 2018. I delivered an </w:t>
      </w:r>
      <w:r w:rsidR="000374A8" w:rsidRPr="00E50BAC">
        <w:rPr>
          <w:rFonts w:ascii="Times New Roman" w:hAnsi="Times New Roman" w:cs="Times New Roman"/>
          <w:i/>
          <w:sz w:val="24"/>
          <w:szCs w:val="24"/>
        </w:rPr>
        <w:t>ex tempore</w:t>
      </w:r>
      <w:r w:rsidR="000374A8" w:rsidRPr="00603CCB">
        <w:rPr>
          <w:rFonts w:ascii="Times New Roman" w:hAnsi="Times New Roman" w:cs="Times New Roman"/>
          <w:sz w:val="24"/>
          <w:szCs w:val="24"/>
        </w:rPr>
        <w:t xml:space="preserve"> judgment in whi</w:t>
      </w:r>
      <w:r w:rsidR="00E50BAC">
        <w:rPr>
          <w:rFonts w:ascii="Times New Roman" w:hAnsi="Times New Roman" w:cs="Times New Roman"/>
          <w:sz w:val="24"/>
          <w:szCs w:val="24"/>
        </w:rPr>
        <w:t>ch l dismissed it with costs. I</w:t>
      </w:r>
      <w:r w:rsidR="000374A8" w:rsidRPr="00603CCB">
        <w:rPr>
          <w:rFonts w:ascii="Times New Roman" w:hAnsi="Times New Roman" w:cs="Times New Roman"/>
          <w:sz w:val="24"/>
          <w:szCs w:val="24"/>
        </w:rPr>
        <w:t xml:space="preserve"> indicated that my reasons for the decision would follow. These are they:</w:t>
      </w:r>
    </w:p>
    <w:p w:rsidR="000374A8" w:rsidRPr="00603CCB" w:rsidRDefault="00E50BAC" w:rsidP="00603C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374A8" w:rsidRPr="00603CCB">
        <w:rPr>
          <w:rFonts w:ascii="Times New Roman" w:hAnsi="Times New Roman" w:cs="Times New Roman"/>
          <w:sz w:val="24"/>
          <w:szCs w:val="24"/>
        </w:rPr>
        <w:t xml:space="preserve">The judgment creditor which is the third respondent in </w:t>
      </w:r>
      <w:r w:rsidR="000374A8" w:rsidRPr="00161B85">
        <w:rPr>
          <w:rFonts w:ascii="Times New Roman" w:hAnsi="Times New Roman" w:cs="Times New Roman"/>
          <w:i/>
          <w:sz w:val="24"/>
          <w:szCs w:val="24"/>
        </w:rPr>
        <w:t>casu</w:t>
      </w:r>
      <w:r w:rsidR="000374A8" w:rsidRPr="00603CCB">
        <w:rPr>
          <w:rFonts w:ascii="Times New Roman" w:hAnsi="Times New Roman" w:cs="Times New Roman"/>
          <w:sz w:val="24"/>
          <w:szCs w:val="24"/>
        </w:rPr>
        <w:t xml:space="preserve"> is a group of former employees of Central Estates (Pvt) Ltd, the judgment debtor. It successfully sued the judgment debtor for arrear salaries or wages which are to the tune of $228 945. It di</w:t>
      </w:r>
      <w:r w:rsidR="00161B85">
        <w:rPr>
          <w:rFonts w:ascii="Times New Roman" w:hAnsi="Times New Roman" w:cs="Times New Roman"/>
          <w:sz w:val="24"/>
          <w:szCs w:val="24"/>
        </w:rPr>
        <w:t>d</w:t>
      </w:r>
      <w:r w:rsidR="000374A8" w:rsidRPr="00603CCB">
        <w:rPr>
          <w:rFonts w:ascii="Times New Roman" w:hAnsi="Times New Roman" w:cs="Times New Roman"/>
          <w:sz w:val="24"/>
          <w:szCs w:val="24"/>
        </w:rPr>
        <w:t xml:space="preserve"> so through arbitration.</w:t>
      </w:r>
    </w:p>
    <w:p w:rsidR="000374A8" w:rsidRPr="00603CCB" w:rsidRDefault="000374A8" w:rsidP="00603CCB">
      <w:pPr>
        <w:spacing w:after="0" w:line="360" w:lineRule="auto"/>
        <w:jc w:val="both"/>
        <w:rPr>
          <w:rFonts w:ascii="Times New Roman" w:hAnsi="Times New Roman" w:cs="Times New Roman"/>
          <w:sz w:val="24"/>
          <w:szCs w:val="24"/>
        </w:rPr>
      </w:pPr>
      <w:r w:rsidRPr="00603CCB">
        <w:rPr>
          <w:rFonts w:ascii="Times New Roman" w:hAnsi="Times New Roman" w:cs="Times New Roman"/>
          <w:sz w:val="24"/>
          <w:szCs w:val="24"/>
        </w:rPr>
        <w:tab/>
        <w:t xml:space="preserve">Following its successful suit, the third respondent successfully applied for registration of the arbitral award. It then instructed the first respondent to attach and take </w:t>
      </w:r>
      <w:r w:rsidR="00161B85" w:rsidRPr="00603CCB">
        <w:rPr>
          <w:rFonts w:ascii="Times New Roman" w:hAnsi="Times New Roman" w:cs="Times New Roman"/>
          <w:sz w:val="24"/>
          <w:szCs w:val="24"/>
        </w:rPr>
        <w:t>into</w:t>
      </w:r>
      <w:r w:rsidRPr="00603CCB">
        <w:rPr>
          <w:rFonts w:ascii="Times New Roman" w:hAnsi="Times New Roman" w:cs="Times New Roman"/>
          <w:sz w:val="24"/>
          <w:szCs w:val="24"/>
        </w:rPr>
        <w:t xml:space="preserve"> execution the movable goods of the second respondent. The property was duly attached.</w:t>
      </w:r>
    </w:p>
    <w:p w:rsidR="00E50BAC" w:rsidRDefault="000374A8" w:rsidP="00603CCB">
      <w:pPr>
        <w:spacing w:after="0" w:line="360" w:lineRule="auto"/>
        <w:jc w:val="both"/>
        <w:rPr>
          <w:rFonts w:ascii="Times New Roman" w:hAnsi="Times New Roman" w:cs="Times New Roman"/>
          <w:sz w:val="24"/>
          <w:szCs w:val="24"/>
        </w:rPr>
      </w:pPr>
      <w:r w:rsidRPr="00603CCB">
        <w:rPr>
          <w:rFonts w:ascii="Times New Roman" w:hAnsi="Times New Roman" w:cs="Times New Roman"/>
          <w:sz w:val="24"/>
          <w:szCs w:val="24"/>
        </w:rPr>
        <w:tab/>
        <w:t xml:space="preserve">The attached </w:t>
      </w:r>
      <w:r w:rsidR="001764B0" w:rsidRPr="00603CCB">
        <w:rPr>
          <w:rFonts w:ascii="Times New Roman" w:hAnsi="Times New Roman" w:cs="Times New Roman"/>
          <w:sz w:val="24"/>
          <w:szCs w:val="24"/>
        </w:rPr>
        <w:t>property</w:t>
      </w:r>
      <w:r w:rsidRPr="00603CCB">
        <w:rPr>
          <w:rFonts w:ascii="Times New Roman" w:hAnsi="Times New Roman" w:cs="Times New Roman"/>
          <w:sz w:val="24"/>
          <w:szCs w:val="24"/>
        </w:rPr>
        <w:t xml:space="preserve"> brought the applicant into the equation. It claimed that the same belonged to it. Its claim resulted in the issuance of an interpleader notice. It was issued under HC 7899/13. </w:t>
      </w:r>
    </w:p>
    <w:p w:rsidR="00E50BAC" w:rsidRDefault="00E50BAC" w:rsidP="00603C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374A8" w:rsidRPr="00603CCB">
        <w:rPr>
          <w:rFonts w:ascii="Times New Roman" w:hAnsi="Times New Roman" w:cs="Times New Roman"/>
          <w:sz w:val="24"/>
          <w:szCs w:val="24"/>
        </w:rPr>
        <w:t xml:space="preserve">The applicant filed a fatally defective opposing </w:t>
      </w:r>
      <w:r w:rsidR="0061326F" w:rsidRPr="00603CCB">
        <w:rPr>
          <w:rFonts w:ascii="Times New Roman" w:hAnsi="Times New Roman" w:cs="Times New Roman"/>
          <w:sz w:val="24"/>
          <w:szCs w:val="24"/>
        </w:rPr>
        <w:t xml:space="preserve">affidavit in the interpleader proceedings. The affidavit was defective in that it was deposed to by one person and signed by the other. </w:t>
      </w:r>
    </w:p>
    <w:p w:rsidR="000374A8" w:rsidRPr="00603CCB" w:rsidRDefault="00E50BAC" w:rsidP="00603C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61326F" w:rsidRPr="00603CCB">
        <w:rPr>
          <w:rFonts w:ascii="Times New Roman" w:hAnsi="Times New Roman" w:cs="Times New Roman"/>
          <w:sz w:val="24"/>
          <w:szCs w:val="24"/>
        </w:rPr>
        <w:t>The court which dealt with the interpleader dismissed the applicant’s claim. It did so on the basis that the applicant did not oppose the third respondent’s position.</w:t>
      </w:r>
    </w:p>
    <w:p w:rsidR="0061326F" w:rsidRPr="00603CCB" w:rsidRDefault="0061326F" w:rsidP="00603CCB">
      <w:pPr>
        <w:spacing w:after="0" w:line="360" w:lineRule="auto"/>
        <w:jc w:val="both"/>
        <w:rPr>
          <w:rFonts w:ascii="Times New Roman" w:hAnsi="Times New Roman" w:cs="Times New Roman"/>
          <w:sz w:val="24"/>
          <w:szCs w:val="24"/>
        </w:rPr>
      </w:pPr>
      <w:r w:rsidRPr="00603CCB">
        <w:rPr>
          <w:rFonts w:ascii="Times New Roman" w:hAnsi="Times New Roman" w:cs="Times New Roman"/>
          <w:sz w:val="24"/>
          <w:szCs w:val="24"/>
        </w:rPr>
        <w:tab/>
        <w:t>The applicant appealed the dismissal of its claim. It did so through its erstwhile legal practitioners, Scanlen &amp; Holderness. These renounced agency on 11 May, 2015.</w:t>
      </w:r>
    </w:p>
    <w:p w:rsidR="0061326F" w:rsidRPr="00603CCB" w:rsidRDefault="0061326F" w:rsidP="00603CCB">
      <w:pPr>
        <w:spacing w:after="0" w:line="360" w:lineRule="auto"/>
        <w:jc w:val="both"/>
        <w:rPr>
          <w:rFonts w:ascii="Times New Roman" w:hAnsi="Times New Roman" w:cs="Times New Roman"/>
          <w:sz w:val="24"/>
          <w:szCs w:val="24"/>
        </w:rPr>
      </w:pPr>
      <w:r w:rsidRPr="00603CCB">
        <w:rPr>
          <w:rFonts w:ascii="Times New Roman" w:hAnsi="Times New Roman" w:cs="Times New Roman"/>
          <w:sz w:val="24"/>
          <w:szCs w:val="24"/>
        </w:rPr>
        <w:tab/>
        <w:t xml:space="preserve">On 8 June, 2015 the applicant engaged its current legal practitioners. It </w:t>
      </w:r>
      <w:r w:rsidR="00082A7A">
        <w:rPr>
          <w:rFonts w:ascii="Times New Roman" w:hAnsi="Times New Roman" w:cs="Times New Roman"/>
          <w:sz w:val="24"/>
          <w:szCs w:val="24"/>
        </w:rPr>
        <w:t>i</w:t>
      </w:r>
      <w:r w:rsidRPr="00603CCB">
        <w:rPr>
          <w:rFonts w:ascii="Times New Roman" w:hAnsi="Times New Roman" w:cs="Times New Roman"/>
          <w:sz w:val="24"/>
          <w:szCs w:val="24"/>
        </w:rPr>
        <w:t>s on their advice that it realised that the appeal which it had filed was erroneous. They advised it to withdraw the same and apply for rescission of judgment. It withdrew the appeal on 27 January, 2016. It filed this application on the same date.</w:t>
      </w:r>
    </w:p>
    <w:p w:rsidR="009F7A9D" w:rsidRPr="00603CCB" w:rsidRDefault="009F7A9D" w:rsidP="00161B85">
      <w:pPr>
        <w:spacing w:after="0" w:line="360" w:lineRule="auto"/>
        <w:jc w:val="both"/>
        <w:rPr>
          <w:rFonts w:ascii="Times New Roman" w:hAnsi="Times New Roman" w:cs="Times New Roman"/>
          <w:sz w:val="24"/>
          <w:szCs w:val="24"/>
        </w:rPr>
      </w:pPr>
      <w:r w:rsidRPr="00603CCB">
        <w:rPr>
          <w:rFonts w:ascii="Times New Roman" w:hAnsi="Times New Roman" w:cs="Times New Roman"/>
          <w:sz w:val="24"/>
          <w:szCs w:val="24"/>
        </w:rPr>
        <w:tab/>
        <w:t xml:space="preserve">The application is for condonation of late filing of the application for rescission of judgment. It is the </w:t>
      </w:r>
      <w:r w:rsidR="00603CCB" w:rsidRPr="00603CCB">
        <w:rPr>
          <w:rFonts w:ascii="Times New Roman" w:hAnsi="Times New Roman" w:cs="Times New Roman"/>
          <w:sz w:val="24"/>
          <w:szCs w:val="24"/>
        </w:rPr>
        <w:t>applicant’s</w:t>
      </w:r>
      <w:r w:rsidRPr="00603CCB">
        <w:rPr>
          <w:rFonts w:ascii="Times New Roman" w:hAnsi="Times New Roman" w:cs="Times New Roman"/>
          <w:sz w:val="24"/>
          <w:szCs w:val="24"/>
        </w:rPr>
        <w:t xml:space="preserve"> view that it be condoned for having adopted a wr</w:t>
      </w:r>
      <w:r w:rsidR="00082A7A">
        <w:rPr>
          <w:rFonts w:ascii="Times New Roman" w:hAnsi="Times New Roman" w:cs="Times New Roman"/>
          <w:sz w:val="24"/>
          <w:szCs w:val="24"/>
        </w:rPr>
        <w:t>o</w:t>
      </w:r>
      <w:r w:rsidRPr="00603CCB">
        <w:rPr>
          <w:rFonts w:ascii="Times New Roman" w:hAnsi="Times New Roman" w:cs="Times New Roman"/>
          <w:sz w:val="24"/>
          <w:szCs w:val="24"/>
        </w:rPr>
        <w:t xml:space="preserve">ng procedure. It states that, once condonation is granted, it would apply for rescission of judgment and, if successful, it would instruct the first respondent to issue a fresh interpleader notice, and in the process, bring its claim back on track as well as have the same decided on the merits. It insists that it is the owner of the property which the first </w:t>
      </w:r>
      <w:r w:rsidR="00524DF2" w:rsidRPr="00603CCB">
        <w:rPr>
          <w:rFonts w:ascii="Times New Roman" w:hAnsi="Times New Roman" w:cs="Times New Roman"/>
          <w:sz w:val="24"/>
          <w:szCs w:val="24"/>
        </w:rPr>
        <w:t>respondent attached at the instance of the third respondent. It attached to its application HC 223/14 which it says confers ownership of the property to it.</w:t>
      </w:r>
    </w:p>
    <w:p w:rsidR="00524DF2" w:rsidRPr="00603CCB" w:rsidRDefault="00524DF2" w:rsidP="00161B85">
      <w:pPr>
        <w:spacing w:after="0" w:line="360" w:lineRule="auto"/>
        <w:jc w:val="both"/>
        <w:rPr>
          <w:rFonts w:ascii="Times New Roman" w:hAnsi="Times New Roman" w:cs="Times New Roman"/>
          <w:sz w:val="24"/>
          <w:szCs w:val="24"/>
        </w:rPr>
      </w:pPr>
      <w:r w:rsidRPr="00603CCB">
        <w:rPr>
          <w:rFonts w:ascii="Times New Roman" w:hAnsi="Times New Roman" w:cs="Times New Roman"/>
          <w:sz w:val="24"/>
          <w:szCs w:val="24"/>
        </w:rPr>
        <w:tab/>
        <w:t xml:space="preserve">The third </w:t>
      </w:r>
      <w:r w:rsidR="00082A7A" w:rsidRPr="00603CCB">
        <w:rPr>
          <w:rFonts w:ascii="Times New Roman" w:hAnsi="Times New Roman" w:cs="Times New Roman"/>
          <w:sz w:val="24"/>
          <w:szCs w:val="24"/>
        </w:rPr>
        <w:t>respondent opposes</w:t>
      </w:r>
      <w:r w:rsidRPr="00603CCB">
        <w:rPr>
          <w:rFonts w:ascii="Times New Roman" w:hAnsi="Times New Roman" w:cs="Times New Roman"/>
          <w:sz w:val="24"/>
          <w:szCs w:val="24"/>
        </w:rPr>
        <w:t xml:space="preserve"> the application. The first and second respondent</w:t>
      </w:r>
      <w:r w:rsidR="00082A7A">
        <w:rPr>
          <w:rFonts w:ascii="Times New Roman" w:hAnsi="Times New Roman" w:cs="Times New Roman"/>
          <w:sz w:val="24"/>
          <w:szCs w:val="24"/>
        </w:rPr>
        <w:t>s</w:t>
      </w:r>
      <w:r w:rsidRPr="00603CCB">
        <w:rPr>
          <w:rFonts w:ascii="Times New Roman" w:hAnsi="Times New Roman" w:cs="Times New Roman"/>
          <w:sz w:val="24"/>
          <w:szCs w:val="24"/>
        </w:rPr>
        <w:t xml:space="preserve"> do not. My assumption is that they intend to abide by my decision.</w:t>
      </w:r>
    </w:p>
    <w:p w:rsidR="00524DF2" w:rsidRPr="00603CCB" w:rsidRDefault="00524DF2" w:rsidP="00603CCB">
      <w:pPr>
        <w:spacing w:after="0" w:line="360" w:lineRule="auto"/>
        <w:jc w:val="both"/>
        <w:rPr>
          <w:rFonts w:ascii="Times New Roman" w:hAnsi="Times New Roman" w:cs="Times New Roman"/>
          <w:sz w:val="24"/>
          <w:szCs w:val="24"/>
        </w:rPr>
      </w:pPr>
      <w:r w:rsidRPr="00603CCB">
        <w:rPr>
          <w:rFonts w:ascii="Times New Roman" w:hAnsi="Times New Roman" w:cs="Times New Roman"/>
          <w:sz w:val="24"/>
          <w:szCs w:val="24"/>
        </w:rPr>
        <w:tab/>
        <w:t xml:space="preserve">The third respondent alleges that </w:t>
      </w:r>
      <w:r w:rsidR="00082A7A">
        <w:rPr>
          <w:rFonts w:ascii="Times New Roman" w:hAnsi="Times New Roman" w:cs="Times New Roman"/>
          <w:sz w:val="24"/>
          <w:szCs w:val="24"/>
        </w:rPr>
        <w:t>t</w:t>
      </w:r>
      <w:r w:rsidRPr="00603CCB">
        <w:rPr>
          <w:rFonts w:ascii="Times New Roman" w:hAnsi="Times New Roman" w:cs="Times New Roman"/>
          <w:sz w:val="24"/>
          <w:szCs w:val="24"/>
        </w:rPr>
        <w:t xml:space="preserve">he applicant and the second respondent are colluding in the matter which relates to the attached </w:t>
      </w:r>
      <w:r w:rsidR="00C7724C" w:rsidRPr="00603CCB">
        <w:rPr>
          <w:rFonts w:ascii="Times New Roman" w:hAnsi="Times New Roman" w:cs="Times New Roman"/>
          <w:sz w:val="24"/>
          <w:szCs w:val="24"/>
        </w:rPr>
        <w:t xml:space="preserve">property. </w:t>
      </w:r>
      <w:r w:rsidR="00082A7A" w:rsidRPr="00603CCB">
        <w:rPr>
          <w:rFonts w:ascii="Times New Roman" w:hAnsi="Times New Roman" w:cs="Times New Roman"/>
          <w:sz w:val="24"/>
          <w:szCs w:val="24"/>
        </w:rPr>
        <w:t>It</w:t>
      </w:r>
      <w:r w:rsidR="00C7724C" w:rsidRPr="00603CCB">
        <w:rPr>
          <w:rFonts w:ascii="Times New Roman" w:hAnsi="Times New Roman" w:cs="Times New Roman"/>
          <w:sz w:val="24"/>
          <w:szCs w:val="24"/>
        </w:rPr>
        <w:t xml:space="preserve"> states that the two are one and the same entity. HC 223/14, i</w:t>
      </w:r>
      <w:r w:rsidR="00082A7A">
        <w:rPr>
          <w:rFonts w:ascii="Times New Roman" w:hAnsi="Times New Roman" w:cs="Times New Roman"/>
          <w:sz w:val="24"/>
          <w:szCs w:val="24"/>
        </w:rPr>
        <w:t>t insists,</w:t>
      </w:r>
      <w:r w:rsidR="00C7724C" w:rsidRPr="00603CCB">
        <w:rPr>
          <w:rFonts w:ascii="Times New Roman" w:hAnsi="Times New Roman" w:cs="Times New Roman"/>
          <w:sz w:val="24"/>
          <w:szCs w:val="24"/>
        </w:rPr>
        <w:t xml:space="preserve"> is a result of the collusion of the applicant and the second respondent and their effort to mislead the court which granted the order to believe that the applicant owns the attached property. </w:t>
      </w:r>
      <w:r w:rsidR="00082A7A" w:rsidRPr="00603CCB">
        <w:rPr>
          <w:rFonts w:ascii="Times New Roman" w:hAnsi="Times New Roman" w:cs="Times New Roman"/>
          <w:sz w:val="24"/>
          <w:szCs w:val="24"/>
        </w:rPr>
        <w:t>It</w:t>
      </w:r>
      <w:r w:rsidR="00C7724C" w:rsidRPr="00603CCB">
        <w:rPr>
          <w:rFonts w:ascii="Times New Roman" w:hAnsi="Times New Roman" w:cs="Times New Roman"/>
          <w:sz w:val="24"/>
          <w:szCs w:val="24"/>
        </w:rPr>
        <w:t xml:space="preserve"> contends that the applicant deliberately refrained from citing it in the matter because it knew that, if it did, the truth would be told. It </w:t>
      </w:r>
      <w:r w:rsidR="00082A7A">
        <w:rPr>
          <w:rFonts w:ascii="Times New Roman" w:hAnsi="Times New Roman" w:cs="Times New Roman"/>
          <w:sz w:val="24"/>
          <w:szCs w:val="24"/>
        </w:rPr>
        <w:t>submits</w:t>
      </w:r>
      <w:r w:rsidR="00C7724C" w:rsidRPr="00603CCB">
        <w:rPr>
          <w:rFonts w:ascii="Times New Roman" w:hAnsi="Times New Roman" w:cs="Times New Roman"/>
          <w:sz w:val="24"/>
          <w:szCs w:val="24"/>
        </w:rPr>
        <w:t xml:space="preserve"> that </w:t>
      </w:r>
      <w:r w:rsidR="00082A7A">
        <w:rPr>
          <w:rFonts w:ascii="Times New Roman" w:hAnsi="Times New Roman" w:cs="Times New Roman"/>
          <w:sz w:val="24"/>
          <w:szCs w:val="24"/>
        </w:rPr>
        <w:t>t</w:t>
      </w:r>
      <w:r w:rsidR="00C7724C" w:rsidRPr="00603CCB">
        <w:rPr>
          <w:rFonts w:ascii="Times New Roman" w:hAnsi="Times New Roman" w:cs="Times New Roman"/>
          <w:sz w:val="24"/>
          <w:szCs w:val="24"/>
        </w:rPr>
        <w:t>he applicant is not the owner of the property</w:t>
      </w:r>
      <w:r w:rsidR="00082A7A">
        <w:rPr>
          <w:rFonts w:ascii="Times New Roman" w:hAnsi="Times New Roman" w:cs="Times New Roman"/>
          <w:sz w:val="24"/>
          <w:szCs w:val="24"/>
        </w:rPr>
        <w:t xml:space="preserve">. It avers </w:t>
      </w:r>
      <w:r w:rsidR="00C7724C" w:rsidRPr="00603CCB">
        <w:rPr>
          <w:rFonts w:ascii="Times New Roman" w:hAnsi="Times New Roman" w:cs="Times New Roman"/>
          <w:sz w:val="24"/>
          <w:szCs w:val="24"/>
        </w:rPr>
        <w:t xml:space="preserve">that the application was filed to frustrate its effort to execute upon its judgment. It moved the court to direct the applicant to pursue the alternative remedy which the court granted to it in HC 223/14. It states that it is only fair that the applicant obtains </w:t>
      </w:r>
      <w:r w:rsidR="00082A7A">
        <w:rPr>
          <w:rFonts w:ascii="Times New Roman" w:hAnsi="Times New Roman" w:cs="Times New Roman"/>
          <w:sz w:val="24"/>
          <w:szCs w:val="24"/>
        </w:rPr>
        <w:t>a</w:t>
      </w:r>
      <w:r w:rsidR="00C7724C" w:rsidRPr="00603CCB">
        <w:rPr>
          <w:rFonts w:ascii="Times New Roman" w:hAnsi="Times New Roman" w:cs="Times New Roman"/>
          <w:sz w:val="24"/>
          <w:szCs w:val="24"/>
        </w:rPr>
        <w:t xml:space="preserve"> refund of its purchase price and it be allowed to remain with the attached property which it would sell to satisfy what the second respondent owes to it. It moved the court to dismiss the application with costs on a punitive scale.</w:t>
      </w:r>
    </w:p>
    <w:p w:rsidR="00C7724C" w:rsidRPr="00603CCB" w:rsidRDefault="00C7724C" w:rsidP="00603CCB">
      <w:pPr>
        <w:spacing w:after="0" w:line="360" w:lineRule="auto"/>
        <w:jc w:val="both"/>
        <w:rPr>
          <w:rFonts w:ascii="Times New Roman" w:hAnsi="Times New Roman" w:cs="Times New Roman"/>
          <w:sz w:val="24"/>
          <w:szCs w:val="24"/>
        </w:rPr>
      </w:pPr>
      <w:r w:rsidRPr="00603CCB">
        <w:rPr>
          <w:rFonts w:ascii="Times New Roman" w:hAnsi="Times New Roman" w:cs="Times New Roman"/>
          <w:sz w:val="24"/>
          <w:szCs w:val="24"/>
        </w:rPr>
        <w:tab/>
        <w:t xml:space="preserve">The </w:t>
      </w:r>
      <w:r w:rsidR="00161B85" w:rsidRPr="00603CCB">
        <w:rPr>
          <w:rFonts w:ascii="Times New Roman" w:hAnsi="Times New Roman" w:cs="Times New Roman"/>
          <w:sz w:val="24"/>
          <w:szCs w:val="24"/>
        </w:rPr>
        <w:t>Supreme Court</w:t>
      </w:r>
      <w:r w:rsidRPr="00603CCB">
        <w:rPr>
          <w:rFonts w:ascii="Times New Roman" w:hAnsi="Times New Roman" w:cs="Times New Roman"/>
          <w:sz w:val="24"/>
          <w:szCs w:val="24"/>
        </w:rPr>
        <w:t xml:space="preserve"> and this court have laid firm pri</w:t>
      </w:r>
      <w:r w:rsidR="0025441F">
        <w:rPr>
          <w:rFonts w:ascii="Times New Roman" w:hAnsi="Times New Roman" w:cs="Times New Roman"/>
          <w:sz w:val="24"/>
          <w:szCs w:val="24"/>
        </w:rPr>
        <w:t>nciples</w:t>
      </w:r>
      <w:r w:rsidRPr="00603CCB">
        <w:rPr>
          <w:rFonts w:ascii="Times New Roman" w:hAnsi="Times New Roman" w:cs="Times New Roman"/>
          <w:sz w:val="24"/>
          <w:szCs w:val="24"/>
        </w:rPr>
        <w:t xml:space="preserve"> which guide them in the determination of such applications as the present one. Both parties cited these principles properly in their Heads.</w:t>
      </w:r>
    </w:p>
    <w:p w:rsidR="00C7724C" w:rsidRPr="00603CCB" w:rsidRDefault="00C7724C" w:rsidP="00603CCB">
      <w:pPr>
        <w:spacing w:line="360" w:lineRule="auto"/>
        <w:jc w:val="both"/>
        <w:rPr>
          <w:rFonts w:ascii="Times New Roman" w:hAnsi="Times New Roman" w:cs="Times New Roman"/>
          <w:sz w:val="24"/>
          <w:szCs w:val="24"/>
        </w:rPr>
      </w:pPr>
      <w:r w:rsidRPr="00603CCB">
        <w:rPr>
          <w:rFonts w:ascii="Times New Roman" w:hAnsi="Times New Roman" w:cs="Times New Roman"/>
          <w:sz w:val="24"/>
          <w:szCs w:val="24"/>
        </w:rPr>
        <w:lastRenderedPageBreak/>
        <w:tab/>
        <w:t>The applicant cite</w:t>
      </w:r>
      <w:r w:rsidR="00895CEA">
        <w:rPr>
          <w:rFonts w:ascii="Times New Roman" w:hAnsi="Times New Roman" w:cs="Times New Roman"/>
          <w:sz w:val="24"/>
          <w:szCs w:val="24"/>
        </w:rPr>
        <w:t>s</w:t>
      </w:r>
      <w:r w:rsidRPr="00603CCB">
        <w:rPr>
          <w:rFonts w:ascii="Times New Roman" w:hAnsi="Times New Roman" w:cs="Times New Roman"/>
          <w:sz w:val="24"/>
          <w:szCs w:val="24"/>
        </w:rPr>
        <w:t xml:space="preserve"> the case of </w:t>
      </w:r>
      <w:r w:rsidRPr="00603CCB">
        <w:rPr>
          <w:rFonts w:ascii="Times New Roman" w:hAnsi="Times New Roman" w:cs="Times New Roman"/>
          <w:i/>
          <w:sz w:val="24"/>
          <w:szCs w:val="24"/>
        </w:rPr>
        <w:t>Chimbonda &amp; Anor</w:t>
      </w:r>
      <w:r w:rsidRPr="00603CCB">
        <w:rPr>
          <w:rFonts w:ascii="Times New Roman" w:hAnsi="Times New Roman" w:cs="Times New Roman"/>
          <w:sz w:val="24"/>
          <w:szCs w:val="24"/>
        </w:rPr>
        <w:t xml:space="preserve"> v </w:t>
      </w:r>
      <w:r w:rsidRPr="00603CCB">
        <w:rPr>
          <w:rFonts w:ascii="Times New Roman" w:hAnsi="Times New Roman" w:cs="Times New Roman"/>
          <w:i/>
          <w:sz w:val="24"/>
          <w:szCs w:val="24"/>
        </w:rPr>
        <w:t>Muvami</w:t>
      </w:r>
      <w:r w:rsidRPr="00603CCB">
        <w:rPr>
          <w:rFonts w:ascii="Times New Roman" w:hAnsi="Times New Roman" w:cs="Times New Roman"/>
          <w:sz w:val="24"/>
          <w:szCs w:val="24"/>
        </w:rPr>
        <w:t>, 2007 (2) ZLR 326 (H) which states at 327 E-H that:</w:t>
      </w:r>
    </w:p>
    <w:p w:rsidR="00C7724C" w:rsidRPr="00603CCB" w:rsidRDefault="00C7724C" w:rsidP="00603CCB">
      <w:pPr>
        <w:spacing w:line="240" w:lineRule="auto"/>
        <w:jc w:val="both"/>
        <w:rPr>
          <w:rFonts w:ascii="Times New Roman" w:hAnsi="Times New Roman" w:cs="Times New Roman"/>
        </w:rPr>
      </w:pPr>
      <w:r w:rsidRPr="00603CCB">
        <w:rPr>
          <w:rFonts w:ascii="Times New Roman" w:hAnsi="Times New Roman" w:cs="Times New Roman"/>
          <w:sz w:val="24"/>
          <w:szCs w:val="24"/>
        </w:rPr>
        <w:tab/>
      </w:r>
      <w:r w:rsidRPr="00603CCB">
        <w:rPr>
          <w:rFonts w:ascii="Times New Roman" w:hAnsi="Times New Roman" w:cs="Times New Roman"/>
        </w:rPr>
        <w:t xml:space="preserve">“…. Importantly, but not exclusively, the court takes into account such factors as the </w:t>
      </w:r>
      <w:r w:rsidR="00603CCB" w:rsidRPr="00603CCB">
        <w:rPr>
          <w:rFonts w:ascii="Times New Roman" w:hAnsi="Times New Roman" w:cs="Times New Roman"/>
        </w:rPr>
        <w:tab/>
      </w:r>
      <w:r w:rsidRPr="00603CCB">
        <w:rPr>
          <w:rFonts w:ascii="Times New Roman" w:hAnsi="Times New Roman" w:cs="Times New Roman"/>
        </w:rPr>
        <w:t xml:space="preserve">length of the delay, the explanation for the delay, the merits of the application and the </w:t>
      </w:r>
      <w:r w:rsidR="00603CCB" w:rsidRPr="00603CCB">
        <w:rPr>
          <w:rFonts w:ascii="Times New Roman" w:hAnsi="Times New Roman" w:cs="Times New Roman"/>
        </w:rPr>
        <w:tab/>
      </w:r>
      <w:r w:rsidRPr="00603CCB">
        <w:rPr>
          <w:rFonts w:ascii="Times New Roman" w:hAnsi="Times New Roman" w:cs="Times New Roman"/>
        </w:rPr>
        <w:t>prejudice to the interest of justice generally.”</w:t>
      </w:r>
    </w:p>
    <w:p w:rsidR="00C7724C" w:rsidRPr="00603CCB" w:rsidRDefault="00C7724C" w:rsidP="00603CCB">
      <w:pPr>
        <w:spacing w:line="360" w:lineRule="auto"/>
        <w:jc w:val="both"/>
        <w:rPr>
          <w:rFonts w:ascii="Times New Roman" w:hAnsi="Times New Roman" w:cs="Times New Roman"/>
          <w:sz w:val="24"/>
          <w:szCs w:val="24"/>
        </w:rPr>
      </w:pPr>
      <w:r w:rsidRPr="00603CCB">
        <w:rPr>
          <w:rFonts w:ascii="Times New Roman" w:hAnsi="Times New Roman" w:cs="Times New Roman"/>
          <w:sz w:val="24"/>
          <w:szCs w:val="24"/>
        </w:rPr>
        <w:tab/>
        <w:t>It also relie</w:t>
      </w:r>
      <w:r w:rsidR="00547B20">
        <w:rPr>
          <w:rFonts w:ascii="Times New Roman" w:hAnsi="Times New Roman" w:cs="Times New Roman"/>
          <w:sz w:val="24"/>
          <w:szCs w:val="24"/>
        </w:rPr>
        <w:t>s</w:t>
      </w:r>
      <w:r w:rsidRPr="00603CCB">
        <w:rPr>
          <w:rFonts w:ascii="Times New Roman" w:hAnsi="Times New Roman" w:cs="Times New Roman"/>
          <w:sz w:val="24"/>
          <w:szCs w:val="24"/>
        </w:rPr>
        <w:t xml:space="preserve"> on the case of </w:t>
      </w:r>
      <w:r w:rsidRPr="00603CCB">
        <w:rPr>
          <w:rFonts w:ascii="Times New Roman" w:hAnsi="Times New Roman" w:cs="Times New Roman"/>
          <w:i/>
          <w:sz w:val="24"/>
          <w:szCs w:val="24"/>
        </w:rPr>
        <w:t>Katembende</w:t>
      </w:r>
      <w:r w:rsidRPr="00603CCB">
        <w:rPr>
          <w:rFonts w:ascii="Times New Roman" w:hAnsi="Times New Roman" w:cs="Times New Roman"/>
          <w:sz w:val="24"/>
          <w:szCs w:val="24"/>
        </w:rPr>
        <w:t xml:space="preserve"> v </w:t>
      </w:r>
      <w:r w:rsidRPr="00603CCB">
        <w:rPr>
          <w:rFonts w:ascii="Times New Roman" w:hAnsi="Times New Roman" w:cs="Times New Roman"/>
          <w:i/>
          <w:sz w:val="24"/>
          <w:szCs w:val="24"/>
        </w:rPr>
        <w:t>City of Harare</w:t>
      </w:r>
      <w:r w:rsidRPr="00603CCB">
        <w:rPr>
          <w:rFonts w:ascii="Times New Roman" w:hAnsi="Times New Roman" w:cs="Times New Roman"/>
          <w:sz w:val="24"/>
          <w:szCs w:val="24"/>
        </w:rPr>
        <w:t xml:space="preserve"> LC/H/2013 which states at pages 2-3 of the cyclostyled judgment as follows:</w:t>
      </w:r>
    </w:p>
    <w:p w:rsidR="00C7724C" w:rsidRPr="00603CCB" w:rsidRDefault="00C7724C" w:rsidP="00603CCB">
      <w:pPr>
        <w:spacing w:line="240" w:lineRule="auto"/>
        <w:jc w:val="both"/>
        <w:rPr>
          <w:rFonts w:ascii="Times New Roman" w:hAnsi="Times New Roman" w:cs="Times New Roman"/>
          <w:sz w:val="24"/>
          <w:szCs w:val="24"/>
        </w:rPr>
      </w:pPr>
      <w:r w:rsidRPr="00603CCB">
        <w:rPr>
          <w:rFonts w:ascii="Times New Roman" w:hAnsi="Times New Roman" w:cs="Times New Roman"/>
          <w:sz w:val="24"/>
          <w:szCs w:val="24"/>
        </w:rPr>
        <w:tab/>
        <w:t>“</w:t>
      </w:r>
      <w:r w:rsidRPr="00603CCB">
        <w:rPr>
          <w:rFonts w:ascii="Times New Roman" w:hAnsi="Times New Roman" w:cs="Times New Roman"/>
        </w:rPr>
        <w:t xml:space="preserve">the factors to be considered in condonation applications are aptly set out in the case of </w:t>
      </w:r>
      <w:r w:rsidR="00E46354">
        <w:rPr>
          <w:rFonts w:ascii="Times New Roman" w:hAnsi="Times New Roman" w:cs="Times New Roman"/>
        </w:rPr>
        <w:tab/>
      </w:r>
      <w:r w:rsidRPr="00603CCB">
        <w:rPr>
          <w:rFonts w:ascii="Times New Roman" w:hAnsi="Times New Roman" w:cs="Times New Roman"/>
          <w:i/>
        </w:rPr>
        <w:t>Jenson</w:t>
      </w:r>
      <w:r w:rsidRPr="00603CCB">
        <w:rPr>
          <w:rFonts w:ascii="Times New Roman" w:hAnsi="Times New Roman" w:cs="Times New Roman"/>
        </w:rPr>
        <w:t xml:space="preserve"> v </w:t>
      </w:r>
      <w:r w:rsidRPr="00603CCB">
        <w:rPr>
          <w:rFonts w:ascii="Times New Roman" w:hAnsi="Times New Roman" w:cs="Times New Roman"/>
          <w:i/>
        </w:rPr>
        <w:t>Cavalos</w:t>
      </w:r>
      <w:r w:rsidRPr="00603CCB">
        <w:rPr>
          <w:rFonts w:ascii="Times New Roman" w:hAnsi="Times New Roman" w:cs="Times New Roman"/>
        </w:rPr>
        <w:t>, 1993 (1) ZLR 216 (</w:t>
      </w:r>
      <w:r w:rsidR="00547B20">
        <w:rPr>
          <w:rFonts w:ascii="Times New Roman" w:hAnsi="Times New Roman" w:cs="Times New Roman"/>
        </w:rPr>
        <w:t>S</w:t>
      </w:r>
      <w:r w:rsidRPr="00603CCB">
        <w:rPr>
          <w:rFonts w:ascii="Times New Roman" w:hAnsi="Times New Roman" w:cs="Times New Roman"/>
        </w:rPr>
        <w:t xml:space="preserve">) and that of </w:t>
      </w:r>
      <w:r w:rsidRPr="00603CCB">
        <w:rPr>
          <w:rFonts w:ascii="Times New Roman" w:hAnsi="Times New Roman" w:cs="Times New Roman"/>
          <w:i/>
        </w:rPr>
        <w:t>T. Mazvimbakupa</w:t>
      </w:r>
      <w:r w:rsidRPr="00603CCB">
        <w:rPr>
          <w:rFonts w:ascii="Times New Roman" w:hAnsi="Times New Roman" w:cs="Times New Roman"/>
        </w:rPr>
        <w:t xml:space="preserve"> v </w:t>
      </w:r>
      <w:r w:rsidRPr="00603CCB">
        <w:rPr>
          <w:rFonts w:ascii="Times New Roman" w:hAnsi="Times New Roman" w:cs="Times New Roman"/>
          <w:i/>
        </w:rPr>
        <w:t xml:space="preserve">City of </w:t>
      </w:r>
      <w:r w:rsidR="00603CCB" w:rsidRPr="00603CCB">
        <w:rPr>
          <w:rFonts w:ascii="Times New Roman" w:hAnsi="Times New Roman" w:cs="Times New Roman"/>
          <w:i/>
        </w:rPr>
        <w:tab/>
      </w:r>
      <w:r w:rsidRPr="00603CCB">
        <w:rPr>
          <w:rFonts w:ascii="Times New Roman" w:hAnsi="Times New Roman" w:cs="Times New Roman"/>
          <w:i/>
        </w:rPr>
        <w:t>Harare</w:t>
      </w:r>
      <w:r w:rsidRPr="00603CCB">
        <w:rPr>
          <w:rFonts w:ascii="Times New Roman" w:hAnsi="Times New Roman" w:cs="Times New Roman"/>
        </w:rPr>
        <w:t xml:space="preserve"> HH </w:t>
      </w:r>
      <w:r w:rsidR="00E46354">
        <w:rPr>
          <w:rFonts w:ascii="Times New Roman" w:hAnsi="Times New Roman" w:cs="Times New Roman"/>
        </w:rPr>
        <w:tab/>
      </w:r>
      <w:r w:rsidRPr="00603CCB">
        <w:rPr>
          <w:rFonts w:ascii="Times New Roman" w:hAnsi="Times New Roman" w:cs="Times New Roman"/>
        </w:rPr>
        <w:t>92/05. These are couched in the following words”</w:t>
      </w:r>
    </w:p>
    <w:p w:rsidR="00C7724C" w:rsidRPr="0006200A" w:rsidRDefault="00C7724C" w:rsidP="0006200A">
      <w:pPr>
        <w:spacing w:line="240" w:lineRule="auto"/>
        <w:jc w:val="both"/>
        <w:rPr>
          <w:rFonts w:ascii="Times New Roman" w:hAnsi="Times New Roman" w:cs="Times New Roman"/>
        </w:rPr>
      </w:pPr>
      <w:r w:rsidRPr="00603CCB">
        <w:rPr>
          <w:rFonts w:ascii="Times New Roman" w:hAnsi="Times New Roman" w:cs="Times New Roman"/>
          <w:sz w:val="24"/>
          <w:szCs w:val="24"/>
        </w:rPr>
        <w:tab/>
      </w:r>
      <w:r w:rsidRPr="0006200A">
        <w:rPr>
          <w:rFonts w:ascii="Times New Roman" w:hAnsi="Times New Roman" w:cs="Times New Roman"/>
        </w:rPr>
        <w:t xml:space="preserve">“In determining whether or not,  in a given case, good cause for condonation has been </w:t>
      </w:r>
      <w:r w:rsidR="0006200A" w:rsidRPr="0006200A">
        <w:rPr>
          <w:rFonts w:ascii="Times New Roman" w:hAnsi="Times New Roman" w:cs="Times New Roman"/>
        </w:rPr>
        <w:tab/>
      </w:r>
      <w:r w:rsidRPr="0006200A">
        <w:rPr>
          <w:rFonts w:ascii="Times New Roman" w:hAnsi="Times New Roman" w:cs="Times New Roman"/>
        </w:rPr>
        <w:t>shown, the following factors m</w:t>
      </w:r>
      <w:r w:rsidR="00547B20">
        <w:rPr>
          <w:rFonts w:ascii="Times New Roman" w:hAnsi="Times New Roman" w:cs="Times New Roman"/>
        </w:rPr>
        <w:t>us</w:t>
      </w:r>
      <w:r w:rsidRPr="0006200A">
        <w:rPr>
          <w:rFonts w:ascii="Times New Roman" w:hAnsi="Times New Roman" w:cs="Times New Roman"/>
        </w:rPr>
        <w:t>t be considered:</w:t>
      </w:r>
    </w:p>
    <w:p w:rsidR="00C7724C" w:rsidRPr="0006200A" w:rsidRDefault="00547B20" w:rsidP="0006200A">
      <w:pPr>
        <w:pStyle w:val="ListParagraph"/>
        <w:numPr>
          <w:ilvl w:val="0"/>
          <w:numId w:val="1"/>
        </w:numPr>
        <w:spacing w:line="240" w:lineRule="auto"/>
        <w:ind w:firstLine="0"/>
        <w:jc w:val="both"/>
        <w:rPr>
          <w:rFonts w:ascii="Times New Roman" w:hAnsi="Times New Roman" w:cs="Times New Roman"/>
        </w:rPr>
      </w:pPr>
      <w:r>
        <w:rPr>
          <w:rFonts w:ascii="Times New Roman" w:hAnsi="Times New Roman" w:cs="Times New Roman"/>
        </w:rPr>
        <w:t>d</w:t>
      </w:r>
      <w:r w:rsidR="00C7724C" w:rsidRPr="0006200A">
        <w:rPr>
          <w:rFonts w:ascii="Times New Roman" w:hAnsi="Times New Roman" w:cs="Times New Roman"/>
        </w:rPr>
        <w:t>egree of non-compliance with the rules;</w:t>
      </w:r>
    </w:p>
    <w:p w:rsidR="00C7724C" w:rsidRPr="0006200A" w:rsidRDefault="00547B20" w:rsidP="0006200A">
      <w:pPr>
        <w:pStyle w:val="ListParagraph"/>
        <w:numPr>
          <w:ilvl w:val="0"/>
          <w:numId w:val="1"/>
        </w:numPr>
        <w:spacing w:line="240" w:lineRule="auto"/>
        <w:ind w:firstLine="0"/>
        <w:jc w:val="both"/>
        <w:rPr>
          <w:rFonts w:ascii="Times New Roman" w:hAnsi="Times New Roman" w:cs="Times New Roman"/>
        </w:rPr>
      </w:pPr>
      <w:r>
        <w:rPr>
          <w:rFonts w:ascii="Times New Roman" w:hAnsi="Times New Roman" w:cs="Times New Roman"/>
        </w:rPr>
        <w:t>t</w:t>
      </w:r>
      <w:r w:rsidR="00C7724C" w:rsidRPr="0006200A">
        <w:rPr>
          <w:rFonts w:ascii="Times New Roman" w:hAnsi="Times New Roman" w:cs="Times New Roman"/>
        </w:rPr>
        <w:t>he explanation thereof;</w:t>
      </w:r>
    </w:p>
    <w:p w:rsidR="00C7724C" w:rsidRPr="0006200A" w:rsidRDefault="00547B20" w:rsidP="0006200A">
      <w:pPr>
        <w:pStyle w:val="ListParagraph"/>
        <w:numPr>
          <w:ilvl w:val="0"/>
          <w:numId w:val="1"/>
        </w:numPr>
        <w:spacing w:line="240" w:lineRule="auto"/>
        <w:ind w:firstLine="0"/>
        <w:jc w:val="both"/>
        <w:rPr>
          <w:rFonts w:ascii="Times New Roman" w:hAnsi="Times New Roman" w:cs="Times New Roman"/>
        </w:rPr>
      </w:pPr>
      <w:r>
        <w:rPr>
          <w:rFonts w:ascii="Times New Roman" w:hAnsi="Times New Roman" w:cs="Times New Roman"/>
        </w:rPr>
        <w:t>t</w:t>
      </w:r>
      <w:r w:rsidR="00C7724C" w:rsidRPr="0006200A">
        <w:rPr>
          <w:rFonts w:ascii="Times New Roman" w:hAnsi="Times New Roman" w:cs="Times New Roman"/>
        </w:rPr>
        <w:t>he prospects of success on the merits;</w:t>
      </w:r>
    </w:p>
    <w:p w:rsidR="00C7724C" w:rsidRPr="0006200A" w:rsidRDefault="00547B20" w:rsidP="0006200A">
      <w:pPr>
        <w:pStyle w:val="ListParagraph"/>
        <w:numPr>
          <w:ilvl w:val="0"/>
          <w:numId w:val="1"/>
        </w:numPr>
        <w:spacing w:line="240" w:lineRule="auto"/>
        <w:ind w:firstLine="0"/>
        <w:jc w:val="both"/>
        <w:rPr>
          <w:rFonts w:ascii="Times New Roman" w:hAnsi="Times New Roman" w:cs="Times New Roman"/>
        </w:rPr>
      </w:pPr>
      <w:r>
        <w:rPr>
          <w:rFonts w:ascii="Times New Roman" w:hAnsi="Times New Roman" w:cs="Times New Roman"/>
        </w:rPr>
        <w:t>t</w:t>
      </w:r>
      <w:r w:rsidR="00C7724C" w:rsidRPr="0006200A">
        <w:rPr>
          <w:rFonts w:ascii="Times New Roman" w:hAnsi="Times New Roman" w:cs="Times New Roman"/>
        </w:rPr>
        <w:t>he importance of the case;</w:t>
      </w:r>
    </w:p>
    <w:p w:rsidR="00C7724C" w:rsidRPr="0006200A" w:rsidRDefault="00547B20" w:rsidP="0006200A">
      <w:pPr>
        <w:pStyle w:val="ListParagraph"/>
        <w:numPr>
          <w:ilvl w:val="0"/>
          <w:numId w:val="1"/>
        </w:numPr>
        <w:spacing w:line="240" w:lineRule="auto"/>
        <w:ind w:firstLine="0"/>
        <w:jc w:val="both"/>
        <w:rPr>
          <w:rFonts w:ascii="Times New Roman" w:hAnsi="Times New Roman" w:cs="Times New Roman"/>
        </w:rPr>
      </w:pPr>
      <w:r>
        <w:rPr>
          <w:rFonts w:ascii="Times New Roman" w:hAnsi="Times New Roman" w:cs="Times New Roman"/>
        </w:rPr>
        <w:t>t</w:t>
      </w:r>
      <w:r w:rsidR="00C7724C" w:rsidRPr="0006200A">
        <w:rPr>
          <w:rFonts w:ascii="Times New Roman" w:hAnsi="Times New Roman" w:cs="Times New Roman"/>
        </w:rPr>
        <w:t>he degree of prejudice to the respondent;</w:t>
      </w:r>
    </w:p>
    <w:p w:rsidR="00C7724C" w:rsidRPr="0006200A" w:rsidRDefault="00547B20" w:rsidP="0006200A">
      <w:pPr>
        <w:pStyle w:val="ListParagraph"/>
        <w:numPr>
          <w:ilvl w:val="0"/>
          <w:numId w:val="1"/>
        </w:numPr>
        <w:spacing w:line="240" w:lineRule="auto"/>
        <w:ind w:firstLine="0"/>
        <w:jc w:val="both"/>
        <w:rPr>
          <w:rFonts w:ascii="Times New Roman" w:hAnsi="Times New Roman" w:cs="Times New Roman"/>
        </w:rPr>
      </w:pPr>
      <w:r>
        <w:rPr>
          <w:rFonts w:ascii="Times New Roman" w:hAnsi="Times New Roman" w:cs="Times New Roman"/>
        </w:rPr>
        <w:t>t</w:t>
      </w:r>
      <w:r w:rsidR="00C7724C" w:rsidRPr="0006200A">
        <w:rPr>
          <w:rFonts w:ascii="Times New Roman" w:hAnsi="Times New Roman" w:cs="Times New Roman"/>
        </w:rPr>
        <w:t>he convenience to the court;</w:t>
      </w:r>
    </w:p>
    <w:p w:rsidR="00C7724C" w:rsidRPr="0006200A" w:rsidRDefault="00547B20" w:rsidP="0006200A">
      <w:pPr>
        <w:pStyle w:val="ListParagraph"/>
        <w:numPr>
          <w:ilvl w:val="0"/>
          <w:numId w:val="1"/>
        </w:numPr>
        <w:spacing w:line="240" w:lineRule="auto"/>
        <w:ind w:firstLine="0"/>
        <w:jc w:val="both"/>
        <w:rPr>
          <w:rFonts w:ascii="Times New Roman" w:hAnsi="Times New Roman" w:cs="Times New Roman"/>
        </w:rPr>
      </w:pPr>
      <w:r>
        <w:rPr>
          <w:rFonts w:ascii="Times New Roman" w:hAnsi="Times New Roman" w:cs="Times New Roman"/>
        </w:rPr>
        <w:t>t</w:t>
      </w:r>
      <w:r w:rsidR="00C7724C" w:rsidRPr="0006200A">
        <w:rPr>
          <w:rFonts w:ascii="Times New Roman" w:hAnsi="Times New Roman" w:cs="Times New Roman"/>
        </w:rPr>
        <w:t>he avoidance of unnecessary delay.”</w:t>
      </w:r>
    </w:p>
    <w:p w:rsidR="00C7724C" w:rsidRPr="00603CCB" w:rsidRDefault="00C7724C" w:rsidP="00603CCB">
      <w:pPr>
        <w:spacing w:line="360" w:lineRule="auto"/>
        <w:jc w:val="both"/>
        <w:rPr>
          <w:rFonts w:ascii="Times New Roman" w:hAnsi="Times New Roman" w:cs="Times New Roman"/>
          <w:sz w:val="24"/>
          <w:szCs w:val="24"/>
        </w:rPr>
      </w:pPr>
      <w:r w:rsidRPr="00603CCB">
        <w:rPr>
          <w:rFonts w:ascii="Times New Roman" w:hAnsi="Times New Roman" w:cs="Times New Roman"/>
          <w:sz w:val="24"/>
          <w:szCs w:val="24"/>
        </w:rPr>
        <w:tab/>
        <w:t xml:space="preserve">The case of </w:t>
      </w:r>
      <w:r w:rsidRPr="0006200A">
        <w:rPr>
          <w:rFonts w:ascii="Times New Roman" w:hAnsi="Times New Roman" w:cs="Times New Roman"/>
          <w:i/>
          <w:sz w:val="24"/>
          <w:szCs w:val="24"/>
        </w:rPr>
        <w:t>United Plant Hire (Pvt) Ltd</w:t>
      </w:r>
      <w:r w:rsidRPr="00603CCB">
        <w:rPr>
          <w:rFonts w:ascii="Times New Roman" w:hAnsi="Times New Roman" w:cs="Times New Roman"/>
          <w:sz w:val="24"/>
          <w:szCs w:val="24"/>
        </w:rPr>
        <w:t xml:space="preserve"> v </w:t>
      </w:r>
      <w:r w:rsidRPr="0006200A">
        <w:rPr>
          <w:rFonts w:ascii="Times New Roman" w:hAnsi="Times New Roman" w:cs="Times New Roman"/>
          <w:i/>
          <w:sz w:val="24"/>
          <w:szCs w:val="24"/>
        </w:rPr>
        <w:t>Hills &amp; Ors</w:t>
      </w:r>
      <w:r w:rsidRPr="00603CCB">
        <w:rPr>
          <w:rFonts w:ascii="Times New Roman" w:hAnsi="Times New Roman" w:cs="Times New Roman"/>
          <w:sz w:val="24"/>
          <w:szCs w:val="24"/>
        </w:rPr>
        <w:t xml:space="preserve"> 1976 (1) SA 717 (A) at 720 F-G which the third </w:t>
      </w:r>
      <w:r w:rsidR="00603CCB" w:rsidRPr="00603CCB">
        <w:rPr>
          <w:rFonts w:ascii="Times New Roman" w:hAnsi="Times New Roman" w:cs="Times New Roman"/>
          <w:sz w:val="24"/>
          <w:szCs w:val="24"/>
        </w:rPr>
        <w:t>respondent cite</w:t>
      </w:r>
      <w:r w:rsidR="00630914">
        <w:rPr>
          <w:rFonts w:ascii="Times New Roman" w:hAnsi="Times New Roman" w:cs="Times New Roman"/>
          <w:sz w:val="24"/>
          <w:szCs w:val="24"/>
        </w:rPr>
        <w:t>s</w:t>
      </w:r>
      <w:r w:rsidR="00603CCB" w:rsidRPr="00603CCB">
        <w:rPr>
          <w:rFonts w:ascii="Times New Roman" w:hAnsi="Times New Roman" w:cs="Times New Roman"/>
          <w:sz w:val="24"/>
          <w:szCs w:val="24"/>
        </w:rPr>
        <w:t xml:space="preserve"> repeats the same factors as the applicant mentions in the cases it cite</w:t>
      </w:r>
      <w:r w:rsidR="00630914">
        <w:rPr>
          <w:rFonts w:ascii="Times New Roman" w:hAnsi="Times New Roman" w:cs="Times New Roman"/>
          <w:sz w:val="24"/>
          <w:szCs w:val="24"/>
        </w:rPr>
        <w:t>s</w:t>
      </w:r>
      <w:r w:rsidR="00603CCB" w:rsidRPr="00603CCB">
        <w:rPr>
          <w:rFonts w:ascii="Times New Roman" w:hAnsi="Times New Roman" w:cs="Times New Roman"/>
          <w:sz w:val="24"/>
          <w:szCs w:val="24"/>
        </w:rPr>
        <w:t xml:space="preserve"> in support of the application. The case, however, adds one or two important elements which the applicant’s cases do not mention. It reads:</w:t>
      </w:r>
    </w:p>
    <w:p w:rsidR="00603CCB" w:rsidRPr="00603CCB" w:rsidRDefault="00603CCB" w:rsidP="0006200A">
      <w:pPr>
        <w:spacing w:line="240" w:lineRule="auto"/>
        <w:jc w:val="both"/>
        <w:rPr>
          <w:rFonts w:ascii="Times New Roman" w:hAnsi="Times New Roman" w:cs="Times New Roman"/>
          <w:sz w:val="24"/>
          <w:szCs w:val="24"/>
        </w:rPr>
      </w:pPr>
      <w:r w:rsidRPr="00603CCB">
        <w:rPr>
          <w:rFonts w:ascii="Times New Roman" w:hAnsi="Times New Roman" w:cs="Times New Roman"/>
          <w:sz w:val="24"/>
          <w:szCs w:val="24"/>
        </w:rPr>
        <w:tab/>
        <w:t>“</w:t>
      </w:r>
      <w:r w:rsidRPr="0006200A">
        <w:rPr>
          <w:rFonts w:ascii="Times New Roman" w:hAnsi="Times New Roman" w:cs="Times New Roman"/>
        </w:rPr>
        <w:t xml:space="preserve">It is well established that, in considering applications for condonation, </w:t>
      </w:r>
      <w:r w:rsidRPr="0006200A">
        <w:rPr>
          <w:rFonts w:ascii="Times New Roman" w:hAnsi="Times New Roman" w:cs="Times New Roman"/>
          <w:u w:val="single"/>
        </w:rPr>
        <w:t>the court has</w:t>
      </w:r>
      <w:r w:rsidRPr="0006200A">
        <w:rPr>
          <w:rFonts w:ascii="Times New Roman" w:hAnsi="Times New Roman" w:cs="Times New Roman"/>
        </w:rPr>
        <w:t xml:space="preserve"> a </w:t>
      </w:r>
      <w:r w:rsidR="0006200A" w:rsidRPr="0006200A">
        <w:rPr>
          <w:rFonts w:ascii="Times New Roman" w:hAnsi="Times New Roman" w:cs="Times New Roman"/>
        </w:rPr>
        <w:tab/>
      </w:r>
      <w:r w:rsidRPr="0006200A">
        <w:rPr>
          <w:rFonts w:ascii="Times New Roman" w:hAnsi="Times New Roman" w:cs="Times New Roman"/>
        </w:rPr>
        <w:t xml:space="preserve">discretion, to be exercised judiciously upon a consideration of all the facts; and that in </w:t>
      </w:r>
      <w:r w:rsidR="0006200A" w:rsidRPr="0006200A">
        <w:rPr>
          <w:rFonts w:ascii="Times New Roman" w:hAnsi="Times New Roman" w:cs="Times New Roman"/>
        </w:rPr>
        <w:tab/>
      </w:r>
      <w:r w:rsidRPr="0006200A">
        <w:rPr>
          <w:rFonts w:ascii="Times New Roman" w:hAnsi="Times New Roman" w:cs="Times New Roman"/>
        </w:rPr>
        <w:t xml:space="preserve">essence </w:t>
      </w:r>
      <w:r w:rsidRPr="0006200A">
        <w:rPr>
          <w:rFonts w:ascii="Times New Roman" w:hAnsi="Times New Roman" w:cs="Times New Roman"/>
          <w:u w:val="single"/>
        </w:rPr>
        <w:t>it is a question of fairness to both sides</w:t>
      </w:r>
      <w:r w:rsidRPr="0006200A">
        <w:rPr>
          <w:rFonts w:ascii="Times New Roman" w:hAnsi="Times New Roman" w:cs="Times New Roman"/>
        </w:rPr>
        <w:t>…” (emphasis added).</w:t>
      </w:r>
    </w:p>
    <w:p w:rsidR="00603CCB" w:rsidRPr="00603CCB" w:rsidRDefault="00603CCB" w:rsidP="00603CCB">
      <w:pPr>
        <w:spacing w:line="360" w:lineRule="auto"/>
        <w:jc w:val="both"/>
        <w:rPr>
          <w:rFonts w:ascii="Times New Roman" w:hAnsi="Times New Roman" w:cs="Times New Roman"/>
          <w:sz w:val="24"/>
          <w:szCs w:val="24"/>
        </w:rPr>
      </w:pPr>
      <w:r w:rsidRPr="00603CCB">
        <w:rPr>
          <w:rFonts w:ascii="Times New Roman" w:hAnsi="Times New Roman" w:cs="Times New Roman"/>
          <w:sz w:val="24"/>
          <w:szCs w:val="24"/>
        </w:rPr>
        <w:tab/>
        <w:t xml:space="preserve">The remarks which the court made in the first of the abovementioned three cases are </w:t>
      </w:r>
      <w:r w:rsidR="00721246">
        <w:rPr>
          <w:rFonts w:ascii="Times New Roman" w:hAnsi="Times New Roman" w:cs="Times New Roman"/>
          <w:sz w:val="24"/>
          <w:szCs w:val="24"/>
        </w:rPr>
        <w:t>a</w:t>
      </w:r>
      <w:r w:rsidRPr="00603CCB">
        <w:rPr>
          <w:rFonts w:ascii="Times New Roman" w:hAnsi="Times New Roman" w:cs="Times New Roman"/>
          <w:sz w:val="24"/>
          <w:szCs w:val="24"/>
        </w:rPr>
        <w:t>pposite. They define the meaning and import of an application for condonation. They read:</w:t>
      </w:r>
    </w:p>
    <w:p w:rsidR="00603CCB" w:rsidRPr="0006200A" w:rsidRDefault="00603CCB" w:rsidP="0006200A">
      <w:pPr>
        <w:spacing w:line="240" w:lineRule="auto"/>
        <w:rPr>
          <w:rFonts w:ascii="Times New Roman" w:hAnsi="Times New Roman" w:cs="Times New Roman"/>
        </w:rPr>
      </w:pPr>
      <w:r w:rsidRPr="00603CCB">
        <w:rPr>
          <w:rFonts w:ascii="Times New Roman" w:hAnsi="Times New Roman" w:cs="Times New Roman"/>
          <w:sz w:val="24"/>
          <w:szCs w:val="24"/>
        </w:rPr>
        <w:tab/>
      </w:r>
      <w:r w:rsidR="005230E4" w:rsidRPr="0006200A">
        <w:rPr>
          <w:rFonts w:ascii="Times New Roman" w:hAnsi="Times New Roman" w:cs="Times New Roman"/>
        </w:rPr>
        <w:t>“It</w:t>
      </w:r>
      <w:r w:rsidRPr="0006200A">
        <w:rPr>
          <w:rFonts w:ascii="Times New Roman" w:hAnsi="Times New Roman" w:cs="Times New Roman"/>
        </w:rPr>
        <w:t xml:space="preserve"> is trite that there is a certain degree of negligence in failing to observe the rules of the </w:t>
      </w:r>
      <w:r w:rsidR="0006200A">
        <w:rPr>
          <w:rFonts w:ascii="Times New Roman" w:hAnsi="Times New Roman" w:cs="Times New Roman"/>
        </w:rPr>
        <w:tab/>
      </w:r>
      <w:r w:rsidRPr="0006200A">
        <w:rPr>
          <w:rFonts w:ascii="Times New Roman" w:hAnsi="Times New Roman" w:cs="Times New Roman"/>
        </w:rPr>
        <w:t xml:space="preserve">court. An application for condonation is therefore, </w:t>
      </w:r>
      <w:r w:rsidRPr="0006200A">
        <w:rPr>
          <w:rFonts w:ascii="Times New Roman" w:hAnsi="Times New Roman" w:cs="Times New Roman"/>
          <w:u w:val="single"/>
        </w:rPr>
        <w:t>an application for exc</w:t>
      </w:r>
      <w:r w:rsidR="005230E4">
        <w:rPr>
          <w:rFonts w:ascii="Times New Roman" w:hAnsi="Times New Roman" w:cs="Times New Roman"/>
          <w:u w:val="single"/>
        </w:rPr>
        <w:t>u</w:t>
      </w:r>
      <w:r w:rsidRPr="0006200A">
        <w:rPr>
          <w:rFonts w:ascii="Times New Roman" w:hAnsi="Times New Roman" w:cs="Times New Roman"/>
          <w:u w:val="single"/>
        </w:rPr>
        <w:t xml:space="preserve">sing the </w:t>
      </w:r>
      <w:r w:rsidR="0006200A" w:rsidRPr="0006200A">
        <w:rPr>
          <w:rFonts w:ascii="Times New Roman" w:hAnsi="Times New Roman" w:cs="Times New Roman"/>
        </w:rPr>
        <w:tab/>
      </w:r>
      <w:r w:rsidRPr="0006200A">
        <w:rPr>
          <w:rFonts w:ascii="Times New Roman" w:hAnsi="Times New Roman" w:cs="Times New Roman"/>
          <w:u w:val="single"/>
        </w:rPr>
        <w:t>negligence of the offending party and the degree of such negligence then becomes a factor</w:t>
      </w:r>
      <w:r w:rsidRPr="0006200A">
        <w:rPr>
          <w:rFonts w:ascii="Times New Roman" w:hAnsi="Times New Roman" w:cs="Times New Roman"/>
        </w:rPr>
        <w:t xml:space="preserve">, </w:t>
      </w:r>
      <w:r w:rsidR="005230E4">
        <w:rPr>
          <w:rFonts w:ascii="Times New Roman" w:hAnsi="Times New Roman" w:cs="Times New Roman"/>
        </w:rPr>
        <w:tab/>
      </w:r>
      <w:r w:rsidRPr="0006200A">
        <w:rPr>
          <w:rFonts w:ascii="Times New Roman" w:hAnsi="Times New Roman" w:cs="Times New Roman"/>
        </w:rPr>
        <w:t xml:space="preserve">together with other factors that will ensure that at the end of the day justice as between the </w:t>
      </w:r>
      <w:r w:rsidR="005230E4">
        <w:rPr>
          <w:rFonts w:ascii="Times New Roman" w:hAnsi="Times New Roman" w:cs="Times New Roman"/>
        </w:rPr>
        <w:tab/>
      </w:r>
      <w:r w:rsidRPr="0006200A">
        <w:rPr>
          <w:rFonts w:ascii="Times New Roman" w:hAnsi="Times New Roman" w:cs="Times New Roman"/>
        </w:rPr>
        <w:t xml:space="preserve">parties </w:t>
      </w:r>
      <w:r w:rsidR="0006200A">
        <w:rPr>
          <w:rFonts w:ascii="Times New Roman" w:hAnsi="Times New Roman" w:cs="Times New Roman"/>
        </w:rPr>
        <w:tab/>
      </w:r>
      <w:r w:rsidRPr="0006200A">
        <w:rPr>
          <w:rFonts w:ascii="Times New Roman" w:hAnsi="Times New Roman" w:cs="Times New Roman"/>
        </w:rPr>
        <w:t>prevails…” (emphasis added).</w:t>
      </w:r>
    </w:p>
    <w:p w:rsidR="008418B3" w:rsidRDefault="00603CCB" w:rsidP="008418B3">
      <w:pPr>
        <w:spacing w:after="0" w:line="360" w:lineRule="auto"/>
        <w:jc w:val="both"/>
        <w:rPr>
          <w:rFonts w:ascii="Times New Roman" w:hAnsi="Times New Roman" w:cs="Times New Roman"/>
          <w:sz w:val="24"/>
          <w:szCs w:val="24"/>
        </w:rPr>
      </w:pPr>
      <w:r w:rsidRPr="00603CCB">
        <w:rPr>
          <w:rFonts w:ascii="Times New Roman" w:hAnsi="Times New Roman" w:cs="Times New Roman"/>
          <w:sz w:val="24"/>
          <w:szCs w:val="24"/>
        </w:rPr>
        <w:tab/>
        <w:t>It follows, from the foregoing, that an application for condonation is</w:t>
      </w:r>
      <w:r w:rsidR="005230E4">
        <w:rPr>
          <w:rFonts w:ascii="Times New Roman" w:hAnsi="Times New Roman" w:cs="Times New Roman"/>
          <w:sz w:val="24"/>
          <w:szCs w:val="24"/>
        </w:rPr>
        <w:t xml:space="preserve"> a request for </w:t>
      </w:r>
      <w:r w:rsidRPr="00603CCB">
        <w:rPr>
          <w:rFonts w:ascii="Times New Roman" w:hAnsi="Times New Roman" w:cs="Times New Roman"/>
          <w:sz w:val="24"/>
          <w:szCs w:val="24"/>
        </w:rPr>
        <w:t xml:space="preserve">an excuse </w:t>
      </w:r>
      <w:r w:rsidR="005230E4">
        <w:rPr>
          <w:rFonts w:ascii="Times New Roman" w:hAnsi="Times New Roman" w:cs="Times New Roman"/>
          <w:sz w:val="24"/>
          <w:szCs w:val="24"/>
        </w:rPr>
        <w:t xml:space="preserve">by the offending party. It </w:t>
      </w:r>
      <w:r w:rsidRPr="00603CCB">
        <w:rPr>
          <w:rFonts w:ascii="Times New Roman" w:hAnsi="Times New Roman" w:cs="Times New Roman"/>
          <w:sz w:val="24"/>
          <w:szCs w:val="24"/>
        </w:rPr>
        <w:t xml:space="preserve">arises out of a party’s negligence </w:t>
      </w:r>
      <w:r w:rsidR="00721246">
        <w:rPr>
          <w:rFonts w:ascii="Times New Roman" w:hAnsi="Times New Roman" w:cs="Times New Roman"/>
          <w:sz w:val="24"/>
          <w:szCs w:val="24"/>
        </w:rPr>
        <w:t xml:space="preserve">and / or failure to </w:t>
      </w:r>
      <w:r w:rsidRPr="00603CCB">
        <w:rPr>
          <w:rFonts w:ascii="Times New Roman" w:hAnsi="Times New Roman" w:cs="Times New Roman"/>
          <w:sz w:val="24"/>
          <w:szCs w:val="24"/>
        </w:rPr>
        <w:t xml:space="preserve">comply with the rules of court. The excuse must, in my view, be accompanied by a clear and unambiguous explanation for the negligence. The explanation should justify condonation for </w:t>
      </w:r>
      <w:r w:rsidRPr="00603CCB">
        <w:rPr>
          <w:rFonts w:ascii="Times New Roman" w:hAnsi="Times New Roman" w:cs="Times New Roman"/>
          <w:sz w:val="24"/>
          <w:szCs w:val="24"/>
        </w:rPr>
        <w:lastRenderedPageBreak/>
        <w:t xml:space="preserve">the party’s negligence. It must, in other words, show that the party made an effort to comply with the </w:t>
      </w:r>
      <w:r w:rsidR="008418B3">
        <w:rPr>
          <w:rFonts w:ascii="Times New Roman" w:hAnsi="Times New Roman" w:cs="Times New Roman"/>
          <w:sz w:val="24"/>
          <w:szCs w:val="24"/>
        </w:rPr>
        <w:t>court’s rules but failed to do so for some plausible reason which it shall state in the application for condonation.</w:t>
      </w:r>
    </w:p>
    <w:p w:rsidR="008418B3" w:rsidRDefault="008418B3" w:rsidP="008418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more like a rule of the thump than otherwise to state that an affidavit must be deposed to, and signed by, one and the same person. The rules of court demand that the stated position be so.</w:t>
      </w:r>
    </w:p>
    <w:p w:rsidR="008418B3" w:rsidRDefault="008418B3" w:rsidP="008418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situation where one party deposes  to an affidavit which is signed by another shows such a serious degree of negligence as cannot be </w:t>
      </w:r>
      <w:r w:rsidR="005230E4">
        <w:rPr>
          <w:rFonts w:ascii="Times New Roman" w:hAnsi="Times New Roman" w:cs="Times New Roman"/>
          <w:sz w:val="24"/>
          <w:szCs w:val="24"/>
        </w:rPr>
        <w:t xml:space="preserve">countenanced. It </w:t>
      </w:r>
      <w:r>
        <w:rPr>
          <w:rFonts w:ascii="Times New Roman" w:hAnsi="Times New Roman" w:cs="Times New Roman"/>
          <w:sz w:val="24"/>
          <w:szCs w:val="24"/>
        </w:rPr>
        <w:t>can only be condoned when the application which relates to it contains an explanation which, upon the court’s judicious exercise of its discretion, justifie</w:t>
      </w:r>
      <w:r w:rsidR="005230E4">
        <w:rPr>
          <w:rFonts w:ascii="Times New Roman" w:hAnsi="Times New Roman" w:cs="Times New Roman"/>
          <w:sz w:val="24"/>
          <w:szCs w:val="24"/>
        </w:rPr>
        <w:t>s</w:t>
      </w:r>
      <w:r>
        <w:rPr>
          <w:rFonts w:ascii="Times New Roman" w:hAnsi="Times New Roman" w:cs="Times New Roman"/>
          <w:sz w:val="24"/>
          <w:szCs w:val="24"/>
        </w:rPr>
        <w:t xml:space="preserve"> the </w:t>
      </w:r>
      <w:r w:rsidR="005230E4">
        <w:rPr>
          <w:rFonts w:ascii="Times New Roman" w:hAnsi="Times New Roman" w:cs="Times New Roman"/>
          <w:sz w:val="24"/>
          <w:szCs w:val="24"/>
        </w:rPr>
        <w:t>negligence</w:t>
      </w:r>
      <w:r>
        <w:rPr>
          <w:rFonts w:ascii="Times New Roman" w:hAnsi="Times New Roman" w:cs="Times New Roman"/>
          <w:sz w:val="24"/>
          <w:szCs w:val="24"/>
        </w:rPr>
        <w:t>.</w:t>
      </w:r>
    </w:p>
    <w:p w:rsidR="008418B3" w:rsidRDefault="008418B3" w:rsidP="008418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blames its erstwhile legal practitioners for, as it puts it, adopting the wrong procedure. It offers no explanation at all as to the circumstances which led to the dismiss</w:t>
      </w:r>
      <w:r w:rsidR="00721246">
        <w:rPr>
          <w:rFonts w:ascii="Times New Roman" w:hAnsi="Times New Roman" w:cs="Times New Roman"/>
          <w:sz w:val="24"/>
          <w:szCs w:val="24"/>
        </w:rPr>
        <w:t xml:space="preserve">al </w:t>
      </w:r>
      <w:r>
        <w:rPr>
          <w:rFonts w:ascii="Times New Roman" w:hAnsi="Times New Roman" w:cs="Times New Roman"/>
          <w:sz w:val="24"/>
          <w:szCs w:val="24"/>
        </w:rPr>
        <w:t>of its claim. It fails to show how its opposing affidavit which forms the foundation of its claim in the inter</w:t>
      </w:r>
      <w:r w:rsidR="005230E4">
        <w:rPr>
          <w:rFonts w:ascii="Times New Roman" w:hAnsi="Times New Roman" w:cs="Times New Roman"/>
          <w:sz w:val="24"/>
          <w:szCs w:val="24"/>
        </w:rPr>
        <w:t xml:space="preserve">pleader </w:t>
      </w:r>
      <w:r>
        <w:rPr>
          <w:rFonts w:ascii="Times New Roman" w:hAnsi="Times New Roman" w:cs="Times New Roman"/>
          <w:sz w:val="24"/>
          <w:szCs w:val="24"/>
        </w:rPr>
        <w:t>proceedings was deposed to by one person and signed by the other.</w:t>
      </w:r>
    </w:p>
    <w:p w:rsidR="008418B3" w:rsidRDefault="008418B3" w:rsidP="008418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stated set of circumstances preceded the wrong advice which it imputes against its former legal practitioners. It is, in fact, the </w:t>
      </w:r>
      <w:r>
        <w:rPr>
          <w:rFonts w:ascii="Times New Roman" w:hAnsi="Times New Roman" w:cs="Times New Roman"/>
          <w:i/>
          <w:sz w:val="24"/>
          <w:szCs w:val="24"/>
        </w:rPr>
        <w:t>raison de etre</w:t>
      </w:r>
      <w:r>
        <w:rPr>
          <w:rFonts w:ascii="Times New Roman" w:hAnsi="Times New Roman" w:cs="Times New Roman"/>
          <w:sz w:val="24"/>
          <w:szCs w:val="24"/>
        </w:rPr>
        <w:t xml:space="preserve"> for the dismissal of its claim.</w:t>
      </w:r>
    </w:p>
    <w:p w:rsidR="008418B3" w:rsidRDefault="008418B3" w:rsidP="008418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became aware of the irregular affidavit before HC 7899/13 was heard and determined. Its attention was drawn to the same by the third respondent’s notice of opposition which </w:t>
      </w:r>
      <w:r w:rsidR="00FA5258">
        <w:rPr>
          <w:rFonts w:ascii="Times New Roman" w:hAnsi="Times New Roman" w:cs="Times New Roman"/>
          <w:sz w:val="24"/>
          <w:szCs w:val="24"/>
        </w:rPr>
        <w:t xml:space="preserve">was </w:t>
      </w:r>
      <w:r>
        <w:rPr>
          <w:rFonts w:ascii="Times New Roman" w:hAnsi="Times New Roman" w:cs="Times New Roman"/>
          <w:sz w:val="24"/>
          <w:szCs w:val="24"/>
        </w:rPr>
        <w:t>filed on 9 October 2013. Its knowledge of that fact notwithstanding, it made no effort to correct the anomal</w:t>
      </w:r>
      <w:r w:rsidR="00FA5258">
        <w:rPr>
          <w:rFonts w:ascii="Times New Roman" w:hAnsi="Times New Roman" w:cs="Times New Roman"/>
          <w:sz w:val="24"/>
          <w:szCs w:val="24"/>
        </w:rPr>
        <w:t>ous</w:t>
      </w:r>
      <w:r>
        <w:rPr>
          <w:rFonts w:ascii="Times New Roman" w:hAnsi="Times New Roman" w:cs="Times New Roman"/>
          <w:sz w:val="24"/>
          <w:szCs w:val="24"/>
        </w:rPr>
        <w:t xml:space="preserve"> situation which i</w:t>
      </w:r>
      <w:r w:rsidR="00FA5258">
        <w:rPr>
          <w:rFonts w:ascii="Times New Roman" w:hAnsi="Times New Roman" w:cs="Times New Roman"/>
          <w:sz w:val="24"/>
          <w:szCs w:val="24"/>
        </w:rPr>
        <w:t>t</w:t>
      </w:r>
      <w:r>
        <w:rPr>
          <w:rFonts w:ascii="Times New Roman" w:hAnsi="Times New Roman" w:cs="Times New Roman"/>
          <w:sz w:val="24"/>
          <w:szCs w:val="24"/>
        </w:rPr>
        <w:t xml:space="preserve"> had created for itself. It had every opportunity to withdraw its claim as well as to instruct the first respondent to there and then issue </w:t>
      </w:r>
      <w:r w:rsidR="00397090">
        <w:rPr>
          <w:rFonts w:ascii="Times New Roman" w:hAnsi="Times New Roman" w:cs="Times New Roman"/>
          <w:sz w:val="24"/>
          <w:szCs w:val="24"/>
        </w:rPr>
        <w:t>a</w:t>
      </w:r>
      <w:r>
        <w:rPr>
          <w:rFonts w:ascii="Times New Roman" w:hAnsi="Times New Roman" w:cs="Times New Roman"/>
          <w:sz w:val="24"/>
          <w:szCs w:val="24"/>
        </w:rPr>
        <w:t xml:space="preserve"> fresh interpleader notice as a way of correcti</w:t>
      </w:r>
      <w:r w:rsidR="00397090">
        <w:rPr>
          <w:rFonts w:ascii="Times New Roman" w:hAnsi="Times New Roman" w:cs="Times New Roman"/>
          <w:sz w:val="24"/>
          <w:szCs w:val="24"/>
        </w:rPr>
        <w:t>ng</w:t>
      </w:r>
      <w:r>
        <w:rPr>
          <w:rFonts w:ascii="Times New Roman" w:hAnsi="Times New Roman" w:cs="Times New Roman"/>
          <w:sz w:val="24"/>
          <w:szCs w:val="24"/>
        </w:rPr>
        <w:t xml:space="preserve"> the incomprehensible circumstances which relate</w:t>
      </w:r>
      <w:r w:rsidR="00397090">
        <w:rPr>
          <w:rFonts w:ascii="Times New Roman" w:hAnsi="Times New Roman" w:cs="Times New Roman"/>
          <w:sz w:val="24"/>
          <w:szCs w:val="24"/>
        </w:rPr>
        <w:t>s</w:t>
      </w:r>
      <w:r>
        <w:rPr>
          <w:rFonts w:ascii="Times New Roman" w:hAnsi="Times New Roman" w:cs="Times New Roman"/>
          <w:sz w:val="24"/>
          <w:szCs w:val="24"/>
        </w:rPr>
        <w:t xml:space="preserve"> to its claim. It did nothing. It entertained the vein hope that it would argue its case and get away with it in flagrant violation of the rules of court. </w:t>
      </w:r>
      <w:r w:rsidR="00397090">
        <w:rPr>
          <w:rFonts w:ascii="Times New Roman" w:hAnsi="Times New Roman" w:cs="Times New Roman"/>
          <w:sz w:val="24"/>
          <w:szCs w:val="24"/>
        </w:rPr>
        <w:t>It</w:t>
      </w:r>
      <w:r>
        <w:rPr>
          <w:rFonts w:ascii="Times New Roman" w:hAnsi="Times New Roman" w:cs="Times New Roman"/>
          <w:sz w:val="24"/>
          <w:szCs w:val="24"/>
        </w:rPr>
        <w:t xml:space="preserve"> is, without doubt, the author of its own misfortunes.</w:t>
      </w:r>
    </w:p>
    <w:p w:rsidR="008418B3" w:rsidRDefault="008418B3" w:rsidP="008418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interpleader proceedings were determined against it on 21 November 2014. This application for condonation was filed on 27 January 2018. It suffers a delay of thirty-seven (37) months running. If this is not inordinate delay, then one wonders what </w:t>
      </w:r>
      <w:r w:rsidR="00397090">
        <w:rPr>
          <w:rFonts w:ascii="Times New Roman" w:hAnsi="Times New Roman" w:cs="Times New Roman"/>
          <w:sz w:val="24"/>
          <w:szCs w:val="24"/>
        </w:rPr>
        <w:t>this</w:t>
      </w:r>
      <w:r>
        <w:rPr>
          <w:rFonts w:ascii="Times New Roman" w:hAnsi="Times New Roman" w:cs="Times New Roman"/>
          <w:sz w:val="24"/>
          <w:szCs w:val="24"/>
        </w:rPr>
        <w:t xml:space="preserve"> is.</w:t>
      </w:r>
    </w:p>
    <w:p w:rsidR="008418B3" w:rsidRDefault="008418B3" w:rsidP="008418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may be accepted, for argument’s sake, that the applicant</w:t>
      </w:r>
      <w:r w:rsidR="00397090">
        <w:rPr>
          <w:rFonts w:ascii="Times New Roman" w:hAnsi="Times New Roman" w:cs="Times New Roman"/>
          <w:sz w:val="24"/>
          <w:szCs w:val="24"/>
        </w:rPr>
        <w:t>’s</w:t>
      </w:r>
      <w:r>
        <w:rPr>
          <w:rFonts w:ascii="Times New Roman" w:hAnsi="Times New Roman" w:cs="Times New Roman"/>
          <w:sz w:val="24"/>
          <w:szCs w:val="24"/>
        </w:rPr>
        <w:t xml:space="preserve"> erstwhile legal practitioners tendered wrong advice to it.</w:t>
      </w:r>
      <w:r w:rsidR="00397090">
        <w:rPr>
          <w:rFonts w:ascii="Times New Roman" w:hAnsi="Times New Roman" w:cs="Times New Roman"/>
          <w:sz w:val="24"/>
          <w:szCs w:val="24"/>
        </w:rPr>
        <w:t xml:space="preserve"> </w:t>
      </w:r>
      <w:r>
        <w:rPr>
          <w:rFonts w:ascii="Times New Roman" w:hAnsi="Times New Roman" w:cs="Times New Roman"/>
          <w:sz w:val="24"/>
          <w:szCs w:val="24"/>
        </w:rPr>
        <w:t xml:space="preserve">Its new legal practitioners did not assist its case either. They assumed agency on 8 June 2015. They did so after </w:t>
      </w:r>
      <w:r w:rsidR="00397090">
        <w:rPr>
          <w:rFonts w:ascii="Times New Roman" w:hAnsi="Times New Roman" w:cs="Times New Roman"/>
          <w:sz w:val="24"/>
          <w:szCs w:val="24"/>
        </w:rPr>
        <w:t xml:space="preserve">its </w:t>
      </w:r>
      <w:r>
        <w:rPr>
          <w:rFonts w:ascii="Times New Roman" w:hAnsi="Times New Roman" w:cs="Times New Roman"/>
          <w:sz w:val="24"/>
          <w:szCs w:val="24"/>
        </w:rPr>
        <w:t xml:space="preserve">erstwhile legal practitioners had renounced agency. They </w:t>
      </w:r>
      <w:r w:rsidR="00397090">
        <w:rPr>
          <w:rFonts w:ascii="Times New Roman" w:hAnsi="Times New Roman" w:cs="Times New Roman"/>
          <w:sz w:val="24"/>
          <w:szCs w:val="24"/>
        </w:rPr>
        <w:t xml:space="preserve">renounced agency </w:t>
      </w:r>
      <w:r>
        <w:rPr>
          <w:rFonts w:ascii="Times New Roman" w:hAnsi="Times New Roman" w:cs="Times New Roman"/>
          <w:sz w:val="24"/>
          <w:szCs w:val="24"/>
        </w:rPr>
        <w:t>on 11 May 2015.</w:t>
      </w:r>
    </w:p>
    <w:p w:rsidR="008418B3" w:rsidRDefault="008418B3" w:rsidP="008418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applicant’s new legal practitioners did not work upon its case from the time that they assumed agency to the time that the registrar of the Supreme Court served it with the notice to file its head</w:t>
      </w:r>
      <w:r w:rsidR="00721246">
        <w:rPr>
          <w:rFonts w:ascii="Times New Roman" w:hAnsi="Times New Roman" w:cs="Times New Roman"/>
          <w:sz w:val="24"/>
          <w:szCs w:val="24"/>
        </w:rPr>
        <w:t>s</w:t>
      </w:r>
      <w:r>
        <w:rPr>
          <w:rFonts w:ascii="Times New Roman" w:hAnsi="Times New Roman" w:cs="Times New Roman"/>
          <w:sz w:val="24"/>
          <w:szCs w:val="24"/>
        </w:rPr>
        <w:t xml:space="preserve"> under case number SC 630/14. He, it states, served the notice upon it on 6 January 2016. It is, according to it, on a closer perusal of the file following the registrar’s communication to it, that it became alive to the fact that it had adopted the wrong procedure as a result of which i</w:t>
      </w:r>
      <w:r w:rsidR="00015210">
        <w:rPr>
          <w:rFonts w:ascii="Times New Roman" w:hAnsi="Times New Roman" w:cs="Times New Roman"/>
          <w:sz w:val="24"/>
          <w:szCs w:val="24"/>
        </w:rPr>
        <w:t>t</w:t>
      </w:r>
      <w:r>
        <w:rPr>
          <w:rFonts w:ascii="Times New Roman" w:hAnsi="Times New Roman" w:cs="Times New Roman"/>
          <w:sz w:val="24"/>
          <w:szCs w:val="24"/>
        </w:rPr>
        <w:t xml:space="preserve"> withdrew the appeal and file</w:t>
      </w:r>
      <w:r w:rsidR="00015210">
        <w:rPr>
          <w:rFonts w:ascii="Times New Roman" w:hAnsi="Times New Roman" w:cs="Times New Roman"/>
          <w:sz w:val="24"/>
          <w:szCs w:val="24"/>
        </w:rPr>
        <w:t>d</w:t>
      </w:r>
      <w:r>
        <w:rPr>
          <w:rFonts w:ascii="Times New Roman" w:hAnsi="Times New Roman" w:cs="Times New Roman"/>
          <w:sz w:val="24"/>
          <w:szCs w:val="24"/>
        </w:rPr>
        <w:t xml:space="preserve"> this application.</w:t>
      </w:r>
    </w:p>
    <w:p w:rsidR="008418B3" w:rsidRDefault="008418B3" w:rsidP="008418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new legal practitioners who became seized with its case on 8 June 2015 allowed the matter to remain in abeyance from the mentioned date to 27 January 2016. They did not prosecute the appeal or withdr</w:t>
      </w:r>
      <w:r w:rsidR="00015210">
        <w:rPr>
          <w:rFonts w:ascii="Times New Roman" w:hAnsi="Times New Roman" w:cs="Times New Roman"/>
          <w:sz w:val="24"/>
          <w:szCs w:val="24"/>
        </w:rPr>
        <w:t>a</w:t>
      </w:r>
      <w:r>
        <w:rPr>
          <w:rFonts w:ascii="Times New Roman" w:hAnsi="Times New Roman" w:cs="Times New Roman"/>
          <w:sz w:val="24"/>
          <w:szCs w:val="24"/>
        </w:rPr>
        <w:t>w the same, as they later did, for a stretch of seven (7) months running.</w:t>
      </w:r>
    </w:p>
    <w:p w:rsidR="008418B3" w:rsidRDefault="008418B3" w:rsidP="008418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does not state that it requested them to prosecute its appeal as they should have done. The probabilities are that it did not.</w:t>
      </w:r>
    </w:p>
    <w:p w:rsidR="008418B3" w:rsidRDefault="008418B3" w:rsidP="008418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cavalier manner in which the applicant dealt with its case remains inexcusable. It leaves a lot to be desired.  It did not prosecute, or withdr</w:t>
      </w:r>
      <w:r w:rsidR="00015210">
        <w:rPr>
          <w:rFonts w:ascii="Times New Roman" w:hAnsi="Times New Roman" w:cs="Times New Roman"/>
          <w:sz w:val="24"/>
          <w:szCs w:val="24"/>
        </w:rPr>
        <w:t>a</w:t>
      </w:r>
      <w:r>
        <w:rPr>
          <w:rFonts w:ascii="Times New Roman" w:hAnsi="Times New Roman" w:cs="Times New Roman"/>
          <w:sz w:val="24"/>
          <w:szCs w:val="24"/>
        </w:rPr>
        <w:t>w</w:t>
      </w:r>
      <w:r w:rsidR="00015210">
        <w:rPr>
          <w:rFonts w:ascii="Times New Roman" w:hAnsi="Times New Roman" w:cs="Times New Roman"/>
          <w:sz w:val="24"/>
          <w:szCs w:val="24"/>
        </w:rPr>
        <w:t>,</w:t>
      </w:r>
      <w:r>
        <w:rPr>
          <w:rFonts w:ascii="Times New Roman" w:hAnsi="Times New Roman" w:cs="Times New Roman"/>
          <w:sz w:val="24"/>
          <w:szCs w:val="24"/>
        </w:rPr>
        <w:t xml:space="preserve"> its appeal until the court proded it to do so. Its conduct does not fit into that of a litigant who is seriously moving the court to condone his negligence. It falls into a class of its own which remains outside the degree of acceptable negligence.</w:t>
      </w:r>
    </w:p>
    <w:p w:rsidR="008418B3" w:rsidRDefault="008418B3" w:rsidP="008418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remarks which </w:t>
      </w:r>
      <w:r>
        <w:rPr>
          <w:rFonts w:ascii="Times New Roman" w:hAnsi="Times New Roman" w:cs="Times New Roman"/>
        </w:rPr>
        <w:t xml:space="preserve">ZHOU J </w:t>
      </w:r>
      <w:r>
        <w:rPr>
          <w:rFonts w:ascii="Times New Roman" w:hAnsi="Times New Roman" w:cs="Times New Roman"/>
          <w:sz w:val="24"/>
          <w:szCs w:val="24"/>
        </w:rPr>
        <w:t xml:space="preserve">made in </w:t>
      </w:r>
      <w:r>
        <w:rPr>
          <w:rFonts w:ascii="Times New Roman" w:hAnsi="Times New Roman" w:cs="Times New Roman"/>
          <w:i/>
          <w:sz w:val="24"/>
          <w:szCs w:val="24"/>
        </w:rPr>
        <w:t xml:space="preserve">Friendship </w:t>
      </w:r>
      <w:r w:rsidRPr="00EB42C2">
        <w:rPr>
          <w:rFonts w:ascii="Times New Roman" w:hAnsi="Times New Roman" w:cs="Times New Roman"/>
          <w:sz w:val="24"/>
          <w:szCs w:val="24"/>
        </w:rPr>
        <w:t>v</w:t>
      </w:r>
      <w:r>
        <w:rPr>
          <w:rFonts w:ascii="Times New Roman" w:hAnsi="Times New Roman" w:cs="Times New Roman"/>
          <w:i/>
          <w:sz w:val="24"/>
          <w:szCs w:val="24"/>
        </w:rPr>
        <w:t xml:space="preserve"> Dick, </w:t>
      </w:r>
      <w:r>
        <w:rPr>
          <w:rFonts w:ascii="Times New Roman" w:hAnsi="Times New Roman" w:cs="Times New Roman"/>
          <w:sz w:val="24"/>
          <w:szCs w:val="24"/>
        </w:rPr>
        <w:t>HH 128/13 are pertinent to this applica</w:t>
      </w:r>
      <w:r w:rsidR="00015210">
        <w:rPr>
          <w:rFonts w:ascii="Times New Roman" w:hAnsi="Times New Roman" w:cs="Times New Roman"/>
          <w:sz w:val="24"/>
          <w:szCs w:val="24"/>
        </w:rPr>
        <w:t>tion</w:t>
      </w:r>
      <w:r>
        <w:rPr>
          <w:rFonts w:ascii="Times New Roman" w:hAnsi="Times New Roman" w:cs="Times New Roman"/>
          <w:sz w:val="24"/>
          <w:szCs w:val="24"/>
        </w:rPr>
        <w:t>. He said:</w:t>
      </w:r>
    </w:p>
    <w:p w:rsidR="008418B3" w:rsidRDefault="008418B3" w:rsidP="008418B3">
      <w:pPr>
        <w:spacing w:after="0" w:line="240" w:lineRule="auto"/>
        <w:ind w:left="720"/>
        <w:jc w:val="both"/>
        <w:rPr>
          <w:rFonts w:ascii="Times New Roman" w:hAnsi="Times New Roman" w:cs="Times New Roman"/>
        </w:rPr>
      </w:pPr>
      <w:r>
        <w:rPr>
          <w:rFonts w:ascii="Times New Roman" w:hAnsi="Times New Roman" w:cs="Times New Roman"/>
        </w:rPr>
        <w:t xml:space="preserve">“The applications for rescission and condonation were filed more than five months after the default judgment was granted. </w:t>
      </w:r>
      <w:r>
        <w:rPr>
          <w:rFonts w:ascii="Times New Roman" w:hAnsi="Times New Roman" w:cs="Times New Roman"/>
          <w:u w:val="single"/>
        </w:rPr>
        <w:t>The applicant was already out of time by more than four months. That is a considerable delay</w:t>
      </w:r>
      <w:r>
        <w:rPr>
          <w:rFonts w:ascii="Times New Roman" w:hAnsi="Times New Roman" w:cs="Times New Roman"/>
        </w:rPr>
        <w:t xml:space="preserve"> in the circumstances. It has been held, repeatedly, that i</w:t>
      </w:r>
      <w:r w:rsidR="00015210">
        <w:rPr>
          <w:rFonts w:ascii="Times New Roman" w:hAnsi="Times New Roman" w:cs="Times New Roman"/>
        </w:rPr>
        <w:t>f</w:t>
      </w:r>
      <w:r>
        <w:rPr>
          <w:rFonts w:ascii="Times New Roman" w:hAnsi="Times New Roman" w:cs="Times New Roman"/>
        </w:rPr>
        <w:t xml:space="preserve"> a party fails to seek condonation as soon as possible, </w:t>
      </w:r>
      <w:r>
        <w:rPr>
          <w:rFonts w:ascii="Times New Roman" w:hAnsi="Times New Roman" w:cs="Times New Roman"/>
          <w:u w:val="single"/>
        </w:rPr>
        <w:t>he should give an acceptable explanation,</w:t>
      </w:r>
      <w:r>
        <w:rPr>
          <w:rFonts w:ascii="Times New Roman" w:hAnsi="Times New Roman" w:cs="Times New Roman"/>
        </w:rPr>
        <w:t xml:space="preserve"> not only for the delay in making the application for the rescission of the default judgment, but also for the delay in seeking condonation.” (emphasis added).</w:t>
      </w:r>
    </w:p>
    <w:p w:rsidR="008418B3" w:rsidRDefault="008418B3" w:rsidP="008418B3">
      <w:pPr>
        <w:spacing w:after="0" w:line="240" w:lineRule="auto"/>
        <w:ind w:left="720"/>
        <w:jc w:val="both"/>
        <w:rPr>
          <w:rFonts w:ascii="Times New Roman" w:hAnsi="Times New Roman" w:cs="Times New Roman"/>
        </w:rPr>
      </w:pPr>
    </w:p>
    <w:p w:rsidR="008418B3" w:rsidRDefault="00015210" w:rsidP="008418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418B3">
        <w:rPr>
          <w:rFonts w:ascii="Times New Roman" w:hAnsi="Times New Roman" w:cs="Times New Roman"/>
          <w:sz w:val="24"/>
          <w:szCs w:val="24"/>
        </w:rPr>
        <w:t>I fully associate myself with the learned judge’s remarks. I am satisfied that the applicant did not pro</w:t>
      </w:r>
      <w:r>
        <w:rPr>
          <w:rFonts w:ascii="Times New Roman" w:hAnsi="Times New Roman" w:cs="Times New Roman"/>
          <w:sz w:val="24"/>
          <w:szCs w:val="24"/>
        </w:rPr>
        <w:t>f</w:t>
      </w:r>
      <w:r w:rsidR="008418B3">
        <w:rPr>
          <w:rFonts w:ascii="Times New Roman" w:hAnsi="Times New Roman" w:cs="Times New Roman"/>
          <w:sz w:val="24"/>
          <w:szCs w:val="24"/>
        </w:rPr>
        <w:t>er an acceptable explanation for the late filing of an application for condonation. It also did not explain what caused it to want to proceed to argue on the strength of an affidavit which it knew was defective and which it could have corrected with little, if any, difficulty.</w:t>
      </w:r>
      <w:r>
        <w:rPr>
          <w:rFonts w:ascii="Times New Roman" w:hAnsi="Times New Roman" w:cs="Times New Roman"/>
          <w:sz w:val="24"/>
          <w:szCs w:val="24"/>
        </w:rPr>
        <w:t xml:space="preserve"> If a delay of four months could not be condoned in the </w:t>
      </w:r>
      <w:r w:rsidR="005D1D31" w:rsidRPr="005D1D31">
        <w:rPr>
          <w:rFonts w:ascii="Times New Roman" w:hAnsi="Times New Roman" w:cs="Times New Roman"/>
          <w:i/>
          <w:sz w:val="24"/>
          <w:szCs w:val="24"/>
        </w:rPr>
        <w:t>Dick</w:t>
      </w:r>
      <w:r w:rsidR="005D1D31">
        <w:rPr>
          <w:rFonts w:ascii="Times New Roman" w:hAnsi="Times New Roman" w:cs="Times New Roman"/>
          <w:sz w:val="24"/>
          <w:szCs w:val="24"/>
        </w:rPr>
        <w:t xml:space="preserve"> </w:t>
      </w:r>
      <w:r>
        <w:rPr>
          <w:rFonts w:ascii="Times New Roman" w:hAnsi="Times New Roman" w:cs="Times New Roman"/>
          <w:sz w:val="24"/>
          <w:szCs w:val="24"/>
        </w:rPr>
        <w:t>case (</w:t>
      </w:r>
      <w:r w:rsidRPr="00015210">
        <w:rPr>
          <w:rFonts w:ascii="Times New Roman" w:hAnsi="Times New Roman" w:cs="Times New Roman"/>
          <w:i/>
          <w:sz w:val="24"/>
          <w:szCs w:val="24"/>
        </w:rPr>
        <w:t>supra</w:t>
      </w:r>
      <w:r>
        <w:rPr>
          <w:rFonts w:ascii="Times New Roman" w:hAnsi="Times New Roman" w:cs="Times New Roman"/>
          <w:sz w:val="24"/>
          <w:szCs w:val="24"/>
        </w:rPr>
        <w:t xml:space="preserve">) l find it difficult to see how a delay of 36 or 7 months can be condoned in </w:t>
      </w:r>
      <w:r w:rsidRPr="00015210">
        <w:rPr>
          <w:rFonts w:ascii="Times New Roman" w:hAnsi="Times New Roman" w:cs="Times New Roman"/>
          <w:i/>
          <w:sz w:val="24"/>
          <w:szCs w:val="24"/>
        </w:rPr>
        <w:t>casu</w:t>
      </w:r>
      <w:r>
        <w:rPr>
          <w:rFonts w:ascii="Times New Roman" w:hAnsi="Times New Roman" w:cs="Times New Roman"/>
          <w:sz w:val="24"/>
          <w:szCs w:val="24"/>
        </w:rPr>
        <w:t>.</w:t>
      </w:r>
    </w:p>
    <w:p w:rsidR="008418B3" w:rsidRDefault="008418B3" w:rsidP="008418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stated in its application for summary judgment which it filed on 12 January 2015 that it is not the owner of the property which is the subject of its clam. </w:t>
      </w:r>
      <w:r>
        <w:rPr>
          <w:rFonts w:ascii="Times New Roman" w:hAnsi="Times New Roman" w:cs="Times New Roman"/>
          <w:sz w:val="24"/>
          <w:szCs w:val="24"/>
        </w:rPr>
        <w:lastRenderedPageBreak/>
        <w:t>Reference is made in this regard to paras 5, 5.4, 7, 8, 9.3.2, 9.3.3 and 9.3.4. of its founding affidavit. This appears at pp 140 – 141 of the record. The paras read:</w:t>
      </w:r>
    </w:p>
    <w:p w:rsidR="008418B3" w:rsidRDefault="008418B3" w:rsidP="008418B3">
      <w:pPr>
        <w:spacing w:after="0" w:line="240" w:lineRule="auto"/>
        <w:jc w:val="both"/>
        <w:rPr>
          <w:rFonts w:ascii="Times New Roman" w:hAnsi="Times New Roman" w:cs="Times New Roman"/>
        </w:rPr>
      </w:pPr>
      <w:r>
        <w:rPr>
          <w:rFonts w:ascii="Times New Roman" w:hAnsi="Times New Roman" w:cs="Times New Roman"/>
          <w:sz w:val="24"/>
          <w:szCs w:val="24"/>
        </w:rPr>
        <w:tab/>
        <w:t>“</w:t>
      </w:r>
      <w:r w:rsidRPr="00DF7A53">
        <w:rPr>
          <w:rFonts w:ascii="Times New Roman" w:hAnsi="Times New Roman" w:cs="Times New Roman"/>
        </w:rPr>
        <w:t>THE CAUSE OF THE ACTION</w:t>
      </w:r>
    </w:p>
    <w:p w:rsidR="008418B3" w:rsidRDefault="008418B3" w:rsidP="008418B3">
      <w:pPr>
        <w:spacing w:after="0" w:line="240" w:lineRule="auto"/>
        <w:ind w:left="1440" w:hanging="72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On or about December 2012, the defendant and I entered into a verbal agreement for the sale of goods – the material terms whereof were as follows:</w:t>
      </w:r>
    </w:p>
    <w:p w:rsidR="008418B3" w:rsidRDefault="008418B3" w:rsidP="008418B3">
      <w:pPr>
        <w:spacing w:after="0" w:line="240" w:lineRule="auto"/>
        <w:ind w:left="1440" w:hanging="720"/>
        <w:jc w:val="both"/>
        <w:rPr>
          <w:rFonts w:ascii="Times New Roman" w:hAnsi="Times New Roman" w:cs="Times New Roman"/>
        </w:rPr>
      </w:pPr>
      <w:r>
        <w:rPr>
          <w:rFonts w:ascii="Times New Roman" w:hAnsi="Times New Roman" w:cs="Times New Roman"/>
        </w:rPr>
        <w:tab/>
        <w:t>5.1 ---</w:t>
      </w:r>
    </w:p>
    <w:p w:rsidR="008418B3" w:rsidRDefault="008418B3" w:rsidP="008418B3">
      <w:pPr>
        <w:spacing w:after="0" w:line="240" w:lineRule="auto"/>
        <w:ind w:left="1440" w:hanging="720"/>
        <w:jc w:val="both"/>
        <w:rPr>
          <w:rFonts w:ascii="Times New Roman" w:hAnsi="Times New Roman" w:cs="Times New Roman"/>
        </w:rPr>
      </w:pPr>
      <w:r>
        <w:rPr>
          <w:rFonts w:ascii="Times New Roman" w:hAnsi="Times New Roman" w:cs="Times New Roman"/>
        </w:rPr>
        <w:tab/>
        <w:t>5.3 ---</w:t>
      </w:r>
    </w:p>
    <w:p w:rsidR="008418B3" w:rsidRDefault="008418B3" w:rsidP="008418B3">
      <w:pPr>
        <w:spacing w:after="0" w:line="240" w:lineRule="auto"/>
        <w:ind w:left="2160" w:hanging="720"/>
        <w:jc w:val="both"/>
        <w:rPr>
          <w:rFonts w:ascii="Times New Roman" w:hAnsi="Times New Roman" w:cs="Times New Roman"/>
          <w:u w:val="single"/>
        </w:rPr>
      </w:pPr>
      <w:r>
        <w:rPr>
          <w:rFonts w:ascii="Times New Roman" w:hAnsi="Times New Roman" w:cs="Times New Roman"/>
        </w:rPr>
        <w:t xml:space="preserve">5.4 </w:t>
      </w:r>
      <w:r>
        <w:rPr>
          <w:rFonts w:ascii="Times New Roman" w:hAnsi="Times New Roman" w:cs="Times New Roman"/>
        </w:rPr>
        <w:tab/>
        <w:t xml:space="preserve">That the plaintiff shall take delivery of the goods at any time after payment of the full </w:t>
      </w:r>
      <w:r w:rsidR="007E3D02">
        <w:rPr>
          <w:rFonts w:ascii="Times New Roman" w:hAnsi="Times New Roman" w:cs="Times New Roman"/>
        </w:rPr>
        <w:t>purchase</w:t>
      </w:r>
      <w:r>
        <w:rPr>
          <w:rFonts w:ascii="Times New Roman" w:hAnsi="Times New Roman" w:cs="Times New Roman"/>
        </w:rPr>
        <w:t xml:space="preserve"> price at which stage the risk and profit of the goods shall </w:t>
      </w:r>
      <w:r w:rsidR="007E3D02">
        <w:rPr>
          <w:rFonts w:ascii="Times New Roman" w:hAnsi="Times New Roman" w:cs="Times New Roman"/>
        </w:rPr>
        <w:t>pass</w:t>
      </w:r>
      <w:r>
        <w:rPr>
          <w:rFonts w:ascii="Times New Roman" w:hAnsi="Times New Roman" w:cs="Times New Roman"/>
        </w:rPr>
        <w:t xml:space="preserve"> to the plaintiff. In turn </w:t>
      </w:r>
      <w:r>
        <w:rPr>
          <w:rFonts w:ascii="Times New Roman" w:hAnsi="Times New Roman" w:cs="Times New Roman"/>
          <w:u w:val="single"/>
        </w:rPr>
        <w:t>the defendant would facilitate the change of ownership of the goods into the name of the plaintiff.</w:t>
      </w:r>
    </w:p>
    <w:p w:rsidR="008418B3" w:rsidRDefault="008418B3" w:rsidP="007E3D02">
      <w:pPr>
        <w:spacing w:after="0" w:line="240" w:lineRule="auto"/>
        <w:ind w:left="1440" w:hanging="720"/>
        <w:jc w:val="both"/>
        <w:rPr>
          <w:rFonts w:ascii="Times New Roman" w:hAnsi="Times New Roman" w:cs="Times New Roman"/>
        </w:rPr>
      </w:pPr>
      <w:r>
        <w:rPr>
          <w:rFonts w:ascii="Times New Roman" w:hAnsi="Times New Roman" w:cs="Times New Roman"/>
        </w:rPr>
        <w:t>6---</w:t>
      </w:r>
    </w:p>
    <w:p w:rsidR="008418B3" w:rsidRDefault="008418B3" w:rsidP="007E3D02">
      <w:pPr>
        <w:spacing w:after="0" w:line="240" w:lineRule="auto"/>
        <w:ind w:left="1440" w:hanging="720"/>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t xml:space="preserve">The defendant has subsequently breached the agreement in that, despite several demands, </w:t>
      </w:r>
      <w:r>
        <w:rPr>
          <w:rFonts w:ascii="Times New Roman" w:hAnsi="Times New Roman" w:cs="Times New Roman"/>
          <w:u w:val="single"/>
        </w:rPr>
        <w:t xml:space="preserve">it has neglected, refused and/or failed to deliver the agreed goods </w:t>
      </w:r>
      <w:r w:rsidRPr="00DF7A53">
        <w:rPr>
          <w:rFonts w:ascii="Times New Roman" w:hAnsi="Times New Roman" w:cs="Times New Roman"/>
        </w:rPr>
        <w:t xml:space="preserve">to the plaintiff and to facilitate registration thereof </w:t>
      </w:r>
      <w:r w:rsidRPr="00DF7A53">
        <w:rPr>
          <w:rFonts w:ascii="Times New Roman" w:hAnsi="Times New Roman" w:cs="Times New Roman"/>
          <w:u w:val="single"/>
        </w:rPr>
        <w:t>in the plaintiff’s name</w:t>
      </w:r>
      <w:r w:rsidRPr="00DF7A53">
        <w:rPr>
          <w:rFonts w:ascii="Times New Roman" w:hAnsi="Times New Roman" w:cs="Times New Roman"/>
        </w:rPr>
        <w:t>.</w:t>
      </w:r>
    </w:p>
    <w:p w:rsidR="008418B3" w:rsidRDefault="008418B3" w:rsidP="007E3D02">
      <w:pPr>
        <w:spacing w:after="0" w:line="240" w:lineRule="auto"/>
        <w:ind w:left="1440" w:hanging="720"/>
        <w:jc w:val="both"/>
        <w:rPr>
          <w:rFonts w:ascii="Times New Roman" w:hAnsi="Times New Roman" w:cs="Times New Roman"/>
          <w:u w:val="single"/>
        </w:rPr>
      </w:pPr>
      <w:r>
        <w:rPr>
          <w:rFonts w:ascii="Times New Roman" w:hAnsi="Times New Roman" w:cs="Times New Roman"/>
        </w:rPr>
        <w:t>8</w:t>
      </w:r>
      <w:r>
        <w:rPr>
          <w:rFonts w:ascii="Times New Roman" w:hAnsi="Times New Roman" w:cs="Times New Roman"/>
        </w:rPr>
        <w:tab/>
        <w:t>As a result of the defendant’s breach, the plaintiff has been left in a position where it par</w:t>
      </w:r>
      <w:r w:rsidR="007E3D02">
        <w:rPr>
          <w:rFonts w:ascii="Times New Roman" w:hAnsi="Times New Roman" w:cs="Times New Roman"/>
        </w:rPr>
        <w:t>t</w:t>
      </w:r>
      <w:r>
        <w:rPr>
          <w:rFonts w:ascii="Times New Roman" w:hAnsi="Times New Roman" w:cs="Times New Roman"/>
        </w:rPr>
        <w:t xml:space="preserve">ed with the purchase price and as such complied with its undertaking in terms of the agreement, and </w:t>
      </w:r>
      <w:r>
        <w:rPr>
          <w:rFonts w:ascii="Times New Roman" w:hAnsi="Times New Roman" w:cs="Times New Roman"/>
          <w:u w:val="single"/>
        </w:rPr>
        <w:t>yet remains dispossessed of the goods in question which goods remain in the possession and  use of the defendant.</w:t>
      </w:r>
    </w:p>
    <w:p w:rsidR="008418B3" w:rsidRDefault="008418B3" w:rsidP="008418B3">
      <w:pPr>
        <w:spacing w:after="0" w:line="240" w:lineRule="auto"/>
        <w:ind w:left="2160" w:hanging="720"/>
        <w:jc w:val="both"/>
        <w:rPr>
          <w:rFonts w:ascii="Times New Roman" w:hAnsi="Times New Roman" w:cs="Times New Roman"/>
        </w:rPr>
      </w:pPr>
      <w:r>
        <w:rPr>
          <w:rFonts w:ascii="Times New Roman" w:hAnsi="Times New Roman" w:cs="Times New Roman"/>
        </w:rPr>
        <w:t>9.3.2</w:t>
      </w:r>
      <w:r>
        <w:rPr>
          <w:rFonts w:ascii="Times New Roman" w:hAnsi="Times New Roman" w:cs="Times New Roman"/>
        </w:rPr>
        <w:tab/>
      </w:r>
      <w:r w:rsidR="007E3D02">
        <w:rPr>
          <w:rFonts w:ascii="Times New Roman" w:hAnsi="Times New Roman" w:cs="Times New Roman"/>
        </w:rPr>
        <w:t>The</w:t>
      </w:r>
      <w:r>
        <w:rPr>
          <w:rFonts w:ascii="Times New Roman" w:hAnsi="Times New Roman" w:cs="Times New Roman"/>
        </w:rPr>
        <w:t xml:space="preserve"> defendant </w:t>
      </w:r>
      <w:r>
        <w:rPr>
          <w:rFonts w:ascii="Times New Roman" w:hAnsi="Times New Roman" w:cs="Times New Roman"/>
          <w:u w:val="single"/>
        </w:rPr>
        <w:t>has failed and/or refused to effect delivery</w:t>
      </w:r>
      <w:r>
        <w:rPr>
          <w:rFonts w:ascii="Times New Roman" w:hAnsi="Times New Roman" w:cs="Times New Roman"/>
        </w:rPr>
        <w:t xml:space="preserve"> of the goods to the plaintiff without any </w:t>
      </w:r>
      <w:r w:rsidR="007E3D02">
        <w:rPr>
          <w:rFonts w:ascii="Times New Roman" w:hAnsi="Times New Roman" w:cs="Times New Roman"/>
        </w:rPr>
        <w:t>just cause.</w:t>
      </w:r>
    </w:p>
    <w:p w:rsidR="008418B3" w:rsidRDefault="008418B3" w:rsidP="008418B3">
      <w:pPr>
        <w:spacing w:after="0" w:line="240" w:lineRule="auto"/>
        <w:ind w:left="2160" w:hanging="720"/>
        <w:jc w:val="both"/>
        <w:rPr>
          <w:rFonts w:ascii="Times New Roman" w:hAnsi="Times New Roman" w:cs="Times New Roman"/>
        </w:rPr>
      </w:pPr>
      <w:r>
        <w:rPr>
          <w:rFonts w:ascii="Times New Roman" w:hAnsi="Times New Roman" w:cs="Times New Roman"/>
        </w:rPr>
        <w:t>9.3.3</w:t>
      </w:r>
      <w:r>
        <w:rPr>
          <w:rFonts w:ascii="Times New Roman" w:hAnsi="Times New Roman" w:cs="Times New Roman"/>
        </w:rPr>
        <w:tab/>
        <w:t>In the premises the defendant has both the purchase price and the object of sale at the plaintiff’s expense.</w:t>
      </w:r>
    </w:p>
    <w:p w:rsidR="008418B3" w:rsidRDefault="008418B3" w:rsidP="008418B3">
      <w:pPr>
        <w:spacing w:after="0" w:line="240" w:lineRule="auto"/>
        <w:ind w:left="2160" w:hanging="720"/>
        <w:jc w:val="both"/>
        <w:rPr>
          <w:rFonts w:ascii="Times New Roman" w:hAnsi="Times New Roman" w:cs="Times New Roman"/>
        </w:rPr>
      </w:pPr>
      <w:r>
        <w:rPr>
          <w:rFonts w:ascii="Times New Roman" w:hAnsi="Times New Roman" w:cs="Times New Roman"/>
        </w:rPr>
        <w:t>9.3.4</w:t>
      </w:r>
      <w:r>
        <w:rPr>
          <w:rFonts w:ascii="Times New Roman" w:hAnsi="Times New Roman" w:cs="Times New Roman"/>
        </w:rPr>
        <w:tab/>
        <w:t xml:space="preserve">The defendant actually knows that </w:t>
      </w:r>
      <w:r>
        <w:rPr>
          <w:rFonts w:ascii="Times New Roman" w:hAnsi="Times New Roman" w:cs="Times New Roman"/>
          <w:u w:val="single"/>
        </w:rPr>
        <w:t xml:space="preserve">it </w:t>
      </w:r>
      <w:r w:rsidR="007E3D02">
        <w:rPr>
          <w:rFonts w:ascii="Times New Roman" w:hAnsi="Times New Roman" w:cs="Times New Roman"/>
          <w:u w:val="single"/>
        </w:rPr>
        <w:t>owes</w:t>
      </w:r>
      <w:r>
        <w:rPr>
          <w:rFonts w:ascii="Times New Roman" w:hAnsi="Times New Roman" w:cs="Times New Roman"/>
          <w:u w:val="single"/>
        </w:rPr>
        <w:t xml:space="preserve"> it to the plaintiff to deliver the goods</w:t>
      </w:r>
      <w:r>
        <w:rPr>
          <w:rFonts w:ascii="Times New Roman" w:hAnsi="Times New Roman" w:cs="Times New Roman"/>
        </w:rPr>
        <w:t xml:space="preserve"> in question or effect financial re</w:t>
      </w:r>
      <w:r w:rsidR="007E3D02">
        <w:rPr>
          <w:rFonts w:ascii="Times New Roman" w:hAnsi="Times New Roman" w:cs="Times New Roman"/>
        </w:rPr>
        <w:t>stitu</w:t>
      </w:r>
      <w:r>
        <w:rPr>
          <w:rFonts w:ascii="Times New Roman" w:hAnsi="Times New Roman" w:cs="Times New Roman"/>
        </w:rPr>
        <w:t>tion of the purchase price paid.” (emphasis added)</w:t>
      </w:r>
    </w:p>
    <w:p w:rsidR="008418B3" w:rsidRDefault="008418B3" w:rsidP="008418B3">
      <w:pPr>
        <w:spacing w:after="0" w:line="240" w:lineRule="auto"/>
        <w:ind w:left="2160" w:hanging="720"/>
        <w:jc w:val="both"/>
        <w:rPr>
          <w:rFonts w:ascii="Times New Roman" w:hAnsi="Times New Roman" w:cs="Times New Roman"/>
        </w:rPr>
      </w:pPr>
    </w:p>
    <w:p w:rsidR="008418B3" w:rsidRDefault="008418B3" w:rsidP="008418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It is eviden</w:t>
      </w:r>
      <w:r w:rsidR="007E3D02">
        <w:rPr>
          <w:rFonts w:ascii="Times New Roman" w:hAnsi="Times New Roman" w:cs="Times New Roman"/>
          <w:sz w:val="24"/>
          <w:szCs w:val="24"/>
        </w:rPr>
        <w:t>t</w:t>
      </w:r>
      <w:r>
        <w:rPr>
          <w:rFonts w:ascii="Times New Roman" w:hAnsi="Times New Roman" w:cs="Times New Roman"/>
          <w:sz w:val="24"/>
          <w:szCs w:val="24"/>
        </w:rPr>
        <w:t xml:space="preserve">, from the foregoing, that, as late as 12 January 2015, the applicant </w:t>
      </w:r>
    </w:p>
    <w:p w:rsidR="00173F1F" w:rsidRDefault="008418B3" w:rsidP="00173F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who describes itself as the plaintiff in the application for summary judgment, was not the owner of the attached property. It was, therefore, not being candid with the court when it stated in its affidavit which support</w:t>
      </w:r>
      <w:r w:rsidR="007E3D02">
        <w:rPr>
          <w:rFonts w:ascii="Times New Roman" w:hAnsi="Times New Roman" w:cs="Times New Roman"/>
          <w:sz w:val="24"/>
          <w:szCs w:val="24"/>
        </w:rPr>
        <w:t>s</w:t>
      </w:r>
      <w:r>
        <w:rPr>
          <w:rFonts w:ascii="Times New Roman" w:hAnsi="Times New Roman" w:cs="Times New Roman"/>
          <w:sz w:val="24"/>
          <w:szCs w:val="24"/>
        </w:rPr>
        <w:t xml:space="preserve"> its interpleader claim that it was/is the owner of the attached goods. Its statement which appears </w:t>
      </w:r>
      <w:r w:rsidR="00173F1F">
        <w:rPr>
          <w:rFonts w:ascii="Times New Roman" w:hAnsi="Times New Roman" w:cs="Times New Roman"/>
          <w:sz w:val="24"/>
          <w:szCs w:val="24"/>
        </w:rPr>
        <w:t xml:space="preserve">at p 9 para (2) of its affidavit is false. It is false in the sense that the applicant could not state on 12 September, 2013 – the day that its affidavit was deposed to – that it </w:t>
      </w:r>
      <w:r w:rsidR="00173F1F" w:rsidRPr="007E3D02">
        <w:rPr>
          <w:rFonts w:ascii="Times New Roman" w:hAnsi="Times New Roman" w:cs="Times New Roman"/>
          <w:sz w:val="24"/>
          <w:szCs w:val="24"/>
        </w:rPr>
        <w:t>o</w:t>
      </w:r>
      <w:r w:rsidR="007E3D02" w:rsidRPr="007E3D02">
        <w:rPr>
          <w:rFonts w:ascii="Times New Roman" w:hAnsi="Times New Roman" w:cs="Times New Roman"/>
          <w:sz w:val="24"/>
          <w:szCs w:val="24"/>
        </w:rPr>
        <w:t>wn</w:t>
      </w:r>
      <w:r w:rsidR="00173F1F" w:rsidRPr="007E3D02">
        <w:rPr>
          <w:rFonts w:ascii="Times New Roman" w:hAnsi="Times New Roman" w:cs="Times New Roman"/>
          <w:sz w:val="24"/>
          <w:szCs w:val="24"/>
        </w:rPr>
        <w:t>s</w:t>
      </w:r>
      <w:r w:rsidR="00173F1F">
        <w:rPr>
          <w:rFonts w:ascii="Times New Roman" w:hAnsi="Times New Roman" w:cs="Times New Roman"/>
          <w:sz w:val="24"/>
          <w:szCs w:val="24"/>
        </w:rPr>
        <w:t xml:space="preserve"> the property and state, further, on 12 January 2015, that the second respondent is refusing to pass title in the property to it.</w:t>
      </w:r>
    </w:p>
    <w:p w:rsidR="00173F1F" w:rsidRDefault="00173F1F" w:rsidP="00173F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it is clear, does not have real rights in the property. It has a personal right against the second respondent. The said right does not confer upon it the right to instruct the first respondent to issue an interpleader notice as it did in regard to its claim which the court dismissed on 21 November, 2014.</w:t>
      </w:r>
    </w:p>
    <w:p w:rsidR="00173F1F" w:rsidRDefault="00173F1F" w:rsidP="00173F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third respondent’s statement which is to the effect that the applicant and the second respondent are colluding between them with a view to frustrating its effort to satisfy the judgment which the court entered in its favour in not far-fetched. It is, if anything, well </w:t>
      </w:r>
      <w:r>
        <w:rPr>
          <w:rFonts w:ascii="Times New Roman" w:hAnsi="Times New Roman" w:cs="Times New Roman"/>
          <w:sz w:val="24"/>
          <w:szCs w:val="24"/>
        </w:rPr>
        <w:lastRenderedPageBreak/>
        <w:t>made as well as real. My views in the mentioned regard find support from the affidavits which one James Nqindi deposed to in the matter of the second and the third respondent. The affidavit appears at p 53 of the record</w:t>
      </w:r>
      <w:r w:rsidR="00352273">
        <w:rPr>
          <w:rFonts w:ascii="Times New Roman" w:hAnsi="Times New Roman" w:cs="Times New Roman"/>
          <w:sz w:val="24"/>
          <w:szCs w:val="24"/>
        </w:rPr>
        <w:t>. It</w:t>
      </w:r>
      <w:r>
        <w:rPr>
          <w:rFonts w:ascii="Times New Roman" w:hAnsi="Times New Roman" w:cs="Times New Roman"/>
          <w:sz w:val="24"/>
          <w:szCs w:val="24"/>
        </w:rPr>
        <w:t xml:space="preserve"> falls under case number LC/MD/59/12. He swore to it on 28 August, 2012. </w:t>
      </w:r>
    </w:p>
    <w:p w:rsidR="00173F1F" w:rsidRDefault="00173F1F" w:rsidP="00173F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mentioned case, the second respondent was the applicant and the third respondent was the respondent. Mr </w:t>
      </w:r>
      <w:r w:rsidRPr="008C5F41">
        <w:rPr>
          <w:rFonts w:ascii="Times New Roman" w:hAnsi="Times New Roman" w:cs="Times New Roman"/>
          <w:i/>
          <w:sz w:val="24"/>
          <w:szCs w:val="24"/>
        </w:rPr>
        <w:t>Nqindi</w:t>
      </w:r>
      <w:r>
        <w:rPr>
          <w:rFonts w:ascii="Times New Roman" w:hAnsi="Times New Roman" w:cs="Times New Roman"/>
          <w:sz w:val="24"/>
          <w:szCs w:val="24"/>
        </w:rPr>
        <w:t xml:space="preserve"> stated, in the founding affidavit, as follows: </w:t>
      </w:r>
    </w:p>
    <w:p w:rsidR="00173F1F" w:rsidRDefault="00173F1F" w:rsidP="00173F1F">
      <w:pPr>
        <w:spacing w:after="0" w:line="24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I the undersigned JAMES NQINDI do hereby make oath and solemnly state as follows:</w:t>
      </w:r>
    </w:p>
    <w:p w:rsidR="00173F1F" w:rsidRDefault="00173F1F" w:rsidP="00173F1F">
      <w:pPr>
        <w:spacing w:after="0" w:line="240" w:lineRule="auto"/>
        <w:ind w:left="720"/>
        <w:jc w:val="both"/>
        <w:rPr>
          <w:rFonts w:ascii="Times New Roman" w:hAnsi="Times New Roman" w:cs="Times New Roman"/>
        </w:rPr>
      </w:pPr>
      <w:r>
        <w:rPr>
          <w:rFonts w:ascii="Times New Roman" w:hAnsi="Times New Roman" w:cs="Times New Roman"/>
        </w:rPr>
        <w:t xml:space="preserve">I am </w:t>
      </w:r>
      <w:r>
        <w:rPr>
          <w:rFonts w:ascii="Times New Roman" w:hAnsi="Times New Roman" w:cs="Times New Roman"/>
          <w:u w:val="single"/>
        </w:rPr>
        <w:t>the applicant’s General Manager</w:t>
      </w:r>
      <w:r>
        <w:rPr>
          <w:rFonts w:ascii="Times New Roman" w:hAnsi="Times New Roman" w:cs="Times New Roman"/>
        </w:rPr>
        <w:t xml:space="preserve"> and am duly authorised to depose to this affidavit in my capacity as such. I am properly and sufficiently seized with the facts deposed to hereunder. </w:t>
      </w:r>
    </w:p>
    <w:p w:rsidR="00173F1F" w:rsidRDefault="00173F1F" w:rsidP="00173F1F">
      <w:pPr>
        <w:spacing w:after="0" w:line="240" w:lineRule="auto"/>
        <w:ind w:left="720"/>
        <w:jc w:val="both"/>
        <w:rPr>
          <w:rFonts w:ascii="Times New Roman" w:hAnsi="Times New Roman" w:cs="Times New Roman"/>
          <w:sz w:val="24"/>
          <w:szCs w:val="24"/>
        </w:rPr>
      </w:pPr>
      <w:r w:rsidRPr="00B1342C">
        <w:rPr>
          <w:rFonts w:ascii="Times New Roman" w:hAnsi="Times New Roman" w:cs="Times New Roman"/>
        </w:rPr>
        <w:t>The</w:t>
      </w:r>
      <w:r>
        <w:rPr>
          <w:rFonts w:ascii="Times New Roman" w:hAnsi="Times New Roman" w:cs="Times New Roman"/>
          <w:u w:val="single"/>
        </w:rPr>
        <w:t xml:space="preserve"> applicant is Central Estates (Private) Limited</w:t>
      </w:r>
      <w:r>
        <w:rPr>
          <w:rFonts w:ascii="Times New Roman" w:hAnsi="Times New Roman" w:cs="Times New Roman"/>
        </w:rPr>
        <w:t xml:space="preserve"> a company duly registered in accordance with the laws of Zimbabwe whose address is that of its attorneys of record ……..” (</w:t>
      </w:r>
      <w:r>
        <w:rPr>
          <w:rFonts w:ascii="Times New Roman" w:hAnsi="Times New Roman" w:cs="Times New Roman"/>
          <w:sz w:val="24"/>
          <w:szCs w:val="24"/>
        </w:rPr>
        <w:t>emphasis added).</w:t>
      </w:r>
    </w:p>
    <w:p w:rsidR="00173F1F" w:rsidRDefault="00173F1F" w:rsidP="00173F1F">
      <w:pPr>
        <w:spacing w:after="0" w:line="240" w:lineRule="auto"/>
        <w:ind w:left="720"/>
        <w:jc w:val="both"/>
        <w:rPr>
          <w:rFonts w:ascii="Times New Roman" w:hAnsi="Times New Roman" w:cs="Times New Roman"/>
          <w:sz w:val="24"/>
          <w:szCs w:val="24"/>
        </w:rPr>
      </w:pPr>
    </w:p>
    <w:p w:rsidR="00173F1F" w:rsidRDefault="00173F1F" w:rsidP="008418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8 October, 2013 Mr </w:t>
      </w:r>
      <w:r w:rsidRPr="008C5F41">
        <w:rPr>
          <w:rFonts w:ascii="Times New Roman" w:hAnsi="Times New Roman" w:cs="Times New Roman"/>
          <w:i/>
          <w:sz w:val="24"/>
          <w:szCs w:val="24"/>
        </w:rPr>
        <w:t>Nqindi</w:t>
      </w:r>
      <w:r>
        <w:rPr>
          <w:rFonts w:ascii="Times New Roman" w:hAnsi="Times New Roman" w:cs="Times New Roman"/>
          <w:sz w:val="24"/>
          <w:szCs w:val="24"/>
        </w:rPr>
        <w:t xml:space="preserve"> deposed to the claimant’s opposing affidavit under case number HC 7899/13. His affidavit reads:</w:t>
      </w:r>
    </w:p>
    <w:p w:rsidR="00173F1F" w:rsidRPr="00022C41" w:rsidRDefault="00173F1F" w:rsidP="005F45AF">
      <w:pPr>
        <w:spacing w:after="0" w:line="240" w:lineRule="auto"/>
        <w:ind w:left="720"/>
        <w:jc w:val="both"/>
        <w:rPr>
          <w:rFonts w:ascii="Times New Roman" w:hAnsi="Times New Roman" w:cs="Times New Roman"/>
        </w:rPr>
      </w:pPr>
      <w:r>
        <w:rPr>
          <w:rFonts w:ascii="Times New Roman" w:hAnsi="Times New Roman" w:cs="Times New Roman"/>
          <w:sz w:val="24"/>
          <w:szCs w:val="24"/>
        </w:rPr>
        <w:tab/>
      </w:r>
      <w:r w:rsidRPr="00022C41">
        <w:rPr>
          <w:rFonts w:ascii="Times New Roman" w:hAnsi="Times New Roman" w:cs="Times New Roman"/>
        </w:rPr>
        <w:t xml:space="preserve">“Claimant’s Opposing Affidavit </w:t>
      </w:r>
    </w:p>
    <w:p w:rsidR="00173F1F" w:rsidRPr="00022C41" w:rsidRDefault="00173F1F" w:rsidP="005F45AF">
      <w:pPr>
        <w:spacing w:after="0" w:line="240" w:lineRule="auto"/>
        <w:ind w:left="1440"/>
        <w:jc w:val="both"/>
        <w:rPr>
          <w:rFonts w:ascii="Times New Roman" w:hAnsi="Times New Roman" w:cs="Times New Roman"/>
        </w:rPr>
      </w:pPr>
      <w:r w:rsidRPr="00022C41">
        <w:rPr>
          <w:rFonts w:ascii="Times New Roman" w:hAnsi="Times New Roman" w:cs="Times New Roman"/>
        </w:rPr>
        <w:t xml:space="preserve">I the undersigned JAMES NQINDI do hereby make oath and solemnly state as follows: </w:t>
      </w:r>
    </w:p>
    <w:p w:rsidR="00173F1F" w:rsidRPr="00022C41" w:rsidRDefault="00173F1F" w:rsidP="005F45AF">
      <w:pPr>
        <w:spacing w:after="0" w:line="240" w:lineRule="auto"/>
        <w:ind w:left="1440"/>
        <w:jc w:val="both"/>
        <w:rPr>
          <w:rFonts w:ascii="Times New Roman" w:hAnsi="Times New Roman" w:cs="Times New Roman"/>
        </w:rPr>
      </w:pPr>
      <w:r w:rsidRPr="00022C41">
        <w:rPr>
          <w:rFonts w:ascii="Times New Roman" w:hAnsi="Times New Roman" w:cs="Times New Roman"/>
          <w:u w:val="single"/>
        </w:rPr>
        <w:t xml:space="preserve">I am the claimant’s authorised deponent </w:t>
      </w:r>
      <w:r w:rsidRPr="00022C41">
        <w:rPr>
          <w:rFonts w:ascii="Times New Roman" w:hAnsi="Times New Roman" w:cs="Times New Roman"/>
        </w:rPr>
        <w:t>and am properly and sufficiently seized with the facts deposed to hereunder.</w:t>
      </w:r>
    </w:p>
    <w:p w:rsidR="005F45AF" w:rsidRDefault="00173F1F" w:rsidP="005F45AF">
      <w:pPr>
        <w:spacing w:after="0" w:line="240" w:lineRule="auto"/>
        <w:ind w:left="1440"/>
        <w:jc w:val="both"/>
        <w:rPr>
          <w:rFonts w:ascii="Times New Roman" w:hAnsi="Times New Roman" w:cs="Times New Roman"/>
        </w:rPr>
      </w:pPr>
      <w:r w:rsidRPr="00022C41">
        <w:rPr>
          <w:rFonts w:ascii="Times New Roman" w:hAnsi="Times New Roman" w:cs="Times New Roman"/>
        </w:rPr>
        <w:t>The claimant opposes the attachment of its property. The claimant purchased several items and various times (</w:t>
      </w:r>
      <w:r w:rsidRPr="00022C41">
        <w:rPr>
          <w:rFonts w:ascii="Times New Roman" w:hAnsi="Times New Roman" w:cs="Times New Roman"/>
          <w:i/>
        </w:rPr>
        <w:t>sic</w:t>
      </w:r>
      <w:r w:rsidRPr="00022C41">
        <w:rPr>
          <w:rFonts w:ascii="Times New Roman" w:hAnsi="Times New Roman" w:cs="Times New Roman"/>
        </w:rPr>
        <w:t>) from Savannah Retail (Private) Limited. ….”</w:t>
      </w:r>
      <w:r>
        <w:rPr>
          <w:rFonts w:ascii="Times New Roman" w:hAnsi="Times New Roman" w:cs="Times New Roman"/>
        </w:rPr>
        <w:t xml:space="preserve"> (</w:t>
      </w:r>
      <w:r>
        <w:rPr>
          <w:rFonts w:ascii="Times New Roman" w:hAnsi="Times New Roman" w:cs="Times New Roman"/>
          <w:sz w:val="24"/>
          <w:szCs w:val="24"/>
        </w:rPr>
        <w:t>emphasis added).</w:t>
      </w:r>
      <w:r w:rsidRPr="00022C41">
        <w:rPr>
          <w:rFonts w:ascii="Times New Roman" w:hAnsi="Times New Roman" w:cs="Times New Roman"/>
        </w:rPr>
        <w:t xml:space="preserve"> </w:t>
      </w:r>
    </w:p>
    <w:p w:rsidR="008418B3" w:rsidRDefault="00173F1F" w:rsidP="005F45AF">
      <w:pPr>
        <w:spacing w:after="0" w:line="240" w:lineRule="auto"/>
        <w:ind w:left="1440"/>
        <w:jc w:val="both"/>
        <w:rPr>
          <w:rFonts w:ascii="Times New Roman" w:hAnsi="Times New Roman" w:cs="Times New Roman"/>
        </w:rPr>
      </w:pPr>
      <w:r w:rsidRPr="00022C41">
        <w:rPr>
          <w:rFonts w:ascii="Times New Roman" w:hAnsi="Times New Roman" w:cs="Times New Roman"/>
        </w:rPr>
        <w:t xml:space="preserve"> </w:t>
      </w:r>
    </w:p>
    <w:p w:rsidR="00173F1F" w:rsidRDefault="008418B3" w:rsidP="008418B3">
      <w:pPr>
        <w:spacing w:after="0" w:line="360" w:lineRule="auto"/>
        <w:jc w:val="both"/>
        <w:rPr>
          <w:rFonts w:ascii="Times New Roman" w:hAnsi="Times New Roman" w:cs="Times New Roman"/>
          <w:sz w:val="24"/>
          <w:szCs w:val="24"/>
        </w:rPr>
      </w:pPr>
      <w:r>
        <w:rPr>
          <w:rFonts w:ascii="Times New Roman" w:hAnsi="Times New Roman" w:cs="Times New Roman"/>
        </w:rPr>
        <w:tab/>
      </w:r>
      <w:r w:rsidR="00173F1F">
        <w:rPr>
          <w:rFonts w:ascii="Times New Roman" w:hAnsi="Times New Roman" w:cs="Times New Roman"/>
          <w:sz w:val="24"/>
          <w:szCs w:val="24"/>
        </w:rPr>
        <w:t>The fact that James Nqindi depose</w:t>
      </w:r>
      <w:r w:rsidR="005F45AF">
        <w:rPr>
          <w:rFonts w:ascii="Times New Roman" w:hAnsi="Times New Roman" w:cs="Times New Roman"/>
          <w:sz w:val="24"/>
          <w:szCs w:val="24"/>
        </w:rPr>
        <w:t>d</w:t>
      </w:r>
      <w:r w:rsidR="00173F1F">
        <w:rPr>
          <w:rFonts w:ascii="Times New Roman" w:hAnsi="Times New Roman" w:cs="Times New Roman"/>
          <w:sz w:val="24"/>
          <w:szCs w:val="24"/>
        </w:rPr>
        <w:t xml:space="preserve"> to an affidavit for the applicant and the judgment debtor at different times shows the collusion which the third respondent made mention of against the two. Neither the applicant nor the second respondent made any effort to explain away the observed matter. They cannot refute what is real.</w:t>
      </w:r>
    </w:p>
    <w:p w:rsidR="00721246" w:rsidRDefault="00173F1F" w:rsidP="00173F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remained alive to the fact that it is not the owner of the property which the first respondent attached. It realised that it was being economic with the truth when it stated in the affidavit which founded its claim</w:t>
      </w:r>
      <w:r w:rsidR="005F45AF">
        <w:rPr>
          <w:rFonts w:ascii="Times New Roman" w:hAnsi="Times New Roman" w:cs="Times New Roman"/>
          <w:sz w:val="24"/>
          <w:szCs w:val="24"/>
        </w:rPr>
        <w:t>,</w:t>
      </w:r>
      <w:r>
        <w:rPr>
          <w:rFonts w:ascii="Times New Roman" w:hAnsi="Times New Roman" w:cs="Times New Roman"/>
          <w:sz w:val="24"/>
          <w:szCs w:val="24"/>
        </w:rPr>
        <w:t xml:space="preserve"> that it owns the property. It is for the mentioned reason, if for no other, that it “</w:t>
      </w:r>
      <w:r w:rsidRPr="005F45AF">
        <w:rPr>
          <w:rFonts w:ascii="Times New Roman" w:hAnsi="Times New Roman" w:cs="Times New Roman"/>
          <w:i/>
          <w:sz w:val="24"/>
          <w:szCs w:val="24"/>
        </w:rPr>
        <w:t>sued</w:t>
      </w:r>
      <w:r>
        <w:rPr>
          <w:rFonts w:ascii="Times New Roman" w:hAnsi="Times New Roman" w:cs="Times New Roman"/>
          <w:sz w:val="24"/>
          <w:szCs w:val="24"/>
        </w:rPr>
        <w:t>”  the second respondent and later applied for summary judgment under HC 223/15.</w:t>
      </w:r>
      <w:r w:rsidR="005F45AF">
        <w:rPr>
          <w:rFonts w:ascii="Times New Roman" w:hAnsi="Times New Roman" w:cs="Times New Roman"/>
          <w:sz w:val="24"/>
          <w:szCs w:val="24"/>
        </w:rPr>
        <w:t xml:space="preserve"> </w:t>
      </w:r>
    </w:p>
    <w:p w:rsidR="00173F1F" w:rsidRDefault="00721246" w:rsidP="00173F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F45AF">
        <w:rPr>
          <w:rFonts w:ascii="Times New Roman" w:hAnsi="Times New Roman" w:cs="Times New Roman"/>
          <w:sz w:val="24"/>
          <w:szCs w:val="24"/>
        </w:rPr>
        <w:t>Two matters come clearly out of the circumstances which surround the application for summary judgment. These are that:</w:t>
      </w:r>
    </w:p>
    <w:p w:rsidR="005F45AF" w:rsidRDefault="005F45AF" w:rsidP="005F45A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was telling a falsehood when it stated, in the affidavits which related to the dismissed claim, that it was the owner of the attached property </w:t>
      </w:r>
      <w:r w:rsidR="00721246">
        <w:rPr>
          <w:rFonts w:ascii="Times New Roman" w:hAnsi="Times New Roman" w:cs="Times New Roman"/>
          <w:sz w:val="24"/>
          <w:szCs w:val="24"/>
        </w:rPr>
        <w:t xml:space="preserve">- </w:t>
      </w:r>
      <w:r>
        <w:rPr>
          <w:rFonts w:ascii="Times New Roman" w:hAnsi="Times New Roman" w:cs="Times New Roman"/>
          <w:sz w:val="24"/>
          <w:szCs w:val="24"/>
        </w:rPr>
        <w:t>and</w:t>
      </w:r>
    </w:p>
    <w:p w:rsidR="005F45AF" w:rsidRDefault="005F45AF" w:rsidP="005F45A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 applying for summary judgment as it did, the applicant intended to convince the court as  well as all and sundry that ownership of the property had been conferred to it in term</w:t>
      </w:r>
      <w:r w:rsidR="00721246">
        <w:rPr>
          <w:rFonts w:ascii="Times New Roman" w:hAnsi="Times New Roman" w:cs="Times New Roman"/>
          <w:sz w:val="24"/>
          <w:szCs w:val="24"/>
        </w:rPr>
        <w:t>s</w:t>
      </w:r>
      <w:r>
        <w:rPr>
          <w:rFonts w:ascii="Times New Roman" w:hAnsi="Times New Roman" w:cs="Times New Roman"/>
          <w:sz w:val="24"/>
          <w:szCs w:val="24"/>
        </w:rPr>
        <w:t xml:space="preserve"> of the order which it obtained under HC 223/15.</w:t>
      </w:r>
    </w:p>
    <w:p w:rsidR="005F45AF" w:rsidRDefault="000B7227" w:rsidP="005F45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F45AF">
        <w:rPr>
          <w:rFonts w:ascii="Times New Roman" w:hAnsi="Times New Roman" w:cs="Times New Roman"/>
          <w:sz w:val="24"/>
          <w:szCs w:val="24"/>
        </w:rPr>
        <w:t xml:space="preserve">I reiterate that ownership which false into the dispute of the present </w:t>
      </w:r>
      <w:r w:rsidR="00E65D01">
        <w:rPr>
          <w:rFonts w:ascii="Times New Roman" w:hAnsi="Times New Roman" w:cs="Times New Roman"/>
          <w:sz w:val="24"/>
          <w:szCs w:val="24"/>
        </w:rPr>
        <w:t>parties’</w:t>
      </w:r>
      <w:r w:rsidR="005F45AF">
        <w:rPr>
          <w:rFonts w:ascii="Times New Roman" w:hAnsi="Times New Roman" w:cs="Times New Roman"/>
          <w:sz w:val="24"/>
          <w:szCs w:val="24"/>
        </w:rPr>
        <w:t xml:space="preserve"> case </w:t>
      </w:r>
      <w:r w:rsidR="00721246">
        <w:rPr>
          <w:rFonts w:ascii="Times New Roman" w:hAnsi="Times New Roman" w:cs="Times New Roman"/>
          <w:sz w:val="24"/>
          <w:szCs w:val="24"/>
        </w:rPr>
        <w:t xml:space="preserve">- </w:t>
      </w:r>
      <w:r w:rsidR="005F45AF">
        <w:rPr>
          <w:rFonts w:ascii="Times New Roman" w:hAnsi="Times New Roman" w:cs="Times New Roman"/>
          <w:sz w:val="24"/>
          <w:szCs w:val="24"/>
        </w:rPr>
        <w:t xml:space="preserve">i.e applicant and third respondent </w:t>
      </w:r>
      <w:r w:rsidR="00721246">
        <w:rPr>
          <w:rFonts w:ascii="Times New Roman" w:hAnsi="Times New Roman" w:cs="Times New Roman"/>
          <w:sz w:val="24"/>
          <w:szCs w:val="24"/>
        </w:rPr>
        <w:t xml:space="preserve">- </w:t>
      </w:r>
      <w:r w:rsidR="005F45AF">
        <w:rPr>
          <w:rFonts w:ascii="Times New Roman" w:hAnsi="Times New Roman" w:cs="Times New Roman"/>
          <w:sz w:val="24"/>
          <w:szCs w:val="24"/>
        </w:rPr>
        <w:t xml:space="preserve">cannot be resolved through the procedure which the applicant adopted under HC 223/15. It can only be resolved through the issuance of an interpleader notice. That is so because the third respondent </w:t>
      </w:r>
      <w:r>
        <w:rPr>
          <w:rFonts w:ascii="Times New Roman" w:hAnsi="Times New Roman" w:cs="Times New Roman"/>
          <w:sz w:val="24"/>
          <w:szCs w:val="24"/>
        </w:rPr>
        <w:t>who has a real and substantial interest in the property cannot be left out in the cold. It remains in the equation until the matter is resolved with its participation in the same.</w:t>
      </w:r>
    </w:p>
    <w:p w:rsidR="00173F1F" w:rsidRDefault="000B7227" w:rsidP="00173F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73F1F">
        <w:rPr>
          <w:rFonts w:ascii="Times New Roman" w:hAnsi="Times New Roman" w:cs="Times New Roman"/>
          <w:sz w:val="24"/>
          <w:szCs w:val="24"/>
        </w:rPr>
        <w:t>HC 223/15 which the applicant intended to confer ownership of the attached property to it does not confer such. All it does is to direct the second respondent to honour its side of the contract within a stipulated period of time failing which the second respondent would be enjoined to refund the purchase price to the applicant with interest at the prescribed rate from 31 July, 2015 to the date of full and final payment of the same.</w:t>
      </w:r>
    </w:p>
    <w:p w:rsidR="00173F1F" w:rsidRDefault="00173F1F" w:rsidP="00173F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does not state that the second respondent complied with the order which the court entered against it under HC 223/15. The status </w:t>
      </w:r>
      <w:r>
        <w:rPr>
          <w:rFonts w:ascii="Times New Roman" w:hAnsi="Times New Roman" w:cs="Times New Roman"/>
          <w:i/>
          <w:sz w:val="24"/>
          <w:szCs w:val="24"/>
        </w:rPr>
        <w:t>quo ante</w:t>
      </w:r>
      <w:r>
        <w:rPr>
          <w:rFonts w:ascii="Times New Roman" w:hAnsi="Times New Roman" w:cs="Times New Roman"/>
          <w:sz w:val="24"/>
          <w:szCs w:val="24"/>
        </w:rPr>
        <w:t xml:space="preserve"> the order of 1 July, 2015, theref</w:t>
      </w:r>
      <w:r w:rsidR="008806D0">
        <w:rPr>
          <w:rFonts w:ascii="Times New Roman" w:hAnsi="Times New Roman" w:cs="Times New Roman"/>
          <w:sz w:val="24"/>
          <w:szCs w:val="24"/>
        </w:rPr>
        <w:t>ore</w:t>
      </w:r>
      <w:r>
        <w:rPr>
          <w:rFonts w:ascii="Times New Roman" w:hAnsi="Times New Roman" w:cs="Times New Roman"/>
          <w:sz w:val="24"/>
          <w:szCs w:val="24"/>
        </w:rPr>
        <w:t>, obtains. The stated matter leaves the applicant with no option but to enforce the alternative order of the court. That avenue remains open to it.</w:t>
      </w:r>
    </w:p>
    <w:p w:rsidR="00173F1F" w:rsidRDefault="00173F1F" w:rsidP="00173F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Pr>
          <w:rFonts w:ascii="Times New Roman" w:hAnsi="Times New Roman" w:cs="Times New Roman"/>
          <w:i/>
          <w:sz w:val="24"/>
          <w:szCs w:val="24"/>
        </w:rPr>
        <w:t>in limine</w:t>
      </w:r>
      <w:r>
        <w:rPr>
          <w:rFonts w:ascii="Times New Roman" w:hAnsi="Times New Roman" w:cs="Times New Roman"/>
          <w:sz w:val="24"/>
          <w:szCs w:val="24"/>
        </w:rPr>
        <w:t xml:space="preserve"> matter which the applicant raised in its Heads is neither here nor there. It acknowledges the existence of the third respondent. It states in its affidavit which appears at p 9 of the record, and in para 4 of the same</w:t>
      </w:r>
      <w:r w:rsidR="00721246">
        <w:rPr>
          <w:rFonts w:ascii="Times New Roman" w:hAnsi="Times New Roman" w:cs="Times New Roman"/>
          <w:sz w:val="24"/>
          <w:szCs w:val="24"/>
        </w:rPr>
        <w:t>,</w:t>
      </w:r>
      <w:r>
        <w:rPr>
          <w:rFonts w:ascii="Times New Roman" w:hAnsi="Times New Roman" w:cs="Times New Roman"/>
          <w:sz w:val="24"/>
          <w:szCs w:val="24"/>
        </w:rPr>
        <w:t xml:space="preserve"> that it advised the judgment creditor prior to the attachment of its claim to the property</w:t>
      </w:r>
      <w:r w:rsidR="008806D0">
        <w:rPr>
          <w:rFonts w:ascii="Times New Roman" w:hAnsi="Times New Roman" w:cs="Times New Roman"/>
          <w:sz w:val="24"/>
          <w:szCs w:val="24"/>
        </w:rPr>
        <w:t xml:space="preserve"> that the property belonged to it</w:t>
      </w:r>
      <w:r>
        <w:rPr>
          <w:rFonts w:ascii="Times New Roman" w:hAnsi="Times New Roman" w:cs="Times New Roman"/>
          <w:sz w:val="24"/>
          <w:szCs w:val="24"/>
        </w:rPr>
        <w:t>.</w:t>
      </w:r>
    </w:p>
    <w:p w:rsidR="00173F1F" w:rsidRDefault="00173F1F" w:rsidP="00173F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third respondent sufficiently addressed the mentioned </w:t>
      </w:r>
      <w:r>
        <w:rPr>
          <w:rFonts w:ascii="Times New Roman" w:hAnsi="Times New Roman" w:cs="Times New Roman"/>
          <w:i/>
          <w:sz w:val="24"/>
          <w:szCs w:val="24"/>
        </w:rPr>
        <w:t>in limine</w:t>
      </w:r>
      <w:r>
        <w:rPr>
          <w:rFonts w:ascii="Times New Roman" w:hAnsi="Times New Roman" w:cs="Times New Roman"/>
          <w:sz w:val="24"/>
          <w:szCs w:val="24"/>
        </w:rPr>
        <w:t xml:space="preserve"> matter in its</w:t>
      </w:r>
      <w:r w:rsidR="008806D0">
        <w:rPr>
          <w:rFonts w:ascii="Times New Roman" w:hAnsi="Times New Roman" w:cs="Times New Roman"/>
          <w:sz w:val="24"/>
          <w:szCs w:val="24"/>
        </w:rPr>
        <w:t xml:space="preserve"> opposing affidavit as well as </w:t>
      </w:r>
      <w:r w:rsidR="00721246">
        <w:rPr>
          <w:rFonts w:ascii="Times New Roman" w:hAnsi="Times New Roman" w:cs="Times New Roman"/>
          <w:sz w:val="24"/>
          <w:szCs w:val="24"/>
        </w:rPr>
        <w:t xml:space="preserve">in </w:t>
      </w:r>
      <w:r w:rsidR="008806D0">
        <w:rPr>
          <w:rFonts w:ascii="Times New Roman" w:hAnsi="Times New Roman" w:cs="Times New Roman"/>
          <w:sz w:val="24"/>
          <w:szCs w:val="24"/>
        </w:rPr>
        <w:t>its h</w:t>
      </w:r>
      <w:r>
        <w:rPr>
          <w:rFonts w:ascii="Times New Roman" w:hAnsi="Times New Roman" w:cs="Times New Roman"/>
          <w:sz w:val="24"/>
          <w:szCs w:val="24"/>
        </w:rPr>
        <w:t xml:space="preserve">eads. It states that all the </w:t>
      </w:r>
      <w:r w:rsidR="008806D0">
        <w:rPr>
          <w:rFonts w:ascii="Times New Roman" w:hAnsi="Times New Roman" w:cs="Times New Roman"/>
          <w:sz w:val="24"/>
          <w:szCs w:val="24"/>
        </w:rPr>
        <w:t>persons</w:t>
      </w:r>
      <w:r>
        <w:rPr>
          <w:rFonts w:ascii="Times New Roman" w:hAnsi="Times New Roman" w:cs="Times New Roman"/>
          <w:sz w:val="24"/>
          <w:szCs w:val="24"/>
        </w:rPr>
        <w:t xml:space="preserve"> who constitute the third respondent are clearly cited in the application which it filed for registration of the arbitral award. It state</w:t>
      </w:r>
      <w:r w:rsidR="008806D0">
        <w:rPr>
          <w:rFonts w:ascii="Times New Roman" w:hAnsi="Times New Roman" w:cs="Times New Roman"/>
          <w:sz w:val="24"/>
          <w:szCs w:val="24"/>
        </w:rPr>
        <w:t>s</w:t>
      </w:r>
      <w:r>
        <w:rPr>
          <w:rFonts w:ascii="Times New Roman" w:hAnsi="Times New Roman" w:cs="Times New Roman"/>
          <w:sz w:val="24"/>
          <w:szCs w:val="24"/>
        </w:rPr>
        <w:t xml:space="preserve">, and correctly so, that they are part of the award. </w:t>
      </w:r>
    </w:p>
    <w:p w:rsidR="008806D0" w:rsidRDefault="00173F1F" w:rsidP="00BB6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took the liberty to read HC 4811/13 which is the third respondent’s application for registration of the arbitral award. I remain satisfied that all the thirty-eight (38) persons who are referred to as the third respondent are cited in the case. I am, therefore, satisfied that the applicant’s </w:t>
      </w:r>
      <w:r>
        <w:rPr>
          <w:rFonts w:ascii="Times New Roman" w:hAnsi="Times New Roman" w:cs="Times New Roman"/>
          <w:i/>
          <w:sz w:val="24"/>
          <w:szCs w:val="24"/>
        </w:rPr>
        <w:t xml:space="preserve">in limine </w:t>
      </w:r>
      <w:r>
        <w:rPr>
          <w:rFonts w:ascii="Times New Roman" w:hAnsi="Times New Roman" w:cs="Times New Roman"/>
          <w:sz w:val="24"/>
          <w:szCs w:val="24"/>
        </w:rPr>
        <w:t xml:space="preserve">matter has no merit. </w:t>
      </w:r>
    </w:p>
    <w:p w:rsidR="00BB6F52" w:rsidRDefault="008806D0" w:rsidP="00BB6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B6F52">
        <w:rPr>
          <w:rFonts w:ascii="Times New Roman" w:hAnsi="Times New Roman" w:cs="Times New Roman"/>
          <w:sz w:val="24"/>
          <w:szCs w:val="24"/>
        </w:rPr>
        <w:t xml:space="preserve">Given the length of time that the parties’ case has remained on the rolls of this court as well as the fact that the applicant fails to meet any of the requirements of the principles which relate to the determination of this case as </w:t>
      </w:r>
      <w:r w:rsidR="00721246">
        <w:rPr>
          <w:rFonts w:ascii="Times New Roman" w:hAnsi="Times New Roman" w:cs="Times New Roman"/>
          <w:sz w:val="24"/>
          <w:szCs w:val="24"/>
        </w:rPr>
        <w:t>enunciated</w:t>
      </w:r>
      <w:r w:rsidR="00BB6F52">
        <w:rPr>
          <w:rFonts w:ascii="Times New Roman" w:hAnsi="Times New Roman" w:cs="Times New Roman"/>
          <w:sz w:val="24"/>
          <w:szCs w:val="24"/>
        </w:rPr>
        <w:t xml:space="preserve"> in the above cited case </w:t>
      </w:r>
      <w:r w:rsidR="00BB6F52">
        <w:rPr>
          <w:rFonts w:ascii="Times New Roman" w:hAnsi="Times New Roman" w:cs="Times New Roman"/>
          <w:sz w:val="24"/>
          <w:szCs w:val="24"/>
        </w:rPr>
        <w:lastRenderedPageBreak/>
        <w:t xml:space="preserve">authorities, the application cannot stand. It is, therefore, only fair to stress that the balance of convenience favours its dismissal. The applicant, it has already been observed, does not own the property which the third respondent attached. It is colluding with the judgment debtor. HC 223/15 upon which it relies </w:t>
      </w:r>
      <w:r w:rsidR="00721246">
        <w:rPr>
          <w:rFonts w:ascii="Times New Roman" w:hAnsi="Times New Roman" w:cs="Times New Roman"/>
          <w:sz w:val="24"/>
          <w:szCs w:val="24"/>
        </w:rPr>
        <w:t xml:space="preserve">for its claim to the property </w:t>
      </w:r>
      <w:r w:rsidR="00BB6F52">
        <w:rPr>
          <w:rFonts w:ascii="Times New Roman" w:hAnsi="Times New Roman" w:cs="Times New Roman"/>
          <w:sz w:val="24"/>
          <w:szCs w:val="24"/>
        </w:rPr>
        <w:t xml:space="preserve">does not support its position. Its degree of non-compliance with the rules of court is </w:t>
      </w:r>
      <w:r w:rsidR="00721246">
        <w:rPr>
          <w:rFonts w:ascii="Times New Roman" w:hAnsi="Times New Roman" w:cs="Times New Roman"/>
          <w:sz w:val="24"/>
          <w:szCs w:val="24"/>
        </w:rPr>
        <w:t>in</w:t>
      </w:r>
      <w:r w:rsidR="00BB6F52">
        <w:rPr>
          <w:rFonts w:ascii="Times New Roman" w:hAnsi="Times New Roman" w:cs="Times New Roman"/>
          <w:sz w:val="24"/>
          <w:szCs w:val="24"/>
        </w:rPr>
        <w:t xml:space="preserve">excusable. The explanation which it advanced for the same is </w:t>
      </w:r>
      <w:r>
        <w:rPr>
          <w:rFonts w:ascii="Times New Roman" w:hAnsi="Times New Roman" w:cs="Times New Roman"/>
          <w:sz w:val="24"/>
          <w:szCs w:val="24"/>
        </w:rPr>
        <w:t>incomprehensible</w:t>
      </w:r>
      <w:r w:rsidR="00BB6F52">
        <w:rPr>
          <w:rFonts w:ascii="Times New Roman" w:hAnsi="Times New Roman" w:cs="Times New Roman"/>
          <w:sz w:val="24"/>
          <w:szCs w:val="24"/>
        </w:rPr>
        <w:t>. The third respondent has, no doubt, been extremely prejudiced by the applicant’s cavalier approach to the case.</w:t>
      </w:r>
    </w:p>
    <w:p w:rsidR="00BB6F52" w:rsidRDefault="00BB6F52" w:rsidP="00BB6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failed to prove its case on a balance of probabilities. The application is, in the premise, dismissed with costs.</w:t>
      </w:r>
    </w:p>
    <w:p w:rsidR="00173F1F" w:rsidRPr="00022C41" w:rsidRDefault="00173F1F" w:rsidP="00173F1F">
      <w:pPr>
        <w:spacing w:after="0" w:line="360" w:lineRule="auto"/>
        <w:jc w:val="both"/>
        <w:rPr>
          <w:rFonts w:ascii="Times New Roman" w:hAnsi="Times New Roman" w:cs="Times New Roman"/>
        </w:rPr>
      </w:pPr>
    </w:p>
    <w:p w:rsidR="00173F1F" w:rsidRDefault="00173F1F" w:rsidP="00603CCB">
      <w:pPr>
        <w:spacing w:line="360" w:lineRule="auto"/>
        <w:jc w:val="both"/>
        <w:rPr>
          <w:rFonts w:ascii="Times New Roman" w:hAnsi="Times New Roman" w:cs="Times New Roman"/>
          <w:sz w:val="24"/>
          <w:szCs w:val="24"/>
        </w:rPr>
      </w:pPr>
    </w:p>
    <w:p w:rsidR="005D1D31" w:rsidRDefault="005D1D31" w:rsidP="00603CCB">
      <w:pPr>
        <w:spacing w:line="360" w:lineRule="auto"/>
        <w:jc w:val="both"/>
        <w:rPr>
          <w:rFonts w:ascii="Times New Roman" w:hAnsi="Times New Roman" w:cs="Times New Roman"/>
          <w:sz w:val="24"/>
          <w:szCs w:val="24"/>
        </w:rPr>
      </w:pPr>
    </w:p>
    <w:p w:rsidR="005D1D31" w:rsidRDefault="005D1D31" w:rsidP="005D1D31">
      <w:pPr>
        <w:spacing w:after="0" w:line="240" w:lineRule="auto"/>
        <w:jc w:val="both"/>
        <w:rPr>
          <w:rFonts w:ascii="Times New Roman" w:hAnsi="Times New Roman" w:cs="Times New Roman"/>
          <w:sz w:val="24"/>
          <w:szCs w:val="24"/>
        </w:rPr>
      </w:pPr>
      <w:r w:rsidRPr="005D1D31">
        <w:rPr>
          <w:rFonts w:ascii="Times New Roman" w:hAnsi="Times New Roman" w:cs="Times New Roman"/>
          <w:i/>
          <w:sz w:val="24"/>
          <w:szCs w:val="24"/>
        </w:rPr>
        <w:t>Mushoriwa Pasi Legal Practitioners</w:t>
      </w:r>
      <w:r>
        <w:rPr>
          <w:rFonts w:ascii="Times New Roman" w:hAnsi="Times New Roman" w:cs="Times New Roman"/>
          <w:sz w:val="24"/>
          <w:szCs w:val="24"/>
        </w:rPr>
        <w:t>, applicant’s legal practitioners</w:t>
      </w:r>
    </w:p>
    <w:p w:rsidR="005D1D31" w:rsidRPr="00603CCB" w:rsidRDefault="005D1D31" w:rsidP="005D1D31">
      <w:pPr>
        <w:spacing w:after="0" w:line="240" w:lineRule="auto"/>
        <w:jc w:val="both"/>
        <w:rPr>
          <w:rFonts w:ascii="Times New Roman" w:hAnsi="Times New Roman" w:cs="Times New Roman"/>
          <w:sz w:val="24"/>
          <w:szCs w:val="24"/>
        </w:rPr>
      </w:pPr>
      <w:r w:rsidRPr="005D1D31">
        <w:rPr>
          <w:rFonts w:ascii="Times New Roman" w:hAnsi="Times New Roman" w:cs="Times New Roman"/>
          <w:i/>
          <w:sz w:val="24"/>
          <w:szCs w:val="24"/>
        </w:rPr>
        <w:t>Musoni Masasire Legal Practitioners</w:t>
      </w:r>
      <w:r>
        <w:rPr>
          <w:rFonts w:ascii="Times New Roman" w:hAnsi="Times New Roman" w:cs="Times New Roman"/>
          <w:sz w:val="24"/>
          <w:szCs w:val="24"/>
        </w:rPr>
        <w:t>, 2</w:t>
      </w:r>
      <w:r w:rsidRPr="005D1D3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 </w:t>
      </w:r>
    </w:p>
    <w:sectPr w:rsidR="005D1D31" w:rsidRPr="00603CCB">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AC3" w:rsidRDefault="007D1AC3" w:rsidP="003627AA">
      <w:pPr>
        <w:spacing w:after="0" w:line="240" w:lineRule="auto"/>
      </w:pPr>
      <w:r>
        <w:separator/>
      </w:r>
    </w:p>
  </w:endnote>
  <w:endnote w:type="continuationSeparator" w:id="0">
    <w:p w:rsidR="007D1AC3" w:rsidRDefault="007D1AC3" w:rsidP="00362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AC3" w:rsidRDefault="007D1AC3" w:rsidP="003627AA">
      <w:pPr>
        <w:spacing w:after="0" w:line="240" w:lineRule="auto"/>
      </w:pPr>
      <w:r>
        <w:separator/>
      </w:r>
    </w:p>
  </w:footnote>
  <w:footnote w:type="continuationSeparator" w:id="0">
    <w:p w:rsidR="007D1AC3" w:rsidRDefault="007D1AC3" w:rsidP="00362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803931"/>
      <w:docPartObj>
        <w:docPartGallery w:val="Page Numbers (Top of Page)"/>
        <w:docPartUnique/>
      </w:docPartObj>
    </w:sdtPr>
    <w:sdtEndPr>
      <w:rPr>
        <w:noProof/>
      </w:rPr>
    </w:sdtEndPr>
    <w:sdtContent>
      <w:p w:rsidR="003627AA" w:rsidRDefault="003627AA">
        <w:pPr>
          <w:pStyle w:val="Header"/>
          <w:jc w:val="right"/>
          <w:rPr>
            <w:noProof/>
          </w:rPr>
        </w:pPr>
        <w:r>
          <w:fldChar w:fldCharType="begin"/>
        </w:r>
        <w:r>
          <w:instrText xml:space="preserve"> PAGE   \* MERGEFORMAT </w:instrText>
        </w:r>
        <w:r>
          <w:fldChar w:fldCharType="separate"/>
        </w:r>
        <w:r w:rsidR="00DF59E8">
          <w:rPr>
            <w:noProof/>
          </w:rPr>
          <w:t>1</w:t>
        </w:r>
        <w:r>
          <w:rPr>
            <w:noProof/>
          </w:rPr>
          <w:fldChar w:fldCharType="end"/>
        </w:r>
      </w:p>
      <w:p w:rsidR="003627AA" w:rsidRDefault="003627AA">
        <w:pPr>
          <w:pStyle w:val="Header"/>
          <w:jc w:val="right"/>
          <w:rPr>
            <w:noProof/>
          </w:rPr>
        </w:pPr>
        <w:r>
          <w:rPr>
            <w:noProof/>
          </w:rPr>
          <w:t>HH</w:t>
        </w:r>
        <w:r w:rsidR="00022366">
          <w:rPr>
            <w:noProof/>
          </w:rPr>
          <w:t xml:space="preserve"> 525/18</w:t>
        </w:r>
      </w:p>
      <w:p w:rsidR="003627AA" w:rsidRDefault="003627AA">
        <w:pPr>
          <w:pStyle w:val="Header"/>
          <w:jc w:val="right"/>
        </w:pPr>
        <w:r>
          <w:rPr>
            <w:noProof/>
          </w:rPr>
          <w:t>HC 759/16</w:t>
        </w:r>
      </w:p>
    </w:sdtContent>
  </w:sdt>
  <w:p w:rsidR="003627AA" w:rsidRDefault="003627A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14B0B"/>
    <w:multiLevelType w:val="hybridMultilevel"/>
    <w:tmpl w:val="30B8824E"/>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516F5D2F"/>
    <w:multiLevelType w:val="hybridMultilevel"/>
    <w:tmpl w:val="431881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4A8"/>
    <w:rsid w:val="00015210"/>
    <w:rsid w:val="00022366"/>
    <w:rsid w:val="000374A8"/>
    <w:rsid w:val="0006200A"/>
    <w:rsid w:val="00082A7A"/>
    <w:rsid w:val="000B7227"/>
    <w:rsid w:val="00161B85"/>
    <w:rsid w:val="00173F1F"/>
    <w:rsid w:val="001764B0"/>
    <w:rsid w:val="001A45E6"/>
    <w:rsid w:val="00250725"/>
    <w:rsid w:val="0025441F"/>
    <w:rsid w:val="00352273"/>
    <w:rsid w:val="003627AA"/>
    <w:rsid w:val="00397090"/>
    <w:rsid w:val="003A0EBA"/>
    <w:rsid w:val="00451CF4"/>
    <w:rsid w:val="005230E4"/>
    <w:rsid w:val="00524DF2"/>
    <w:rsid w:val="00547B20"/>
    <w:rsid w:val="00577B39"/>
    <w:rsid w:val="00581C9F"/>
    <w:rsid w:val="005D1D31"/>
    <w:rsid w:val="005F2768"/>
    <w:rsid w:val="005F45AF"/>
    <w:rsid w:val="00603CCB"/>
    <w:rsid w:val="0061326F"/>
    <w:rsid w:val="00630914"/>
    <w:rsid w:val="0065299E"/>
    <w:rsid w:val="006C2EDE"/>
    <w:rsid w:val="00721246"/>
    <w:rsid w:val="00735199"/>
    <w:rsid w:val="00741051"/>
    <w:rsid w:val="007557EB"/>
    <w:rsid w:val="007715B3"/>
    <w:rsid w:val="007D1AC3"/>
    <w:rsid w:val="007E3D02"/>
    <w:rsid w:val="008418B3"/>
    <w:rsid w:val="008806D0"/>
    <w:rsid w:val="00895CEA"/>
    <w:rsid w:val="009B5E15"/>
    <w:rsid w:val="009F7A9D"/>
    <w:rsid w:val="00AF50AC"/>
    <w:rsid w:val="00BB6F52"/>
    <w:rsid w:val="00C7724C"/>
    <w:rsid w:val="00C9079D"/>
    <w:rsid w:val="00CB36E0"/>
    <w:rsid w:val="00DF59E8"/>
    <w:rsid w:val="00E46354"/>
    <w:rsid w:val="00E50BAC"/>
    <w:rsid w:val="00E65D01"/>
    <w:rsid w:val="00FA525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D606D4-E147-425F-B9BB-1FD0FB4C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24C"/>
    <w:pPr>
      <w:ind w:left="720"/>
      <w:contextualSpacing/>
    </w:pPr>
  </w:style>
  <w:style w:type="paragraph" w:styleId="Header">
    <w:name w:val="header"/>
    <w:basedOn w:val="Normal"/>
    <w:link w:val="HeaderChar"/>
    <w:uiPriority w:val="99"/>
    <w:unhideWhenUsed/>
    <w:rsid w:val="003627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7AA"/>
  </w:style>
  <w:style w:type="paragraph" w:styleId="Footer">
    <w:name w:val="footer"/>
    <w:basedOn w:val="Normal"/>
    <w:link w:val="FooterChar"/>
    <w:uiPriority w:val="99"/>
    <w:unhideWhenUsed/>
    <w:rsid w:val="003627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3197</Words>
  <Characters>18228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2018-09-13T08:00:00Z</dcterms:created>
  <dcterms:modified xsi:type="dcterms:W3CDTF">2018-09-13T08:00:00Z</dcterms:modified>
</cp:coreProperties>
</file>