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D4" w:rsidRDefault="00C90762" w:rsidP="00C9076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FALCON GOLD ZIMBABWE LIMITED</w:t>
      </w:r>
    </w:p>
    <w:p w:rsidR="00C90762" w:rsidRDefault="00C90762" w:rsidP="00C9076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90762" w:rsidRDefault="00C90762" w:rsidP="00C90762">
      <w:pPr>
        <w:spacing w:after="0" w:line="240" w:lineRule="auto"/>
        <w:rPr>
          <w:rFonts w:ascii="Times New Roman" w:hAnsi="Times New Roman" w:cs="Times New Roman"/>
          <w:sz w:val="24"/>
          <w:szCs w:val="24"/>
        </w:rPr>
      </w:pPr>
      <w:r>
        <w:rPr>
          <w:rFonts w:ascii="Times New Roman" w:hAnsi="Times New Roman" w:cs="Times New Roman"/>
          <w:sz w:val="24"/>
          <w:szCs w:val="24"/>
        </w:rPr>
        <w:t>INYAMAZANE GOLD (PRIVATE) LIMITED</w:t>
      </w:r>
    </w:p>
    <w:p w:rsidR="00C90762" w:rsidRDefault="00C90762" w:rsidP="00C9076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77A9D" w:rsidRDefault="00C90762" w:rsidP="00C90762">
      <w:pPr>
        <w:spacing w:after="0" w:line="240" w:lineRule="auto"/>
        <w:rPr>
          <w:rFonts w:ascii="Times New Roman" w:hAnsi="Times New Roman" w:cs="Times New Roman"/>
          <w:sz w:val="24"/>
          <w:szCs w:val="24"/>
        </w:rPr>
      </w:pPr>
      <w:r>
        <w:rPr>
          <w:rFonts w:ascii="Times New Roman" w:hAnsi="Times New Roman" w:cs="Times New Roman"/>
          <w:sz w:val="24"/>
          <w:szCs w:val="24"/>
        </w:rPr>
        <w:t>FISANI MOYO</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IRVINE NGWENYA</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SAMSON NGWENYA</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ANDILE DHLAMINI</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SHINGAI MOYO</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TAKUNDA HATINA</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ELVIS MOYO</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DECEND MOYO</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LONDILE MOYO</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PHILASI NCUBE</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JOHN MOYO</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THE PROVINCIAL MINING DIRECTOR,</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MATEBELELAND MINING DIRECTOR N.O</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77A9D" w:rsidRDefault="00577A9D" w:rsidP="00577A9D">
      <w:pPr>
        <w:spacing w:after="0" w:line="240" w:lineRule="auto"/>
        <w:rPr>
          <w:rFonts w:ascii="Times New Roman" w:hAnsi="Times New Roman" w:cs="Times New Roman"/>
          <w:sz w:val="24"/>
          <w:szCs w:val="24"/>
        </w:rPr>
      </w:pPr>
      <w:r>
        <w:rPr>
          <w:rFonts w:ascii="Times New Roman" w:hAnsi="Times New Roman" w:cs="Times New Roman"/>
          <w:sz w:val="24"/>
          <w:szCs w:val="24"/>
        </w:rPr>
        <w:t>MINISTER OF MINES AND MINING DEVELOPMENT</w:t>
      </w:r>
    </w:p>
    <w:p w:rsidR="00577A9D" w:rsidRDefault="00577A9D" w:rsidP="00577A9D">
      <w:pPr>
        <w:spacing w:after="0" w:line="240" w:lineRule="auto"/>
        <w:rPr>
          <w:rFonts w:ascii="Times New Roman" w:hAnsi="Times New Roman" w:cs="Times New Roman"/>
          <w:sz w:val="24"/>
          <w:szCs w:val="24"/>
        </w:rPr>
      </w:pPr>
    </w:p>
    <w:p w:rsidR="00577A9D" w:rsidRDefault="00577A9D" w:rsidP="00577A9D">
      <w:pPr>
        <w:spacing w:after="0" w:line="240" w:lineRule="auto"/>
        <w:rPr>
          <w:rFonts w:ascii="Times New Roman" w:hAnsi="Times New Roman" w:cs="Times New Roman"/>
          <w:sz w:val="24"/>
          <w:szCs w:val="24"/>
        </w:rPr>
      </w:pPr>
    </w:p>
    <w:p w:rsidR="00C90762" w:rsidRDefault="00C90762" w:rsidP="00C9076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90762" w:rsidRDefault="00C90762" w:rsidP="00C90762">
      <w:pPr>
        <w:spacing w:after="0" w:line="240" w:lineRule="auto"/>
        <w:rPr>
          <w:rFonts w:ascii="Times New Roman" w:hAnsi="Times New Roman" w:cs="Times New Roman"/>
          <w:sz w:val="24"/>
          <w:szCs w:val="24"/>
        </w:rPr>
      </w:pPr>
      <w:r>
        <w:rPr>
          <w:rFonts w:ascii="Times New Roman" w:hAnsi="Times New Roman" w:cs="Times New Roman"/>
          <w:sz w:val="24"/>
          <w:szCs w:val="24"/>
        </w:rPr>
        <w:t>ZHOU J</w:t>
      </w:r>
    </w:p>
    <w:p w:rsidR="00C90762" w:rsidRDefault="00C90762" w:rsidP="00C90762">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69747B">
        <w:rPr>
          <w:rFonts w:ascii="Times New Roman" w:hAnsi="Times New Roman" w:cs="Times New Roman"/>
          <w:sz w:val="24"/>
          <w:szCs w:val="24"/>
        </w:rPr>
        <w:t>,</w:t>
      </w:r>
      <w:r>
        <w:rPr>
          <w:rFonts w:ascii="Times New Roman" w:hAnsi="Times New Roman" w:cs="Times New Roman"/>
          <w:sz w:val="24"/>
          <w:szCs w:val="24"/>
        </w:rPr>
        <w:t xml:space="preserve"> 19 October 2023</w:t>
      </w:r>
    </w:p>
    <w:p w:rsidR="00C90762" w:rsidRDefault="00C90762" w:rsidP="00C90762">
      <w:pPr>
        <w:spacing w:after="0" w:line="240" w:lineRule="auto"/>
        <w:rPr>
          <w:rFonts w:ascii="Times New Roman" w:hAnsi="Times New Roman" w:cs="Times New Roman"/>
          <w:sz w:val="24"/>
          <w:szCs w:val="24"/>
        </w:rPr>
      </w:pPr>
    </w:p>
    <w:p w:rsidR="00C90762" w:rsidRDefault="00C90762" w:rsidP="00C90762">
      <w:pPr>
        <w:spacing w:after="0" w:line="240" w:lineRule="auto"/>
        <w:rPr>
          <w:rFonts w:ascii="Times New Roman" w:hAnsi="Times New Roman" w:cs="Times New Roman"/>
          <w:sz w:val="24"/>
          <w:szCs w:val="24"/>
        </w:rPr>
      </w:pPr>
    </w:p>
    <w:p w:rsidR="00C90762" w:rsidRDefault="00C90762" w:rsidP="00C90762">
      <w:pPr>
        <w:spacing w:after="0" w:line="240" w:lineRule="auto"/>
        <w:rPr>
          <w:rFonts w:ascii="Times New Roman" w:hAnsi="Times New Roman" w:cs="Times New Roman"/>
          <w:b/>
          <w:sz w:val="24"/>
          <w:szCs w:val="24"/>
        </w:rPr>
      </w:pPr>
      <w:r w:rsidRPr="00C90762">
        <w:rPr>
          <w:rFonts w:ascii="Times New Roman" w:hAnsi="Times New Roman" w:cs="Times New Roman"/>
          <w:b/>
          <w:sz w:val="24"/>
          <w:szCs w:val="24"/>
        </w:rPr>
        <w:t>Judgment in respect of application for recusal</w:t>
      </w:r>
    </w:p>
    <w:p w:rsidR="00C90762" w:rsidRDefault="00C90762" w:rsidP="00C90762">
      <w:pPr>
        <w:spacing w:after="0" w:line="240" w:lineRule="auto"/>
        <w:rPr>
          <w:rFonts w:ascii="Times New Roman" w:hAnsi="Times New Roman" w:cs="Times New Roman"/>
          <w:b/>
          <w:sz w:val="24"/>
          <w:szCs w:val="24"/>
        </w:rPr>
      </w:pPr>
    </w:p>
    <w:p w:rsidR="00C90762" w:rsidRDefault="00C90762" w:rsidP="00C90762">
      <w:pPr>
        <w:spacing w:after="0" w:line="240" w:lineRule="auto"/>
        <w:rPr>
          <w:rFonts w:ascii="Times New Roman" w:hAnsi="Times New Roman" w:cs="Times New Roman"/>
          <w:b/>
          <w:sz w:val="24"/>
          <w:szCs w:val="24"/>
        </w:rPr>
      </w:pPr>
    </w:p>
    <w:p w:rsidR="00C90762" w:rsidRPr="00C90762" w:rsidRDefault="00C90762" w:rsidP="00C90762">
      <w:pPr>
        <w:spacing w:after="0" w:line="240" w:lineRule="auto"/>
        <w:rPr>
          <w:rFonts w:ascii="Times New Roman" w:hAnsi="Times New Roman" w:cs="Times New Roman"/>
          <w:sz w:val="24"/>
          <w:szCs w:val="24"/>
        </w:rPr>
      </w:pPr>
      <w:r w:rsidRPr="00C90762">
        <w:rPr>
          <w:rFonts w:ascii="Times New Roman" w:hAnsi="Times New Roman" w:cs="Times New Roman"/>
          <w:i/>
          <w:sz w:val="24"/>
          <w:szCs w:val="24"/>
        </w:rPr>
        <w:t>B K Mataruka</w:t>
      </w:r>
      <w:r w:rsidRPr="00C90762">
        <w:rPr>
          <w:rFonts w:ascii="Times New Roman" w:hAnsi="Times New Roman" w:cs="Times New Roman"/>
          <w:sz w:val="24"/>
          <w:szCs w:val="24"/>
        </w:rPr>
        <w:t>, fo r the applicant</w:t>
      </w:r>
    </w:p>
    <w:p w:rsidR="00C90762" w:rsidRDefault="00C90762" w:rsidP="00C90762">
      <w:pPr>
        <w:spacing w:after="0" w:line="240" w:lineRule="auto"/>
        <w:rPr>
          <w:rFonts w:ascii="Times New Roman" w:hAnsi="Times New Roman" w:cs="Times New Roman"/>
          <w:sz w:val="24"/>
          <w:szCs w:val="24"/>
        </w:rPr>
      </w:pPr>
      <w:r w:rsidRPr="00C90762">
        <w:rPr>
          <w:rFonts w:ascii="Times New Roman" w:hAnsi="Times New Roman" w:cs="Times New Roman"/>
          <w:i/>
          <w:sz w:val="24"/>
          <w:szCs w:val="24"/>
        </w:rPr>
        <w:t>D Dube</w:t>
      </w:r>
      <w:r>
        <w:rPr>
          <w:rFonts w:ascii="Times New Roman" w:hAnsi="Times New Roman" w:cs="Times New Roman"/>
          <w:sz w:val="24"/>
          <w:szCs w:val="24"/>
        </w:rPr>
        <w:t>,</w:t>
      </w:r>
      <w:r w:rsidRPr="00C90762">
        <w:rPr>
          <w:rFonts w:ascii="Times New Roman" w:hAnsi="Times New Roman" w:cs="Times New Roman"/>
          <w:sz w:val="24"/>
          <w:szCs w:val="24"/>
        </w:rPr>
        <w:t xml:space="preserve"> for 1</w:t>
      </w:r>
      <w:r w:rsidRPr="00C90762">
        <w:rPr>
          <w:rFonts w:ascii="Times New Roman" w:hAnsi="Times New Roman" w:cs="Times New Roman"/>
          <w:sz w:val="24"/>
          <w:szCs w:val="24"/>
          <w:vertAlign w:val="superscript"/>
        </w:rPr>
        <w:t>st</w:t>
      </w:r>
      <w:r w:rsidRPr="00C90762">
        <w:rPr>
          <w:rFonts w:ascii="Times New Roman" w:hAnsi="Times New Roman" w:cs="Times New Roman"/>
          <w:sz w:val="24"/>
          <w:szCs w:val="24"/>
        </w:rPr>
        <w:t xml:space="preserve"> – 10</w:t>
      </w:r>
      <w:r w:rsidRPr="00C90762">
        <w:rPr>
          <w:rFonts w:ascii="Times New Roman" w:hAnsi="Times New Roman" w:cs="Times New Roman"/>
          <w:sz w:val="24"/>
          <w:szCs w:val="24"/>
          <w:vertAlign w:val="superscript"/>
        </w:rPr>
        <w:t>th</w:t>
      </w:r>
      <w:r w:rsidRPr="00C90762">
        <w:rPr>
          <w:rFonts w:ascii="Times New Roman" w:hAnsi="Times New Roman" w:cs="Times New Roman"/>
          <w:sz w:val="24"/>
          <w:szCs w:val="24"/>
        </w:rPr>
        <w:t xml:space="preserve"> respondents</w:t>
      </w:r>
    </w:p>
    <w:p w:rsidR="00C90762" w:rsidRDefault="00C90762" w:rsidP="00C90762">
      <w:pPr>
        <w:spacing w:after="0" w:line="240" w:lineRule="auto"/>
        <w:rPr>
          <w:rFonts w:ascii="Times New Roman" w:hAnsi="Times New Roman" w:cs="Times New Roman"/>
          <w:sz w:val="24"/>
          <w:szCs w:val="24"/>
        </w:rPr>
      </w:pPr>
    </w:p>
    <w:p w:rsidR="00C90762" w:rsidRDefault="00C90762" w:rsidP="00C90762">
      <w:pPr>
        <w:spacing w:after="0" w:line="240" w:lineRule="auto"/>
        <w:rPr>
          <w:rFonts w:ascii="Times New Roman" w:hAnsi="Times New Roman" w:cs="Times New Roman"/>
          <w:sz w:val="24"/>
          <w:szCs w:val="24"/>
        </w:rPr>
      </w:pPr>
    </w:p>
    <w:p w:rsidR="00C90762" w:rsidRDefault="00C90762" w:rsidP="00BB19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ZHOU J:    This is an urgent chamber application in which the two applicants seek an order interdicting the first to eleventh respondents, their employees</w:t>
      </w:r>
      <w:r w:rsidR="009270B1">
        <w:rPr>
          <w:rFonts w:ascii="Times New Roman" w:hAnsi="Times New Roman" w:cs="Times New Roman"/>
          <w:sz w:val="24"/>
          <w:szCs w:val="24"/>
        </w:rPr>
        <w:t>,</w:t>
      </w:r>
      <w:r>
        <w:rPr>
          <w:rFonts w:ascii="Times New Roman" w:hAnsi="Times New Roman" w:cs="Times New Roman"/>
          <w:sz w:val="24"/>
          <w:szCs w:val="24"/>
        </w:rPr>
        <w:t xml:space="preserve"> </w:t>
      </w:r>
      <w:r w:rsidR="00BB192E">
        <w:rPr>
          <w:rFonts w:ascii="Times New Roman" w:hAnsi="Times New Roman" w:cs="Times New Roman"/>
          <w:sz w:val="24"/>
          <w:szCs w:val="24"/>
        </w:rPr>
        <w:t>assignees</w:t>
      </w:r>
      <w:r>
        <w:rPr>
          <w:rFonts w:ascii="Times New Roman" w:hAnsi="Times New Roman" w:cs="Times New Roman"/>
          <w:sz w:val="24"/>
          <w:szCs w:val="24"/>
        </w:rPr>
        <w:t>, invites and all those claiming through them from mining any ore within the boundaries of the first applicant’s mining claims located in Maphisa Kezi.  The details of the specific mining claims are given in the dra</w:t>
      </w:r>
      <w:r w:rsidR="00BB192E">
        <w:rPr>
          <w:rFonts w:ascii="Times New Roman" w:hAnsi="Times New Roman" w:cs="Times New Roman"/>
          <w:sz w:val="24"/>
          <w:szCs w:val="24"/>
        </w:rPr>
        <w:t>ft provisional order.  Applicants also seek an order interdicting the same respondents from removing any mined ore, dump or sands from the said claims boundary.</w:t>
      </w:r>
    </w:p>
    <w:p w:rsidR="00BB192E" w:rsidRDefault="00BB192E" w:rsidP="00BB19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was set down for hearing at </w:t>
      </w:r>
      <w:r w:rsidR="009270B1">
        <w:rPr>
          <w:rFonts w:ascii="Times New Roman" w:hAnsi="Times New Roman" w:cs="Times New Roman"/>
          <w:sz w:val="24"/>
          <w:szCs w:val="24"/>
        </w:rPr>
        <w:t>0</w:t>
      </w:r>
      <w:r>
        <w:rPr>
          <w:rFonts w:ascii="Times New Roman" w:hAnsi="Times New Roman" w:cs="Times New Roman"/>
          <w:sz w:val="24"/>
          <w:szCs w:val="24"/>
        </w:rPr>
        <w:t>830 hours today.</w:t>
      </w:r>
    </w:p>
    <w:p w:rsidR="00BB192E" w:rsidRDefault="00BB192E" w:rsidP="00BB19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the legal practitioner for the first to </w:t>
      </w:r>
      <w:r w:rsidR="009270B1">
        <w:rPr>
          <w:rFonts w:ascii="Times New Roman" w:hAnsi="Times New Roman" w:cs="Times New Roman"/>
          <w:sz w:val="24"/>
          <w:szCs w:val="24"/>
        </w:rPr>
        <w:t>t</w:t>
      </w:r>
      <w:r>
        <w:rPr>
          <w:rFonts w:ascii="Times New Roman" w:hAnsi="Times New Roman" w:cs="Times New Roman"/>
          <w:sz w:val="24"/>
          <w:szCs w:val="24"/>
        </w:rPr>
        <w:t xml:space="preserve">enth respondents applied for the matter to be postponed on the ground that he only received instructions yesterday and would need time file opposing papers on behalf of those respondents.  Mr </w:t>
      </w:r>
      <w:r w:rsidRPr="00BB192E">
        <w:rPr>
          <w:rFonts w:ascii="Times New Roman" w:hAnsi="Times New Roman" w:cs="Times New Roman"/>
          <w:i/>
          <w:sz w:val="24"/>
          <w:szCs w:val="24"/>
        </w:rPr>
        <w:t>Mataruka</w:t>
      </w:r>
      <w:r>
        <w:rPr>
          <w:rFonts w:ascii="Times New Roman" w:hAnsi="Times New Roman" w:cs="Times New Roman"/>
          <w:sz w:val="24"/>
          <w:szCs w:val="24"/>
        </w:rPr>
        <w:t xml:space="preserve"> for the applicants informed that he d</w:t>
      </w:r>
      <w:r w:rsidR="009270B1">
        <w:rPr>
          <w:rFonts w:ascii="Times New Roman" w:hAnsi="Times New Roman" w:cs="Times New Roman"/>
          <w:sz w:val="24"/>
          <w:szCs w:val="24"/>
        </w:rPr>
        <w:t>id</w:t>
      </w:r>
      <w:r>
        <w:rPr>
          <w:rFonts w:ascii="Times New Roman" w:hAnsi="Times New Roman" w:cs="Times New Roman"/>
          <w:sz w:val="24"/>
          <w:szCs w:val="24"/>
        </w:rPr>
        <w:t xml:space="preserve"> not oppose the application for postponement.  He, however, advised that he had instructions to apply for my recusal from dealing with the matter.  He proposed that we could deal with the recusal application.</w:t>
      </w:r>
    </w:p>
    <w:p w:rsidR="00BB192E" w:rsidRDefault="00BB192E" w:rsidP="00BB19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heard arguments from the applicants</w:t>
      </w:r>
      <w:r w:rsidR="009270B1">
        <w:rPr>
          <w:rFonts w:ascii="Times New Roman" w:hAnsi="Times New Roman" w:cs="Times New Roman"/>
          <w:sz w:val="24"/>
          <w:szCs w:val="24"/>
        </w:rPr>
        <w:t>’</w:t>
      </w:r>
      <w:r>
        <w:rPr>
          <w:rFonts w:ascii="Times New Roman" w:hAnsi="Times New Roman" w:cs="Times New Roman"/>
          <w:sz w:val="24"/>
          <w:szCs w:val="24"/>
        </w:rPr>
        <w:t xml:space="preserve"> counsel on the application for recusal.  Since the application is in essence directed at the presiding judge or court, the respondents’ counsel made no submissions in respect thereof.</w:t>
      </w:r>
    </w:p>
    <w:p w:rsidR="00BB192E" w:rsidRDefault="00BB192E" w:rsidP="00BB19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grounds for seeking recusation are two pronged.  On the first ground the applicant’s counsel submitted that I have previously dealt with an application </w:t>
      </w:r>
      <w:r w:rsidR="0007771A">
        <w:rPr>
          <w:rFonts w:ascii="Times New Roman" w:hAnsi="Times New Roman" w:cs="Times New Roman"/>
          <w:sz w:val="24"/>
          <w:szCs w:val="24"/>
        </w:rPr>
        <w:t>instituted by</w:t>
      </w:r>
      <w:r>
        <w:rPr>
          <w:rFonts w:ascii="Times New Roman" w:hAnsi="Times New Roman" w:cs="Times New Roman"/>
          <w:sz w:val="24"/>
          <w:szCs w:val="24"/>
        </w:rPr>
        <w:t xml:space="preserve"> the Minister of Mines and Mining Development in which an interdict was granted stopping the applicant</w:t>
      </w:r>
      <w:r w:rsidR="0007771A">
        <w:rPr>
          <w:rFonts w:ascii="Times New Roman" w:hAnsi="Times New Roman" w:cs="Times New Roman"/>
          <w:sz w:val="24"/>
          <w:szCs w:val="24"/>
        </w:rPr>
        <w:t>s from carrying on mining operations at the same claims, and that when the legal practitioners sought the reasons for judgment these were not forthcoming.  Further, it is alleged that the applicants subsequently filed an application foe leave to appeal which was placed before me but failed to get the outcome thereof despite numerous follow –ups being made.  The essence of the argument seems to be that these facts alleged cause concern to the applicants, that they may not receive a fair hearing.</w:t>
      </w:r>
    </w:p>
    <w:p w:rsidR="0007771A" w:rsidRDefault="0007771A" w:rsidP="00BB19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alternative argument presented was that leaving aside the allegations pertaining to a failure to obtain the reasons for judgment </w:t>
      </w:r>
      <w:r w:rsidR="00D12CA1">
        <w:rPr>
          <w:rFonts w:ascii="Times New Roman" w:hAnsi="Times New Roman" w:cs="Times New Roman"/>
          <w:sz w:val="24"/>
          <w:szCs w:val="24"/>
        </w:rPr>
        <w:t>and outcome</w:t>
      </w:r>
      <w:r>
        <w:rPr>
          <w:rFonts w:ascii="Times New Roman" w:hAnsi="Times New Roman" w:cs="Times New Roman"/>
          <w:sz w:val="24"/>
          <w:szCs w:val="24"/>
        </w:rPr>
        <w:t xml:space="preserve"> of the chamber application for leave to appeal, I would still be disqualified purely on the basis that I had dealt with the application by the Minister pertaining to the disputed claims.</w:t>
      </w:r>
    </w:p>
    <w:p w:rsidR="0007771A" w:rsidRDefault="00606555" w:rsidP="00BB19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principles that are applicable to an application for re</w:t>
      </w:r>
      <w:r w:rsidR="00D12CA1">
        <w:rPr>
          <w:rFonts w:ascii="Times New Roman" w:hAnsi="Times New Roman" w:cs="Times New Roman"/>
          <w:sz w:val="24"/>
          <w:szCs w:val="24"/>
        </w:rPr>
        <w:t>c</w:t>
      </w:r>
      <w:r>
        <w:rPr>
          <w:rFonts w:ascii="Times New Roman" w:hAnsi="Times New Roman" w:cs="Times New Roman"/>
          <w:sz w:val="24"/>
          <w:szCs w:val="24"/>
        </w:rPr>
        <w:t>usal based on bias are settled.  They are grounded</w:t>
      </w:r>
      <w:r w:rsidR="00D12CA1">
        <w:rPr>
          <w:rFonts w:ascii="Times New Roman" w:hAnsi="Times New Roman" w:cs="Times New Roman"/>
          <w:sz w:val="24"/>
          <w:szCs w:val="24"/>
        </w:rPr>
        <w:t xml:space="preserve"> in the time- honounered principle of natural justice- </w:t>
      </w:r>
      <w:r w:rsidR="00D12CA1" w:rsidRPr="00184ED1">
        <w:rPr>
          <w:rFonts w:ascii="Times New Roman" w:hAnsi="Times New Roman" w:cs="Times New Roman"/>
          <w:i/>
          <w:sz w:val="24"/>
          <w:szCs w:val="24"/>
        </w:rPr>
        <w:t>nemo judex in</w:t>
      </w:r>
      <w:r w:rsidR="00184ED1">
        <w:rPr>
          <w:rFonts w:ascii="Times New Roman" w:hAnsi="Times New Roman" w:cs="Times New Roman"/>
          <w:i/>
          <w:sz w:val="24"/>
          <w:szCs w:val="24"/>
        </w:rPr>
        <w:t xml:space="preserve"> </w:t>
      </w:r>
      <w:r w:rsidR="00D12CA1" w:rsidRPr="00184ED1">
        <w:rPr>
          <w:rFonts w:ascii="Times New Roman" w:hAnsi="Times New Roman" w:cs="Times New Roman"/>
          <w:i/>
          <w:sz w:val="24"/>
          <w:szCs w:val="24"/>
        </w:rPr>
        <w:t>sua causa</w:t>
      </w:r>
      <w:r w:rsidR="00D12CA1">
        <w:rPr>
          <w:rFonts w:ascii="Times New Roman" w:hAnsi="Times New Roman" w:cs="Times New Roman"/>
          <w:sz w:val="24"/>
          <w:szCs w:val="24"/>
        </w:rPr>
        <w:t>- which, when transliterated means, no man should be judge in their own cause.  This principle is sometimes referred to as the rule against bias.  The test is not whether the presiding officer is actually biased or will be biased but</w:t>
      </w:r>
      <w:r w:rsidR="00835F37">
        <w:rPr>
          <w:rFonts w:ascii="Times New Roman" w:hAnsi="Times New Roman" w:cs="Times New Roman"/>
          <w:sz w:val="24"/>
          <w:szCs w:val="24"/>
        </w:rPr>
        <w:t>,</w:t>
      </w:r>
      <w:r w:rsidR="008970DD">
        <w:rPr>
          <w:rFonts w:ascii="Times New Roman" w:hAnsi="Times New Roman" w:cs="Times New Roman"/>
          <w:sz w:val="24"/>
          <w:szCs w:val="24"/>
        </w:rPr>
        <w:t xml:space="preserve"> </w:t>
      </w:r>
      <w:r w:rsidR="00835F37">
        <w:rPr>
          <w:rFonts w:ascii="Times New Roman" w:hAnsi="Times New Roman" w:cs="Times New Roman"/>
          <w:sz w:val="24"/>
          <w:szCs w:val="24"/>
        </w:rPr>
        <w:t>“</w:t>
      </w:r>
      <w:r w:rsidR="00D12CA1">
        <w:rPr>
          <w:rFonts w:ascii="Times New Roman" w:hAnsi="Times New Roman" w:cs="Times New Roman"/>
          <w:sz w:val="24"/>
          <w:szCs w:val="24"/>
        </w:rPr>
        <w:t xml:space="preserve">whether, having regard to those circumstances (cited) there was a real danger of bias….”.  </w:t>
      </w:r>
      <w:r w:rsidR="008970DD">
        <w:rPr>
          <w:rFonts w:ascii="Times New Roman" w:hAnsi="Times New Roman" w:cs="Times New Roman"/>
          <w:sz w:val="24"/>
          <w:szCs w:val="24"/>
        </w:rPr>
        <w:t>It</w:t>
      </w:r>
      <w:r w:rsidR="00D12CA1">
        <w:rPr>
          <w:rFonts w:ascii="Times New Roman" w:hAnsi="Times New Roman" w:cs="Times New Roman"/>
          <w:sz w:val="24"/>
          <w:szCs w:val="24"/>
        </w:rPr>
        <w:t xml:space="preserve"> has been held that “real danger” means real possibility of bias, see </w:t>
      </w:r>
      <w:r w:rsidR="00D12CA1" w:rsidRPr="00835F37">
        <w:rPr>
          <w:rFonts w:ascii="Times New Roman" w:hAnsi="Times New Roman" w:cs="Times New Roman"/>
          <w:i/>
          <w:sz w:val="24"/>
          <w:szCs w:val="24"/>
        </w:rPr>
        <w:t>Bailey</w:t>
      </w:r>
      <w:r w:rsidR="00D12CA1">
        <w:rPr>
          <w:rFonts w:ascii="Times New Roman" w:hAnsi="Times New Roman" w:cs="Times New Roman"/>
          <w:sz w:val="24"/>
          <w:szCs w:val="24"/>
        </w:rPr>
        <w:t xml:space="preserve"> v </w:t>
      </w:r>
      <w:r w:rsidR="00D12CA1" w:rsidRPr="00835F37">
        <w:rPr>
          <w:rFonts w:ascii="Times New Roman" w:hAnsi="Times New Roman" w:cs="Times New Roman"/>
          <w:i/>
          <w:sz w:val="24"/>
          <w:szCs w:val="24"/>
        </w:rPr>
        <w:t>Health Professions Council of Zimbabwe</w:t>
      </w:r>
      <w:r w:rsidR="00D12CA1">
        <w:rPr>
          <w:rFonts w:ascii="Times New Roman" w:hAnsi="Times New Roman" w:cs="Times New Roman"/>
          <w:sz w:val="24"/>
          <w:szCs w:val="24"/>
        </w:rPr>
        <w:t xml:space="preserve"> 1993 (2) ZLR 17 (S) at p 22D-F.</w:t>
      </w:r>
      <w:r w:rsidR="008970DD">
        <w:rPr>
          <w:rFonts w:ascii="Times New Roman" w:hAnsi="Times New Roman" w:cs="Times New Roman"/>
          <w:sz w:val="24"/>
          <w:szCs w:val="24"/>
        </w:rPr>
        <w:t xml:space="preserve">  </w:t>
      </w:r>
      <w:r w:rsidR="00184ED1">
        <w:rPr>
          <w:rFonts w:ascii="Times New Roman" w:hAnsi="Times New Roman" w:cs="Times New Roman"/>
          <w:sz w:val="24"/>
          <w:szCs w:val="24"/>
        </w:rPr>
        <w:t>In</w:t>
      </w:r>
      <w:r w:rsidR="008970DD">
        <w:rPr>
          <w:rFonts w:ascii="Times New Roman" w:hAnsi="Times New Roman" w:cs="Times New Roman"/>
          <w:sz w:val="24"/>
          <w:szCs w:val="24"/>
        </w:rPr>
        <w:t xml:space="preserve"> </w:t>
      </w:r>
      <w:r w:rsidR="00184ED1">
        <w:rPr>
          <w:rFonts w:ascii="Times New Roman" w:hAnsi="Times New Roman" w:cs="Times New Roman"/>
          <w:sz w:val="24"/>
          <w:szCs w:val="24"/>
        </w:rPr>
        <w:t>the case</w:t>
      </w:r>
      <w:r w:rsidR="008970DD">
        <w:rPr>
          <w:rFonts w:ascii="Times New Roman" w:hAnsi="Times New Roman" w:cs="Times New Roman"/>
          <w:sz w:val="24"/>
          <w:szCs w:val="24"/>
        </w:rPr>
        <w:t xml:space="preserve"> of </w:t>
      </w:r>
      <w:r w:rsidR="008970DD" w:rsidRPr="00835F37">
        <w:rPr>
          <w:rFonts w:ascii="Times New Roman" w:hAnsi="Times New Roman" w:cs="Times New Roman"/>
          <w:i/>
          <w:sz w:val="24"/>
          <w:szCs w:val="24"/>
        </w:rPr>
        <w:t>State</w:t>
      </w:r>
      <w:r w:rsidR="008970DD">
        <w:rPr>
          <w:rFonts w:ascii="Times New Roman" w:hAnsi="Times New Roman" w:cs="Times New Roman"/>
          <w:sz w:val="24"/>
          <w:szCs w:val="24"/>
        </w:rPr>
        <w:t xml:space="preserve"> v </w:t>
      </w:r>
      <w:r w:rsidR="008970DD" w:rsidRPr="00835F37">
        <w:rPr>
          <w:rFonts w:ascii="Times New Roman" w:hAnsi="Times New Roman" w:cs="Times New Roman"/>
          <w:i/>
          <w:sz w:val="24"/>
          <w:szCs w:val="24"/>
        </w:rPr>
        <w:t>de Varies</w:t>
      </w:r>
      <w:r w:rsidR="008970DD">
        <w:rPr>
          <w:rFonts w:ascii="Times New Roman" w:hAnsi="Times New Roman" w:cs="Times New Roman"/>
          <w:sz w:val="24"/>
          <w:szCs w:val="24"/>
        </w:rPr>
        <w:t xml:space="preserve"> 1964 (2) SA110</w:t>
      </w:r>
      <w:r w:rsidR="00184ED1">
        <w:rPr>
          <w:rFonts w:ascii="Times New Roman" w:hAnsi="Times New Roman" w:cs="Times New Roman"/>
          <w:sz w:val="24"/>
          <w:szCs w:val="24"/>
        </w:rPr>
        <w:t xml:space="preserve"> </w:t>
      </w:r>
      <w:r w:rsidR="008970DD">
        <w:rPr>
          <w:rFonts w:ascii="Times New Roman" w:hAnsi="Times New Roman" w:cs="Times New Roman"/>
          <w:sz w:val="24"/>
          <w:szCs w:val="24"/>
        </w:rPr>
        <w:t xml:space="preserve">(E), cited in </w:t>
      </w:r>
      <w:r w:rsidR="008970DD" w:rsidRPr="00184ED1">
        <w:rPr>
          <w:rFonts w:ascii="Times New Roman" w:hAnsi="Times New Roman" w:cs="Times New Roman"/>
          <w:i/>
          <w:sz w:val="24"/>
          <w:szCs w:val="24"/>
        </w:rPr>
        <w:t>Guvamombe</w:t>
      </w:r>
      <w:r w:rsidR="008970DD">
        <w:rPr>
          <w:rFonts w:ascii="Times New Roman" w:hAnsi="Times New Roman" w:cs="Times New Roman"/>
          <w:sz w:val="24"/>
          <w:szCs w:val="24"/>
        </w:rPr>
        <w:t xml:space="preserve"> v </w:t>
      </w:r>
      <w:r w:rsidR="008970DD" w:rsidRPr="00184ED1">
        <w:rPr>
          <w:rFonts w:ascii="Times New Roman" w:hAnsi="Times New Roman" w:cs="Times New Roman"/>
          <w:i/>
          <w:sz w:val="24"/>
          <w:szCs w:val="24"/>
        </w:rPr>
        <w:t>Ncube &amp; Anor</w:t>
      </w:r>
      <w:r w:rsidR="008970DD">
        <w:rPr>
          <w:rFonts w:ascii="Times New Roman" w:hAnsi="Times New Roman" w:cs="Times New Roman"/>
          <w:sz w:val="24"/>
          <w:szCs w:val="24"/>
        </w:rPr>
        <w:t xml:space="preserve"> 2019 (3) ZLR 272 (H) at 275G-276A,</w:t>
      </w:r>
      <w:r w:rsidR="00184ED1">
        <w:rPr>
          <w:rFonts w:ascii="Times New Roman" w:hAnsi="Times New Roman" w:cs="Times New Roman"/>
          <w:sz w:val="24"/>
          <w:szCs w:val="24"/>
        </w:rPr>
        <w:t xml:space="preserve"> </w:t>
      </w:r>
      <w:r w:rsidR="008970DD">
        <w:rPr>
          <w:rFonts w:ascii="Times New Roman" w:hAnsi="Times New Roman" w:cs="Times New Roman"/>
          <w:sz w:val="24"/>
          <w:szCs w:val="24"/>
        </w:rPr>
        <w:t>where the following passage is recited.</w:t>
      </w:r>
    </w:p>
    <w:p w:rsidR="008970DD" w:rsidRPr="00184ED1" w:rsidRDefault="008970DD" w:rsidP="00184ED1">
      <w:pPr>
        <w:spacing w:after="0" w:line="240" w:lineRule="auto"/>
        <w:ind w:left="720"/>
        <w:jc w:val="both"/>
        <w:rPr>
          <w:rFonts w:ascii="Times New Roman" w:hAnsi="Times New Roman" w:cs="Times New Roman"/>
        </w:rPr>
      </w:pPr>
      <w:r w:rsidRPr="00184ED1">
        <w:rPr>
          <w:rFonts w:ascii="Times New Roman" w:hAnsi="Times New Roman" w:cs="Times New Roman"/>
        </w:rPr>
        <w:t>“</w:t>
      </w:r>
      <w:r w:rsidR="0063544B">
        <w:rPr>
          <w:rFonts w:ascii="Times New Roman" w:hAnsi="Times New Roman" w:cs="Times New Roman"/>
        </w:rPr>
        <w:t>D</w:t>
      </w:r>
      <w:r w:rsidRPr="00184ED1">
        <w:rPr>
          <w:rFonts w:ascii="Times New Roman" w:hAnsi="Times New Roman" w:cs="Times New Roman"/>
        </w:rPr>
        <w:t>isqualification arises whe</w:t>
      </w:r>
      <w:r w:rsidR="00184ED1" w:rsidRPr="00184ED1">
        <w:rPr>
          <w:rFonts w:ascii="Times New Roman" w:hAnsi="Times New Roman" w:cs="Times New Roman"/>
        </w:rPr>
        <w:t>ne</w:t>
      </w:r>
      <w:r w:rsidRPr="00184ED1">
        <w:rPr>
          <w:rFonts w:ascii="Times New Roman" w:hAnsi="Times New Roman" w:cs="Times New Roman"/>
        </w:rPr>
        <w:t>ver the judge’s or magistrate’s relation  to the parties is such, or his interest in the case</w:t>
      </w:r>
      <w:r w:rsidR="00184ED1" w:rsidRPr="00184ED1">
        <w:rPr>
          <w:rFonts w:ascii="Times New Roman" w:hAnsi="Times New Roman" w:cs="Times New Roman"/>
        </w:rPr>
        <w:t xml:space="preserve"> is such, or his knowledge of the facts of the case or of the  antecedents of the parties is such as would tend to bias his mind at the trial.  In short, any condition of things which, reasonably regarded, is liable to destroy his impartiality should disqualify him.”</w:t>
      </w:r>
    </w:p>
    <w:p w:rsidR="008970DD" w:rsidRDefault="008970DD" w:rsidP="00184ED1">
      <w:pPr>
        <w:spacing w:after="0" w:line="240" w:lineRule="auto"/>
        <w:jc w:val="both"/>
        <w:rPr>
          <w:rFonts w:ascii="Times New Roman" w:hAnsi="Times New Roman" w:cs="Times New Roman"/>
        </w:rPr>
      </w:pPr>
    </w:p>
    <w:p w:rsidR="00184ED1" w:rsidRDefault="00184ED1" w:rsidP="00184ED1">
      <w:pPr>
        <w:spacing w:after="0" w:line="240" w:lineRule="auto"/>
        <w:jc w:val="both"/>
        <w:rPr>
          <w:rFonts w:ascii="Times New Roman" w:hAnsi="Times New Roman" w:cs="Times New Roman"/>
        </w:rPr>
      </w:pPr>
    </w:p>
    <w:p w:rsidR="00184ED1" w:rsidRDefault="00184ED1" w:rsidP="000A5C93">
      <w:pPr>
        <w:spacing w:after="0" w:line="360" w:lineRule="auto"/>
        <w:ind w:firstLine="720"/>
        <w:jc w:val="both"/>
        <w:rPr>
          <w:rFonts w:ascii="Times New Roman" w:hAnsi="Times New Roman" w:cs="Times New Roman"/>
          <w:sz w:val="24"/>
          <w:szCs w:val="24"/>
        </w:rPr>
      </w:pPr>
      <w:r w:rsidRPr="000A5C93">
        <w:rPr>
          <w:rFonts w:ascii="Times New Roman" w:hAnsi="Times New Roman" w:cs="Times New Roman"/>
          <w:sz w:val="24"/>
          <w:szCs w:val="24"/>
        </w:rPr>
        <w:t>The test is objective, hence the expression that “whether the</w:t>
      </w:r>
      <w:r w:rsidR="00835F37">
        <w:rPr>
          <w:rFonts w:ascii="Times New Roman" w:hAnsi="Times New Roman" w:cs="Times New Roman"/>
          <w:sz w:val="24"/>
          <w:szCs w:val="24"/>
        </w:rPr>
        <w:t>re</w:t>
      </w:r>
      <w:r w:rsidRPr="000A5C93">
        <w:rPr>
          <w:rFonts w:ascii="Times New Roman" w:hAnsi="Times New Roman" w:cs="Times New Roman"/>
          <w:sz w:val="24"/>
          <w:szCs w:val="24"/>
        </w:rPr>
        <w:t xml:space="preserve"> exist circumstances which may engender a belief in the mind of a reasonable litigant that in the… proceedings he would be at a disadvantage,” see </w:t>
      </w:r>
      <w:r w:rsidR="000A5C93" w:rsidRPr="000A5C93">
        <w:rPr>
          <w:rFonts w:ascii="Times New Roman" w:hAnsi="Times New Roman" w:cs="Times New Roman"/>
          <w:i/>
          <w:sz w:val="24"/>
          <w:szCs w:val="24"/>
        </w:rPr>
        <w:t>Leopard</w:t>
      </w:r>
      <w:r w:rsidRPr="000A5C93">
        <w:rPr>
          <w:rFonts w:ascii="Times New Roman" w:hAnsi="Times New Roman" w:cs="Times New Roman"/>
          <w:i/>
          <w:sz w:val="24"/>
          <w:szCs w:val="24"/>
        </w:rPr>
        <w:t xml:space="preserve"> Rock Hotel Company (Pvt)</w:t>
      </w:r>
      <w:r w:rsidRPr="000A5C93">
        <w:rPr>
          <w:rFonts w:ascii="Times New Roman" w:hAnsi="Times New Roman" w:cs="Times New Roman"/>
          <w:sz w:val="24"/>
          <w:szCs w:val="24"/>
        </w:rPr>
        <w:t xml:space="preserve"> </w:t>
      </w:r>
      <w:r w:rsidRPr="000A5C93">
        <w:rPr>
          <w:rFonts w:ascii="Times New Roman" w:hAnsi="Times New Roman" w:cs="Times New Roman"/>
          <w:i/>
          <w:sz w:val="24"/>
          <w:szCs w:val="24"/>
        </w:rPr>
        <w:t>Ltd</w:t>
      </w:r>
      <w:r w:rsidRPr="000A5C93">
        <w:rPr>
          <w:rFonts w:ascii="Times New Roman" w:hAnsi="Times New Roman" w:cs="Times New Roman"/>
          <w:sz w:val="24"/>
          <w:szCs w:val="24"/>
        </w:rPr>
        <w:t xml:space="preserve"> v </w:t>
      </w:r>
      <w:r w:rsidRPr="000A5C93">
        <w:rPr>
          <w:rFonts w:ascii="Times New Roman" w:hAnsi="Times New Roman" w:cs="Times New Roman"/>
          <w:i/>
          <w:sz w:val="24"/>
          <w:szCs w:val="24"/>
        </w:rPr>
        <w:t>Wallen Construction (Pvt) Ltd</w:t>
      </w:r>
      <w:r w:rsidRPr="000A5C93">
        <w:rPr>
          <w:rFonts w:ascii="Times New Roman" w:hAnsi="Times New Roman" w:cs="Times New Roman"/>
          <w:sz w:val="24"/>
          <w:szCs w:val="24"/>
        </w:rPr>
        <w:t xml:space="preserve"> 1994(1) ZLR 255 (S)</w:t>
      </w:r>
      <w:r w:rsidR="00637595">
        <w:rPr>
          <w:rFonts w:ascii="Times New Roman" w:hAnsi="Times New Roman" w:cs="Times New Roman"/>
          <w:sz w:val="24"/>
          <w:szCs w:val="24"/>
        </w:rPr>
        <w:t xml:space="preserve">. </w:t>
      </w:r>
      <w:r w:rsidRPr="000A5C93">
        <w:rPr>
          <w:rFonts w:ascii="Times New Roman" w:hAnsi="Times New Roman" w:cs="Times New Roman"/>
          <w:i/>
          <w:sz w:val="24"/>
          <w:szCs w:val="24"/>
        </w:rPr>
        <w:t>Associated Newspapers of Zimbabwe (Pvt) Ltd</w:t>
      </w:r>
      <w:r w:rsidRPr="000A5C93">
        <w:rPr>
          <w:rFonts w:ascii="Times New Roman" w:hAnsi="Times New Roman" w:cs="Times New Roman"/>
          <w:sz w:val="24"/>
          <w:szCs w:val="24"/>
        </w:rPr>
        <w:t xml:space="preserve"> v </w:t>
      </w:r>
      <w:r w:rsidRPr="000A5C93">
        <w:rPr>
          <w:rFonts w:ascii="Times New Roman" w:hAnsi="Times New Roman" w:cs="Times New Roman"/>
          <w:i/>
          <w:sz w:val="24"/>
          <w:szCs w:val="24"/>
        </w:rPr>
        <w:t>Diamond Insurance Company (Pvt) Ltd</w:t>
      </w:r>
      <w:r w:rsidRPr="000A5C93">
        <w:rPr>
          <w:rFonts w:ascii="Times New Roman" w:hAnsi="Times New Roman" w:cs="Times New Roman"/>
          <w:sz w:val="24"/>
          <w:szCs w:val="24"/>
        </w:rPr>
        <w:t xml:space="preserve"> 2001 (1) ZLR 226 (H)</w:t>
      </w:r>
      <w:r w:rsidR="00637595">
        <w:rPr>
          <w:rFonts w:ascii="Times New Roman" w:hAnsi="Times New Roman" w:cs="Times New Roman"/>
          <w:sz w:val="24"/>
          <w:szCs w:val="24"/>
        </w:rPr>
        <w:t xml:space="preserve">. </w:t>
      </w:r>
      <w:r w:rsidRPr="000A5C93">
        <w:rPr>
          <w:rFonts w:ascii="Times New Roman" w:hAnsi="Times New Roman" w:cs="Times New Roman"/>
          <w:sz w:val="24"/>
          <w:szCs w:val="24"/>
        </w:rPr>
        <w:t xml:space="preserve">In </w:t>
      </w:r>
      <w:r w:rsidRPr="000A5C93">
        <w:rPr>
          <w:rFonts w:ascii="Times New Roman" w:hAnsi="Times New Roman" w:cs="Times New Roman"/>
          <w:i/>
          <w:sz w:val="24"/>
          <w:szCs w:val="24"/>
        </w:rPr>
        <w:t>Mahlangu</w:t>
      </w:r>
      <w:r w:rsidRPr="000A5C93">
        <w:rPr>
          <w:rFonts w:ascii="Times New Roman" w:hAnsi="Times New Roman" w:cs="Times New Roman"/>
          <w:sz w:val="24"/>
          <w:szCs w:val="24"/>
        </w:rPr>
        <w:t xml:space="preserve"> v </w:t>
      </w:r>
      <w:r w:rsidRPr="000A5C93">
        <w:rPr>
          <w:rFonts w:ascii="Times New Roman" w:hAnsi="Times New Roman" w:cs="Times New Roman"/>
          <w:i/>
          <w:sz w:val="24"/>
          <w:szCs w:val="24"/>
        </w:rPr>
        <w:t>Dowa</w:t>
      </w:r>
      <w:r w:rsidRPr="000A5C93">
        <w:rPr>
          <w:rFonts w:ascii="Times New Roman" w:hAnsi="Times New Roman" w:cs="Times New Roman"/>
          <w:sz w:val="24"/>
          <w:szCs w:val="24"/>
        </w:rPr>
        <w:t xml:space="preserve"> 2011 (1) ZLR 47 (H) the court held that</w:t>
      </w:r>
      <w:r w:rsidR="00835F37">
        <w:rPr>
          <w:rFonts w:ascii="Times New Roman" w:hAnsi="Times New Roman" w:cs="Times New Roman"/>
          <w:sz w:val="24"/>
          <w:szCs w:val="24"/>
        </w:rPr>
        <w:t xml:space="preserve"> the</w:t>
      </w:r>
      <w:r w:rsidRPr="000A5C93">
        <w:rPr>
          <w:rFonts w:ascii="Times New Roman" w:hAnsi="Times New Roman" w:cs="Times New Roman"/>
          <w:sz w:val="24"/>
          <w:szCs w:val="24"/>
        </w:rPr>
        <w:t xml:space="preserve"> “test is a two-fold objective test (double reasonableness) that the </w:t>
      </w:r>
      <w:r w:rsidR="000A5C93" w:rsidRPr="000A5C93">
        <w:rPr>
          <w:rFonts w:ascii="Times New Roman" w:hAnsi="Times New Roman" w:cs="Times New Roman"/>
          <w:sz w:val="24"/>
          <w:szCs w:val="24"/>
        </w:rPr>
        <w:t>person considering</w:t>
      </w:r>
      <w:r w:rsidRPr="000A5C93">
        <w:rPr>
          <w:rFonts w:ascii="Times New Roman" w:hAnsi="Times New Roman" w:cs="Times New Roman"/>
          <w:sz w:val="24"/>
          <w:szCs w:val="24"/>
        </w:rPr>
        <w:t xml:space="preserve"> the alleged bias must </w:t>
      </w:r>
      <w:r w:rsidR="000A5C93" w:rsidRPr="000A5C93">
        <w:rPr>
          <w:rFonts w:ascii="Times New Roman" w:hAnsi="Times New Roman" w:cs="Times New Roman"/>
          <w:sz w:val="24"/>
          <w:szCs w:val="24"/>
        </w:rPr>
        <w:t>be reasonable</w:t>
      </w:r>
      <w:r w:rsidRPr="000A5C93">
        <w:rPr>
          <w:rFonts w:ascii="Times New Roman" w:hAnsi="Times New Roman" w:cs="Times New Roman"/>
          <w:sz w:val="24"/>
          <w:szCs w:val="24"/>
        </w:rPr>
        <w:t xml:space="preserve">, and the apprehension of bias itself </w:t>
      </w:r>
      <w:r w:rsidR="000A5C93" w:rsidRPr="000A5C93">
        <w:rPr>
          <w:rFonts w:ascii="Times New Roman" w:hAnsi="Times New Roman" w:cs="Times New Roman"/>
          <w:sz w:val="24"/>
          <w:szCs w:val="24"/>
        </w:rPr>
        <w:t>must also</w:t>
      </w:r>
      <w:r w:rsidRPr="000A5C93">
        <w:rPr>
          <w:rFonts w:ascii="Times New Roman" w:hAnsi="Times New Roman" w:cs="Times New Roman"/>
          <w:sz w:val="24"/>
          <w:szCs w:val="24"/>
        </w:rPr>
        <w:t xml:space="preserve"> be reasonable in the circumstances of the case.” Cited in </w:t>
      </w:r>
      <w:r w:rsidRPr="000A5C93">
        <w:rPr>
          <w:rFonts w:ascii="Times New Roman" w:hAnsi="Times New Roman" w:cs="Times New Roman"/>
          <w:i/>
          <w:sz w:val="24"/>
          <w:szCs w:val="24"/>
        </w:rPr>
        <w:t>Guvamombe</w:t>
      </w:r>
      <w:r w:rsidRPr="000A5C93">
        <w:rPr>
          <w:rFonts w:ascii="Times New Roman" w:hAnsi="Times New Roman" w:cs="Times New Roman"/>
          <w:sz w:val="24"/>
          <w:szCs w:val="24"/>
        </w:rPr>
        <w:t xml:space="preserve"> v </w:t>
      </w:r>
      <w:r w:rsidRPr="000A5C93">
        <w:rPr>
          <w:rFonts w:ascii="Times New Roman" w:hAnsi="Times New Roman" w:cs="Times New Roman"/>
          <w:i/>
          <w:sz w:val="24"/>
          <w:szCs w:val="24"/>
        </w:rPr>
        <w:t>Ncube N.O &amp; Anor (supra</w:t>
      </w:r>
      <w:r w:rsidRPr="000A5C93">
        <w:rPr>
          <w:rFonts w:ascii="Times New Roman" w:hAnsi="Times New Roman" w:cs="Times New Roman"/>
          <w:sz w:val="24"/>
          <w:szCs w:val="24"/>
        </w:rPr>
        <w:t>) at p 276G-H</w:t>
      </w:r>
      <w:r w:rsidR="000A5C93">
        <w:rPr>
          <w:rFonts w:ascii="Times New Roman" w:hAnsi="Times New Roman" w:cs="Times New Roman"/>
          <w:sz w:val="24"/>
          <w:szCs w:val="24"/>
        </w:rPr>
        <w:t>.</w:t>
      </w:r>
    </w:p>
    <w:p w:rsidR="000A5C93" w:rsidRDefault="000A5C93" w:rsidP="000A5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ground of the application is predicated upon incorrect facts.  Mr </w:t>
      </w:r>
      <w:r w:rsidRPr="00835F37">
        <w:rPr>
          <w:rFonts w:ascii="Times New Roman" w:hAnsi="Times New Roman" w:cs="Times New Roman"/>
          <w:i/>
          <w:sz w:val="24"/>
          <w:szCs w:val="24"/>
        </w:rPr>
        <w:t>Mataruka</w:t>
      </w:r>
      <w:r w:rsidRPr="00835F37">
        <w:rPr>
          <w:rFonts w:ascii="Times New Roman" w:hAnsi="Times New Roman" w:cs="Times New Roman"/>
          <w:sz w:val="24"/>
          <w:szCs w:val="24"/>
        </w:rPr>
        <w:t xml:space="preserve"> </w:t>
      </w:r>
      <w:r>
        <w:rPr>
          <w:rFonts w:ascii="Times New Roman" w:hAnsi="Times New Roman" w:cs="Times New Roman"/>
          <w:sz w:val="24"/>
          <w:szCs w:val="24"/>
        </w:rPr>
        <w:t xml:space="preserve">stated that the order in the case of </w:t>
      </w:r>
      <w:r w:rsidRPr="006B1FA6">
        <w:rPr>
          <w:rFonts w:ascii="Times New Roman" w:hAnsi="Times New Roman" w:cs="Times New Roman"/>
          <w:i/>
          <w:sz w:val="24"/>
          <w:szCs w:val="24"/>
        </w:rPr>
        <w:t>The Minister of Mines and M</w:t>
      </w:r>
      <w:r w:rsidR="006B1FA6" w:rsidRPr="006B1FA6">
        <w:rPr>
          <w:rFonts w:ascii="Times New Roman" w:hAnsi="Times New Roman" w:cs="Times New Roman"/>
          <w:i/>
          <w:sz w:val="24"/>
          <w:szCs w:val="24"/>
        </w:rPr>
        <w:t>in</w:t>
      </w:r>
      <w:r w:rsidRPr="006B1FA6">
        <w:rPr>
          <w:rFonts w:ascii="Times New Roman" w:hAnsi="Times New Roman" w:cs="Times New Roman"/>
          <w:i/>
          <w:sz w:val="24"/>
          <w:szCs w:val="24"/>
        </w:rPr>
        <w:t>ing Development N O</w:t>
      </w:r>
      <w:r>
        <w:rPr>
          <w:rFonts w:ascii="Times New Roman" w:hAnsi="Times New Roman" w:cs="Times New Roman"/>
          <w:sz w:val="24"/>
          <w:szCs w:val="24"/>
        </w:rPr>
        <w:t xml:space="preserve"> v </w:t>
      </w:r>
      <w:r w:rsidRPr="006B1FA6">
        <w:rPr>
          <w:rFonts w:ascii="Times New Roman" w:hAnsi="Times New Roman" w:cs="Times New Roman"/>
          <w:i/>
          <w:sz w:val="24"/>
          <w:szCs w:val="24"/>
        </w:rPr>
        <w:t>Falcon Golf Zimbabwe Limited and Nyamazane Gold (Private) Limited</w:t>
      </w:r>
      <w:r>
        <w:rPr>
          <w:rFonts w:ascii="Times New Roman" w:hAnsi="Times New Roman" w:cs="Times New Roman"/>
          <w:sz w:val="24"/>
          <w:szCs w:val="24"/>
        </w:rPr>
        <w:t xml:space="preserve"> HC 4038/23 was delivered without reasons, and that the reasons were to follow on a subsequent.  This is false.  The matter was argued on 27 June 2023, and judgment was reserved.  The full judgment with reasons was delivered three days later on 30 June 2023. There was no delivery of reasons in the open court for the unopposed matter on 5 July 2023 as submitted by </w:t>
      </w:r>
      <w:r w:rsidR="006B1FA6">
        <w:rPr>
          <w:rFonts w:ascii="Times New Roman" w:hAnsi="Times New Roman" w:cs="Times New Roman"/>
          <w:sz w:val="24"/>
          <w:szCs w:val="24"/>
        </w:rPr>
        <w:t xml:space="preserve">Mr </w:t>
      </w:r>
      <w:r w:rsidR="006B1FA6" w:rsidRPr="0063544B">
        <w:rPr>
          <w:rFonts w:ascii="Times New Roman" w:hAnsi="Times New Roman" w:cs="Times New Roman"/>
          <w:i/>
          <w:sz w:val="24"/>
          <w:szCs w:val="24"/>
        </w:rPr>
        <w:t>Mataruka</w:t>
      </w:r>
      <w:r>
        <w:rPr>
          <w:rFonts w:ascii="Times New Roman" w:hAnsi="Times New Roman" w:cs="Times New Roman"/>
          <w:sz w:val="24"/>
          <w:szCs w:val="24"/>
        </w:rPr>
        <w:t xml:space="preserve">.  It is not the practice in this court of sending the reasons for a judgment that has already been handed down to be delivered in open court on a subsequent date even in circumstances where an order was made with reasons to follow.  This is so because the operative date for a judgment is the date on which the order was pronounced.  </w:t>
      </w:r>
      <w:r w:rsidRPr="006B1FA6">
        <w:rPr>
          <w:rFonts w:ascii="Times New Roman" w:hAnsi="Times New Roman" w:cs="Times New Roman"/>
          <w:i/>
          <w:sz w:val="24"/>
          <w:szCs w:val="24"/>
        </w:rPr>
        <w:t xml:space="preserve">In </w:t>
      </w:r>
      <w:r w:rsidRPr="006B1FA6">
        <w:rPr>
          <w:rFonts w:ascii="Times New Roman" w:hAnsi="Times New Roman" w:cs="Times New Roman"/>
          <w:i/>
          <w:sz w:val="24"/>
          <w:szCs w:val="24"/>
        </w:rPr>
        <w:lastRenderedPageBreak/>
        <w:t>casu</w:t>
      </w:r>
      <w:r>
        <w:rPr>
          <w:rFonts w:ascii="Times New Roman" w:hAnsi="Times New Roman" w:cs="Times New Roman"/>
          <w:sz w:val="24"/>
          <w:szCs w:val="24"/>
        </w:rPr>
        <w:t xml:space="preserve"> the judgment </w:t>
      </w:r>
      <w:r w:rsidR="006B1FA6">
        <w:rPr>
          <w:rFonts w:ascii="Times New Roman" w:hAnsi="Times New Roman" w:cs="Times New Roman"/>
          <w:sz w:val="24"/>
          <w:szCs w:val="24"/>
        </w:rPr>
        <w:t>w</w:t>
      </w:r>
      <w:r>
        <w:rPr>
          <w:rFonts w:ascii="Times New Roman" w:hAnsi="Times New Roman" w:cs="Times New Roman"/>
          <w:sz w:val="24"/>
          <w:szCs w:val="24"/>
        </w:rPr>
        <w:t xml:space="preserve">as delivered </w:t>
      </w:r>
      <w:r w:rsidR="006B1FA6">
        <w:rPr>
          <w:rFonts w:ascii="Times New Roman" w:hAnsi="Times New Roman" w:cs="Times New Roman"/>
          <w:sz w:val="24"/>
          <w:szCs w:val="24"/>
        </w:rPr>
        <w:t>with the</w:t>
      </w:r>
      <w:r>
        <w:rPr>
          <w:rFonts w:ascii="Times New Roman" w:hAnsi="Times New Roman" w:cs="Times New Roman"/>
          <w:sz w:val="24"/>
          <w:szCs w:val="24"/>
        </w:rPr>
        <w:t xml:space="preserve"> full reasons, as judgment</w:t>
      </w:r>
      <w:r w:rsidR="006B1FA6">
        <w:rPr>
          <w:rFonts w:ascii="Times New Roman" w:hAnsi="Times New Roman" w:cs="Times New Roman"/>
          <w:sz w:val="24"/>
          <w:szCs w:val="24"/>
        </w:rPr>
        <w:t xml:space="preserve"> number HH 403-23.  Contrary to the submission by Mr </w:t>
      </w:r>
      <w:r w:rsidR="006B1FA6" w:rsidRPr="0063544B">
        <w:rPr>
          <w:rFonts w:ascii="Times New Roman" w:hAnsi="Times New Roman" w:cs="Times New Roman"/>
          <w:i/>
          <w:sz w:val="24"/>
          <w:szCs w:val="24"/>
        </w:rPr>
        <w:t>Mataruka</w:t>
      </w:r>
      <w:r w:rsidR="006B1FA6">
        <w:rPr>
          <w:rFonts w:ascii="Times New Roman" w:hAnsi="Times New Roman" w:cs="Times New Roman"/>
          <w:sz w:val="24"/>
          <w:szCs w:val="24"/>
        </w:rPr>
        <w:t xml:space="preserve"> that he unsuccessfully sought for the reasons for the judgment, the copy of the judgment was actually attached as annexure “A” to the founding affidavit in the chamber application for leave to appeal that was filed under case number HC 4724/23, and the draft order in that case explicitly refers to it as the judgment of 30 June 2023.  The date stamp on the attached copy shows that the judgment was uplifted on 6 July 2023.</w:t>
      </w:r>
    </w:p>
    <w:p w:rsidR="006B1FA6" w:rsidRDefault="006B1FA6" w:rsidP="000A5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not correct that the chamber application for leave to appeal was placed before me.  I called for the record from the Registrar, which shows that the matter was placed before </w:t>
      </w:r>
      <w:r w:rsidRPr="006B1FA6">
        <w:rPr>
          <w:rFonts w:ascii="Times New Roman" w:hAnsi="Times New Roman" w:cs="Times New Roman"/>
          <w:smallCaps/>
          <w:sz w:val="24"/>
          <w:szCs w:val="24"/>
        </w:rPr>
        <w:t>Chinamora</w:t>
      </w:r>
      <w:r>
        <w:rPr>
          <w:rFonts w:ascii="Times New Roman" w:hAnsi="Times New Roman" w:cs="Times New Roman"/>
          <w:sz w:val="24"/>
          <w:szCs w:val="24"/>
        </w:rPr>
        <w:t xml:space="preserve"> J.  The Learned Judge wr</w:t>
      </w:r>
      <w:r w:rsidR="00835F37">
        <w:rPr>
          <w:rFonts w:ascii="Times New Roman" w:hAnsi="Times New Roman" w:cs="Times New Roman"/>
          <w:sz w:val="24"/>
          <w:szCs w:val="24"/>
        </w:rPr>
        <w:t>o</w:t>
      </w:r>
      <w:r>
        <w:rPr>
          <w:rFonts w:ascii="Times New Roman" w:hAnsi="Times New Roman" w:cs="Times New Roman"/>
          <w:sz w:val="24"/>
          <w:szCs w:val="24"/>
        </w:rPr>
        <w:t>te some comments which appear on the record itself.  The legal practitioner could have easily inspected this record to check on its status</w:t>
      </w:r>
      <w:r w:rsidR="004E4596">
        <w:rPr>
          <w:rFonts w:ascii="Times New Roman" w:hAnsi="Times New Roman" w:cs="Times New Roman"/>
          <w:sz w:val="24"/>
          <w:szCs w:val="24"/>
        </w:rPr>
        <w:t>.</w:t>
      </w:r>
    </w:p>
    <w:p w:rsidR="004E4596" w:rsidRDefault="004E4596" w:rsidP="000A5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second ground of appeal, there would be need to objectively assess the facts relied upon.  The parties to case number HC 4038/23 were the Minister of Mines and Mining Development as the applicant and the applicants herein who were the respondents.  The first to twelfth respondents herein were not parties in HC 4038/23.  In the present application, in para 11 of the founding affidavit, the applicants state explicitly that: “No relief is sought against the twelfth and thirteenth respondent in this matter….”  The </w:t>
      </w:r>
      <w:r w:rsidR="00E91F7B">
        <w:rPr>
          <w:rFonts w:ascii="Times New Roman" w:hAnsi="Times New Roman" w:cs="Times New Roman"/>
          <w:sz w:val="24"/>
          <w:szCs w:val="24"/>
        </w:rPr>
        <w:t>Minister is</w:t>
      </w:r>
      <w:r>
        <w:rPr>
          <w:rFonts w:ascii="Times New Roman" w:hAnsi="Times New Roman" w:cs="Times New Roman"/>
          <w:sz w:val="24"/>
          <w:szCs w:val="24"/>
        </w:rPr>
        <w:t xml:space="preserve"> the thirteenth respondent</w:t>
      </w:r>
      <w:r w:rsidR="00E91F7B">
        <w:rPr>
          <w:rFonts w:ascii="Times New Roman" w:hAnsi="Times New Roman" w:cs="Times New Roman"/>
          <w:sz w:val="24"/>
          <w:szCs w:val="24"/>
        </w:rPr>
        <w:t xml:space="preserve"> </w:t>
      </w:r>
      <w:r w:rsidR="00E91F7B" w:rsidRPr="00E91F7B">
        <w:rPr>
          <w:rFonts w:ascii="Times New Roman" w:hAnsi="Times New Roman" w:cs="Times New Roman"/>
          <w:i/>
          <w:sz w:val="24"/>
          <w:szCs w:val="24"/>
        </w:rPr>
        <w:t>in casu</w:t>
      </w:r>
      <w:r w:rsidR="00E91F7B">
        <w:rPr>
          <w:rFonts w:ascii="Times New Roman" w:hAnsi="Times New Roman" w:cs="Times New Roman"/>
          <w:sz w:val="24"/>
          <w:szCs w:val="24"/>
        </w:rPr>
        <w:t>. Thus the first to twelfth respondents herein were not involved in the dispute in HC 4038/23.  Further, the substance of the dispute in the two matter</w:t>
      </w:r>
      <w:r w:rsidR="00835F37">
        <w:rPr>
          <w:rFonts w:ascii="Times New Roman" w:hAnsi="Times New Roman" w:cs="Times New Roman"/>
          <w:sz w:val="24"/>
          <w:szCs w:val="24"/>
        </w:rPr>
        <w:t>s</w:t>
      </w:r>
      <w:r w:rsidR="00E91F7B">
        <w:rPr>
          <w:rFonts w:ascii="Times New Roman" w:hAnsi="Times New Roman" w:cs="Times New Roman"/>
          <w:sz w:val="24"/>
          <w:szCs w:val="24"/>
        </w:rPr>
        <w:t xml:space="preserve"> differs although the property is the same.  In HC 4038/23 the Minister was the one who sought and was granted an interdict pending determination of the Supreme Court Appeal.  He had the </w:t>
      </w:r>
      <w:r w:rsidR="00E91F7B" w:rsidRPr="0063544B">
        <w:rPr>
          <w:rFonts w:ascii="Times New Roman" w:hAnsi="Times New Roman" w:cs="Times New Roman"/>
          <w:sz w:val="24"/>
          <w:szCs w:val="24"/>
        </w:rPr>
        <w:t>onus</w:t>
      </w:r>
      <w:r w:rsidR="00E91F7B">
        <w:rPr>
          <w:rFonts w:ascii="Times New Roman" w:hAnsi="Times New Roman" w:cs="Times New Roman"/>
          <w:sz w:val="24"/>
          <w:szCs w:val="24"/>
        </w:rPr>
        <w:t xml:space="preserve"> to prove the requirements for the relief that he was seeking them</w:t>
      </w:r>
      <w:r w:rsidR="00835F37">
        <w:rPr>
          <w:rFonts w:ascii="Times New Roman" w:hAnsi="Times New Roman" w:cs="Times New Roman"/>
          <w:sz w:val="24"/>
          <w:szCs w:val="24"/>
        </w:rPr>
        <w:t>.</w:t>
      </w:r>
      <w:r w:rsidR="00E91F7B">
        <w:rPr>
          <w:rFonts w:ascii="Times New Roman" w:hAnsi="Times New Roman" w:cs="Times New Roman"/>
          <w:sz w:val="24"/>
          <w:szCs w:val="24"/>
        </w:rPr>
        <w:t xml:space="preserve"> </w:t>
      </w:r>
      <w:r w:rsidR="00835F37">
        <w:rPr>
          <w:rFonts w:ascii="Times New Roman" w:hAnsi="Times New Roman" w:cs="Times New Roman"/>
          <w:i/>
          <w:sz w:val="24"/>
          <w:szCs w:val="24"/>
        </w:rPr>
        <w:t>I</w:t>
      </w:r>
      <w:r w:rsidR="00E91F7B" w:rsidRPr="00E91F7B">
        <w:rPr>
          <w:rFonts w:ascii="Times New Roman" w:hAnsi="Times New Roman" w:cs="Times New Roman"/>
          <w:i/>
          <w:sz w:val="24"/>
          <w:szCs w:val="24"/>
        </w:rPr>
        <w:t>n casu</w:t>
      </w:r>
      <w:r w:rsidR="00E91F7B">
        <w:rPr>
          <w:rFonts w:ascii="Times New Roman" w:hAnsi="Times New Roman" w:cs="Times New Roman"/>
          <w:sz w:val="24"/>
          <w:szCs w:val="24"/>
        </w:rPr>
        <w:t xml:space="preserve"> the dispute is essentially between the applicants and the first to eleventh </w:t>
      </w:r>
      <w:r w:rsidR="00324DE8">
        <w:rPr>
          <w:rFonts w:ascii="Times New Roman" w:hAnsi="Times New Roman" w:cs="Times New Roman"/>
          <w:sz w:val="24"/>
          <w:szCs w:val="24"/>
        </w:rPr>
        <w:t>respondents</w:t>
      </w:r>
      <w:r w:rsidR="00E91F7B">
        <w:rPr>
          <w:rFonts w:ascii="Times New Roman" w:hAnsi="Times New Roman" w:cs="Times New Roman"/>
          <w:sz w:val="24"/>
          <w:szCs w:val="24"/>
        </w:rPr>
        <w:t xml:space="preserve">.  The onus will be on the applicant to prove </w:t>
      </w:r>
      <w:r w:rsidR="00324DE8">
        <w:rPr>
          <w:rFonts w:ascii="Times New Roman" w:hAnsi="Times New Roman" w:cs="Times New Roman"/>
          <w:sz w:val="24"/>
          <w:szCs w:val="24"/>
        </w:rPr>
        <w:t>its entitlement</w:t>
      </w:r>
      <w:r w:rsidR="00E91F7B">
        <w:rPr>
          <w:rFonts w:ascii="Times New Roman" w:hAnsi="Times New Roman" w:cs="Times New Roman"/>
          <w:sz w:val="24"/>
          <w:szCs w:val="24"/>
        </w:rPr>
        <w:t xml:space="preserve"> t</w:t>
      </w:r>
      <w:r w:rsidR="00324DE8">
        <w:rPr>
          <w:rFonts w:ascii="Times New Roman" w:hAnsi="Times New Roman" w:cs="Times New Roman"/>
          <w:sz w:val="24"/>
          <w:szCs w:val="24"/>
        </w:rPr>
        <w:t>o the relief in respect o</w:t>
      </w:r>
      <w:r w:rsidR="00E91F7B">
        <w:rPr>
          <w:rFonts w:ascii="Times New Roman" w:hAnsi="Times New Roman" w:cs="Times New Roman"/>
          <w:sz w:val="24"/>
          <w:szCs w:val="24"/>
        </w:rPr>
        <w:t>f</w:t>
      </w:r>
      <w:r w:rsidR="00324DE8">
        <w:rPr>
          <w:rFonts w:ascii="Times New Roman" w:hAnsi="Times New Roman" w:cs="Times New Roman"/>
          <w:sz w:val="24"/>
          <w:szCs w:val="24"/>
        </w:rPr>
        <w:t xml:space="preserve"> </w:t>
      </w:r>
      <w:r w:rsidR="00E91F7B">
        <w:rPr>
          <w:rFonts w:ascii="Times New Roman" w:hAnsi="Times New Roman" w:cs="Times New Roman"/>
          <w:sz w:val="24"/>
          <w:szCs w:val="24"/>
        </w:rPr>
        <w:t>those respondent</w:t>
      </w:r>
      <w:r w:rsidR="00324DE8">
        <w:rPr>
          <w:rFonts w:ascii="Times New Roman" w:hAnsi="Times New Roman" w:cs="Times New Roman"/>
          <w:sz w:val="24"/>
          <w:szCs w:val="24"/>
        </w:rPr>
        <w:t>s.  Any reasonable person knowing these facts would not have a reasonable apprehension of bias.</w:t>
      </w:r>
    </w:p>
    <w:p w:rsidR="00324DE8" w:rsidRDefault="00324DE8" w:rsidP="000A5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the circumstances, the application for recusation is meritless.</w:t>
      </w:r>
    </w:p>
    <w:p w:rsidR="00324DE8" w:rsidRDefault="00324DE8" w:rsidP="000A5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dismissed.</w:t>
      </w:r>
    </w:p>
    <w:p w:rsidR="00835F37" w:rsidRDefault="00835F37" w:rsidP="00835F37">
      <w:pPr>
        <w:spacing w:after="0" w:line="360" w:lineRule="auto"/>
        <w:jc w:val="both"/>
        <w:rPr>
          <w:rFonts w:ascii="Times New Roman" w:hAnsi="Times New Roman" w:cs="Times New Roman"/>
          <w:sz w:val="24"/>
          <w:szCs w:val="24"/>
        </w:rPr>
      </w:pPr>
    </w:p>
    <w:p w:rsidR="00835F37" w:rsidRDefault="00835F37" w:rsidP="00835F37">
      <w:pPr>
        <w:spacing w:after="0" w:line="360" w:lineRule="auto"/>
        <w:jc w:val="both"/>
        <w:rPr>
          <w:rFonts w:ascii="Times New Roman" w:hAnsi="Times New Roman" w:cs="Times New Roman"/>
          <w:sz w:val="24"/>
          <w:szCs w:val="24"/>
        </w:rPr>
      </w:pPr>
    </w:p>
    <w:p w:rsidR="00835F37" w:rsidRDefault="00835F37" w:rsidP="00835F37">
      <w:pPr>
        <w:spacing w:after="0" w:line="360" w:lineRule="auto"/>
        <w:jc w:val="both"/>
        <w:rPr>
          <w:rFonts w:ascii="Times New Roman" w:hAnsi="Times New Roman" w:cs="Times New Roman"/>
          <w:sz w:val="24"/>
          <w:szCs w:val="24"/>
        </w:rPr>
      </w:pPr>
    </w:p>
    <w:p w:rsidR="00835F37" w:rsidRDefault="00835F37" w:rsidP="0079186A">
      <w:pPr>
        <w:spacing w:after="0" w:line="240" w:lineRule="auto"/>
        <w:jc w:val="both"/>
        <w:rPr>
          <w:rFonts w:ascii="Times New Roman" w:hAnsi="Times New Roman" w:cs="Times New Roman"/>
          <w:sz w:val="24"/>
          <w:szCs w:val="24"/>
        </w:rPr>
      </w:pPr>
      <w:r w:rsidRPr="0079186A">
        <w:rPr>
          <w:rFonts w:ascii="Times New Roman" w:hAnsi="Times New Roman" w:cs="Times New Roman"/>
          <w:i/>
          <w:sz w:val="24"/>
          <w:szCs w:val="24"/>
        </w:rPr>
        <w:t>Gill Godlon</w:t>
      </w:r>
      <w:r w:rsidR="0079186A" w:rsidRPr="0079186A">
        <w:rPr>
          <w:rFonts w:ascii="Times New Roman" w:hAnsi="Times New Roman" w:cs="Times New Roman"/>
          <w:i/>
          <w:sz w:val="24"/>
          <w:szCs w:val="24"/>
        </w:rPr>
        <w:t>ton</w:t>
      </w:r>
      <w:r w:rsidRPr="0079186A">
        <w:rPr>
          <w:rFonts w:ascii="Times New Roman" w:hAnsi="Times New Roman" w:cs="Times New Roman"/>
          <w:i/>
          <w:sz w:val="24"/>
          <w:szCs w:val="24"/>
        </w:rPr>
        <w:t xml:space="preserve"> &amp; Gerrans,</w:t>
      </w:r>
      <w:r>
        <w:rPr>
          <w:rFonts w:ascii="Times New Roman" w:hAnsi="Times New Roman" w:cs="Times New Roman"/>
          <w:sz w:val="24"/>
          <w:szCs w:val="24"/>
        </w:rPr>
        <w:t xml:space="preserve"> applicants’ legal practitioners.</w:t>
      </w:r>
    </w:p>
    <w:p w:rsidR="00324DE8" w:rsidRPr="000A5C93" w:rsidRDefault="00835F37" w:rsidP="00637595">
      <w:pPr>
        <w:spacing w:after="0" w:line="240" w:lineRule="auto"/>
        <w:jc w:val="both"/>
        <w:rPr>
          <w:rFonts w:ascii="Times New Roman" w:hAnsi="Times New Roman" w:cs="Times New Roman"/>
          <w:sz w:val="24"/>
          <w:szCs w:val="24"/>
        </w:rPr>
      </w:pPr>
      <w:r w:rsidRPr="0079186A">
        <w:rPr>
          <w:rFonts w:ascii="Times New Roman" w:hAnsi="Times New Roman" w:cs="Times New Roman"/>
          <w:i/>
          <w:sz w:val="24"/>
          <w:szCs w:val="24"/>
        </w:rPr>
        <w:t>Dube Legal Practice</w:t>
      </w:r>
      <w:r>
        <w:rPr>
          <w:rFonts w:ascii="Times New Roman" w:hAnsi="Times New Roman" w:cs="Times New Roman"/>
          <w:sz w:val="24"/>
          <w:szCs w:val="24"/>
        </w:rPr>
        <w:t xml:space="preserve">, first to tenth </w:t>
      </w:r>
      <w:r w:rsidR="00637595">
        <w:rPr>
          <w:rFonts w:ascii="Times New Roman" w:hAnsi="Times New Roman" w:cs="Times New Roman"/>
          <w:sz w:val="24"/>
          <w:szCs w:val="24"/>
        </w:rPr>
        <w:t>respondents’ legal practitioners</w:t>
      </w:r>
    </w:p>
    <w:sectPr w:rsidR="00324DE8" w:rsidRPr="000A5C9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7C0" w:rsidRDefault="008237C0" w:rsidP="00C90762">
      <w:pPr>
        <w:spacing w:after="0" w:line="240" w:lineRule="auto"/>
      </w:pPr>
      <w:r>
        <w:separator/>
      </w:r>
    </w:p>
  </w:endnote>
  <w:endnote w:type="continuationSeparator" w:id="0">
    <w:p w:rsidR="008237C0" w:rsidRDefault="008237C0" w:rsidP="00C9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7C0" w:rsidRDefault="008237C0" w:rsidP="00C90762">
      <w:pPr>
        <w:spacing w:after="0" w:line="240" w:lineRule="auto"/>
      </w:pPr>
      <w:r>
        <w:separator/>
      </w:r>
    </w:p>
  </w:footnote>
  <w:footnote w:type="continuationSeparator" w:id="0">
    <w:p w:rsidR="008237C0" w:rsidRDefault="008237C0" w:rsidP="00C9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9648"/>
      <w:docPartObj>
        <w:docPartGallery w:val="Page Numbers (Top of Page)"/>
        <w:docPartUnique/>
      </w:docPartObj>
    </w:sdtPr>
    <w:sdtEndPr>
      <w:rPr>
        <w:noProof/>
      </w:rPr>
    </w:sdtEndPr>
    <w:sdtContent>
      <w:p w:rsidR="00C90762" w:rsidRDefault="00C90762">
        <w:pPr>
          <w:pStyle w:val="Header"/>
          <w:jc w:val="right"/>
          <w:rPr>
            <w:noProof/>
          </w:rPr>
        </w:pPr>
        <w:r>
          <w:fldChar w:fldCharType="begin"/>
        </w:r>
        <w:r>
          <w:instrText xml:space="preserve"> PAGE   \* MERGEFORMAT </w:instrText>
        </w:r>
        <w:r>
          <w:fldChar w:fldCharType="separate"/>
        </w:r>
        <w:r w:rsidR="007C4420">
          <w:rPr>
            <w:noProof/>
          </w:rPr>
          <w:t>2</w:t>
        </w:r>
        <w:r>
          <w:rPr>
            <w:noProof/>
          </w:rPr>
          <w:fldChar w:fldCharType="end"/>
        </w:r>
      </w:p>
      <w:p w:rsidR="00C90762" w:rsidRDefault="00C90762">
        <w:pPr>
          <w:pStyle w:val="Header"/>
          <w:jc w:val="right"/>
          <w:rPr>
            <w:noProof/>
          </w:rPr>
        </w:pPr>
        <w:r>
          <w:rPr>
            <w:noProof/>
          </w:rPr>
          <w:t>HH</w:t>
        </w:r>
        <w:r w:rsidR="0069747B">
          <w:rPr>
            <w:noProof/>
          </w:rPr>
          <w:t xml:space="preserve"> 608-23</w:t>
        </w:r>
      </w:p>
      <w:p w:rsidR="00C90762" w:rsidRDefault="00C90762">
        <w:pPr>
          <w:pStyle w:val="Header"/>
          <w:jc w:val="right"/>
        </w:pPr>
        <w:r>
          <w:rPr>
            <w:noProof/>
          </w:rPr>
          <w:t>HC 6677/23</w:t>
        </w:r>
      </w:p>
    </w:sdtContent>
  </w:sdt>
  <w:p w:rsidR="00C90762" w:rsidRDefault="00C907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62"/>
    <w:rsid w:val="000025DF"/>
    <w:rsid w:val="0007771A"/>
    <w:rsid w:val="000A5C93"/>
    <w:rsid w:val="00184ED1"/>
    <w:rsid w:val="001A4D2D"/>
    <w:rsid w:val="003105E9"/>
    <w:rsid w:val="00324DE8"/>
    <w:rsid w:val="004E4596"/>
    <w:rsid w:val="00521629"/>
    <w:rsid w:val="00577A9D"/>
    <w:rsid w:val="0059006D"/>
    <w:rsid w:val="005F24D4"/>
    <w:rsid w:val="00606555"/>
    <w:rsid w:val="0063544B"/>
    <w:rsid w:val="00637595"/>
    <w:rsid w:val="0069747B"/>
    <w:rsid w:val="006B1FA6"/>
    <w:rsid w:val="0079186A"/>
    <w:rsid w:val="007C4420"/>
    <w:rsid w:val="00800245"/>
    <w:rsid w:val="008237C0"/>
    <w:rsid w:val="00835F37"/>
    <w:rsid w:val="00842C94"/>
    <w:rsid w:val="008970DD"/>
    <w:rsid w:val="00913103"/>
    <w:rsid w:val="009270B1"/>
    <w:rsid w:val="00A44892"/>
    <w:rsid w:val="00A845EF"/>
    <w:rsid w:val="00BB192E"/>
    <w:rsid w:val="00C4036E"/>
    <w:rsid w:val="00C90762"/>
    <w:rsid w:val="00D12CA1"/>
    <w:rsid w:val="00E1319B"/>
    <w:rsid w:val="00E74D35"/>
    <w:rsid w:val="00E75AD7"/>
    <w:rsid w:val="00E9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FF943-0099-4BF1-B587-7EBFED3B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762"/>
  </w:style>
  <w:style w:type="paragraph" w:styleId="Footer">
    <w:name w:val="footer"/>
    <w:basedOn w:val="Normal"/>
    <w:link w:val="FooterChar"/>
    <w:uiPriority w:val="99"/>
    <w:unhideWhenUsed/>
    <w:rsid w:val="00C90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2023-11-10T09:53:00Z</dcterms:created>
  <dcterms:modified xsi:type="dcterms:W3CDTF">2023-11-10T09:53:00Z</dcterms:modified>
</cp:coreProperties>
</file>