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213C40" w14:textId="4FC31F35" w:rsidR="00DB0210" w:rsidRPr="00C05B8E" w:rsidRDefault="00DB0210" w:rsidP="00B41C16">
      <w:pPr>
        <w:spacing w:after="0" w:line="240" w:lineRule="auto"/>
        <w:jc w:val="both"/>
        <w:rPr>
          <w:rFonts w:ascii="Times New Roman" w:hAnsi="Times New Roman" w:cs="Times New Roman"/>
          <w:sz w:val="24"/>
          <w:szCs w:val="24"/>
        </w:rPr>
      </w:pPr>
      <w:bookmarkStart w:id="0" w:name="_GoBack"/>
      <w:bookmarkEnd w:id="0"/>
      <w:r w:rsidRPr="00C05B8E">
        <w:rPr>
          <w:rFonts w:ascii="Times New Roman" w:hAnsi="Times New Roman" w:cs="Times New Roman"/>
          <w:sz w:val="24"/>
          <w:szCs w:val="24"/>
        </w:rPr>
        <w:t>FADZAI USAYI (NEE MAGARA)</w:t>
      </w:r>
    </w:p>
    <w:p w14:paraId="6A114C5F" w14:textId="21CF5359" w:rsidR="00DB0210" w:rsidRPr="00C05B8E" w:rsidRDefault="004F23AB" w:rsidP="00B41C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B0210" w:rsidRPr="00C05B8E">
        <w:rPr>
          <w:rFonts w:ascii="Times New Roman" w:hAnsi="Times New Roman" w:cs="Times New Roman"/>
          <w:sz w:val="24"/>
          <w:szCs w:val="24"/>
        </w:rPr>
        <w:t>ersus</w:t>
      </w:r>
    </w:p>
    <w:p w14:paraId="34ABD2A5" w14:textId="77777777" w:rsidR="00DB0210" w:rsidRPr="00C05B8E" w:rsidRDefault="00DB0210" w:rsidP="00B41C16">
      <w:pPr>
        <w:spacing w:line="240" w:lineRule="auto"/>
        <w:jc w:val="both"/>
        <w:rPr>
          <w:rFonts w:ascii="Times New Roman" w:hAnsi="Times New Roman" w:cs="Times New Roman"/>
          <w:sz w:val="24"/>
          <w:szCs w:val="24"/>
        </w:rPr>
      </w:pPr>
      <w:r w:rsidRPr="00C05B8E">
        <w:rPr>
          <w:rFonts w:ascii="Times New Roman" w:hAnsi="Times New Roman" w:cs="Times New Roman"/>
          <w:sz w:val="24"/>
          <w:szCs w:val="24"/>
        </w:rPr>
        <w:t>LEONARD USAYI</w:t>
      </w:r>
    </w:p>
    <w:p w14:paraId="3EBCE0A1" w14:textId="77777777" w:rsidR="00DB0210" w:rsidRPr="00C05B8E" w:rsidRDefault="00DB0210" w:rsidP="00B41C16">
      <w:pPr>
        <w:spacing w:line="240" w:lineRule="auto"/>
        <w:jc w:val="both"/>
        <w:rPr>
          <w:rFonts w:ascii="Times New Roman" w:hAnsi="Times New Roman" w:cs="Times New Roman"/>
          <w:sz w:val="24"/>
          <w:szCs w:val="24"/>
        </w:rPr>
      </w:pPr>
    </w:p>
    <w:p w14:paraId="6F024E69" w14:textId="77777777" w:rsidR="00DB0210" w:rsidRPr="00C05B8E" w:rsidRDefault="00DB0210" w:rsidP="00B41C16">
      <w:pPr>
        <w:spacing w:after="0" w:line="240" w:lineRule="auto"/>
        <w:jc w:val="both"/>
        <w:rPr>
          <w:rFonts w:ascii="Times New Roman" w:hAnsi="Times New Roman" w:cs="Times New Roman"/>
          <w:sz w:val="24"/>
          <w:szCs w:val="24"/>
        </w:rPr>
      </w:pPr>
      <w:r w:rsidRPr="00C05B8E">
        <w:rPr>
          <w:rFonts w:ascii="Times New Roman" w:hAnsi="Times New Roman" w:cs="Times New Roman"/>
          <w:sz w:val="24"/>
          <w:szCs w:val="24"/>
        </w:rPr>
        <w:t>HIGH COURT OF ZIMBABWE</w:t>
      </w:r>
    </w:p>
    <w:p w14:paraId="46870EC0" w14:textId="77777777" w:rsidR="00DB0210" w:rsidRPr="00C05B8E" w:rsidRDefault="00DB0210" w:rsidP="00B41C16">
      <w:pPr>
        <w:spacing w:after="0" w:line="240" w:lineRule="auto"/>
        <w:jc w:val="both"/>
        <w:rPr>
          <w:rFonts w:ascii="Times New Roman" w:hAnsi="Times New Roman" w:cs="Times New Roman"/>
          <w:b/>
          <w:bCs/>
          <w:sz w:val="24"/>
          <w:szCs w:val="24"/>
        </w:rPr>
      </w:pPr>
      <w:r w:rsidRPr="00C05B8E">
        <w:rPr>
          <w:rFonts w:ascii="Times New Roman" w:hAnsi="Times New Roman" w:cs="Times New Roman"/>
          <w:b/>
          <w:bCs/>
          <w:sz w:val="24"/>
          <w:szCs w:val="24"/>
        </w:rPr>
        <w:t>MAXWELL J</w:t>
      </w:r>
    </w:p>
    <w:p w14:paraId="464DB849" w14:textId="3680F5D0" w:rsidR="00DB0210" w:rsidRPr="00C05B8E" w:rsidRDefault="00DB0210" w:rsidP="00B41C16">
      <w:pPr>
        <w:spacing w:after="0" w:line="240" w:lineRule="auto"/>
        <w:jc w:val="both"/>
        <w:rPr>
          <w:rFonts w:ascii="Times New Roman" w:hAnsi="Times New Roman" w:cs="Times New Roman"/>
          <w:sz w:val="24"/>
          <w:szCs w:val="24"/>
        </w:rPr>
      </w:pPr>
      <w:r w:rsidRPr="00C05B8E">
        <w:rPr>
          <w:rFonts w:ascii="Times New Roman" w:hAnsi="Times New Roman" w:cs="Times New Roman"/>
          <w:sz w:val="24"/>
          <w:szCs w:val="24"/>
        </w:rPr>
        <w:t>HARARE,</w:t>
      </w:r>
      <w:r w:rsidR="004F23AB">
        <w:rPr>
          <w:rFonts w:ascii="Times New Roman" w:hAnsi="Times New Roman" w:cs="Times New Roman"/>
          <w:sz w:val="24"/>
          <w:szCs w:val="24"/>
        </w:rPr>
        <w:t xml:space="preserve"> </w:t>
      </w:r>
      <w:r w:rsidRPr="00C05B8E">
        <w:rPr>
          <w:rFonts w:ascii="Times New Roman" w:hAnsi="Times New Roman" w:cs="Times New Roman"/>
          <w:sz w:val="24"/>
          <w:szCs w:val="24"/>
        </w:rPr>
        <w:t>5</w:t>
      </w:r>
      <w:r w:rsidR="004F23AB">
        <w:rPr>
          <w:rFonts w:ascii="Times New Roman" w:hAnsi="Times New Roman" w:cs="Times New Roman"/>
          <w:sz w:val="24"/>
          <w:szCs w:val="24"/>
        </w:rPr>
        <w:t xml:space="preserve"> &amp; </w:t>
      </w:r>
      <w:r w:rsidRPr="00C05B8E">
        <w:rPr>
          <w:rFonts w:ascii="Times New Roman" w:hAnsi="Times New Roman" w:cs="Times New Roman"/>
          <w:sz w:val="24"/>
          <w:szCs w:val="24"/>
        </w:rPr>
        <w:t>7 J</w:t>
      </w:r>
      <w:r w:rsidR="004F23AB" w:rsidRPr="00C05B8E">
        <w:rPr>
          <w:rFonts w:ascii="Times New Roman" w:hAnsi="Times New Roman" w:cs="Times New Roman"/>
          <w:sz w:val="24"/>
          <w:szCs w:val="24"/>
        </w:rPr>
        <w:t>une</w:t>
      </w:r>
      <w:r w:rsidR="00447ECE">
        <w:rPr>
          <w:rFonts w:ascii="Times New Roman" w:hAnsi="Times New Roman" w:cs="Times New Roman"/>
          <w:sz w:val="24"/>
          <w:szCs w:val="24"/>
        </w:rPr>
        <w:t xml:space="preserve"> and </w:t>
      </w:r>
      <w:r w:rsidR="00266384">
        <w:rPr>
          <w:rFonts w:ascii="Times New Roman" w:hAnsi="Times New Roman" w:cs="Times New Roman"/>
          <w:sz w:val="24"/>
          <w:szCs w:val="24"/>
        </w:rPr>
        <w:t>3</w:t>
      </w:r>
      <w:r w:rsidR="00447ECE">
        <w:rPr>
          <w:rFonts w:ascii="Times New Roman" w:hAnsi="Times New Roman" w:cs="Times New Roman"/>
          <w:sz w:val="24"/>
          <w:szCs w:val="24"/>
        </w:rPr>
        <w:t>0</w:t>
      </w:r>
      <w:r w:rsidR="00266384">
        <w:rPr>
          <w:rFonts w:ascii="Times New Roman" w:hAnsi="Times New Roman" w:cs="Times New Roman"/>
          <w:sz w:val="24"/>
          <w:szCs w:val="24"/>
        </w:rPr>
        <w:t xml:space="preserve"> August</w:t>
      </w:r>
      <w:r w:rsidRPr="00C05B8E">
        <w:rPr>
          <w:rFonts w:ascii="Times New Roman" w:hAnsi="Times New Roman" w:cs="Times New Roman"/>
          <w:sz w:val="24"/>
          <w:szCs w:val="24"/>
        </w:rPr>
        <w:t xml:space="preserve"> 2023</w:t>
      </w:r>
    </w:p>
    <w:p w14:paraId="07CB6542" w14:textId="77777777" w:rsidR="00B41C16" w:rsidRDefault="00B41C16" w:rsidP="00B41C16">
      <w:pPr>
        <w:spacing w:line="240" w:lineRule="auto"/>
        <w:jc w:val="both"/>
        <w:rPr>
          <w:rFonts w:ascii="Times New Roman" w:hAnsi="Times New Roman" w:cs="Times New Roman"/>
          <w:sz w:val="24"/>
          <w:szCs w:val="24"/>
        </w:rPr>
      </w:pPr>
    </w:p>
    <w:p w14:paraId="7F5B9B84" w14:textId="399295EA" w:rsidR="004F23AB" w:rsidRPr="00266384" w:rsidRDefault="00DB0210" w:rsidP="00B41C16">
      <w:pPr>
        <w:spacing w:line="240" w:lineRule="auto"/>
        <w:jc w:val="both"/>
        <w:rPr>
          <w:rFonts w:ascii="Times New Roman" w:hAnsi="Times New Roman" w:cs="Times New Roman"/>
          <w:sz w:val="24"/>
          <w:szCs w:val="24"/>
        </w:rPr>
      </w:pPr>
      <w:r w:rsidRPr="00266384">
        <w:rPr>
          <w:rFonts w:ascii="Times New Roman" w:hAnsi="Times New Roman" w:cs="Times New Roman"/>
          <w:sz w:val="24"/>
          <w:szCs w:val="24"/>
        </w:rPr>
        <w:t>C</w:t>
      </w:r>
      <w:r w:rsidR="00B41C16" w:rsidRPr="00266384">
        <w:rPr>
          <w:rFonts w:ascii="Times New Roman" w:hAnsi="Times New Roman" w:cs="Times New Roman"/>
          <w:sz w:val="24"/>
          <w:szCs w:val="24"/>
        </w:rPr>
        <w:t>ivil</w:t>
      </w:r>
      <w:r w:rsidRPr="00266384">
        <w:rPr>
          <w:rFonts w:ascii="Times New Roman" w:hAnsi="Times New Roman" w:cs="Times New Roman"/>
          <w:sz w:val="24"/>
          <w:szCs w:val="24"/>
        </w:rPr>
        <w:t xml:space="preserve"> T</w:t>
      </w:r>
      <w:r w:rsidR="00B41C16" w:rsidRPr="00266384">
        <w:rPr>
          <w:rFonts w:ascii="Times New Roman" w:hAnsi="Times New Roman" w:cs="Times New Roman"/>
          <w:sz w:val="24"/>
          <w:szCs w:val="24"/>
        </w:rPr>
        <w:t>rial</w:t>
      </w:r>
    </w:p>
    <w:p w14:paraId="2D6F6C44" w14:textId="77777777" w:rsidR="00B41C16" w:rsidRPr="00C05B8E" w:rsidRDefault="00B41C16" w:rsidP="00B41C16">
      <w:pPr>
        <w:spacing w:line="240" w:lineRule="auto"/>
        <w:jc w:val="both"/>
        <w:rPr>
          <w:rFonts w:ascii="Times New Roman" w:hAnsi="Times New Roman" w:cs="Times New Roman"/>
          <w:b/>
          <w:bCs/>
          <w:sz w:val="24"/>
          <w:szCs w:val="24"/>
        </w:rPr>
      </w:pPr>
    </w:p>
    <w:p w14:paraId="21C006DA" w14:textId="735E42F3" w:rsidR="00DB0210" w:rsidRPr="00C05B8E" w:rsidRDefault="00DB0210" w:rsidP="00B41C16">
      <w:pPr>
        <w:spacing w:after="0" w:line="240" w:lineRule="auto"/>
        <w:jc w:val="both"/>
        <w:rPr>
          <w:rFonts w:ascii="Times New Roman" w:hAnsi="Times New Roman" w:cs="Times New Roman"/>
          <w:sz w:val="24"/>
          <w:szCs w:val="24"/>
        </w:rPr>
      </w:pPr>
      <w:r w:rsidRPr="00C05B8E">
        <w:rPr>
          <w:rFonts w:ascii="Times New Roman" w:hAnsi="Times New Roman" w:cs="Times New Roman"/>
          <w:i/>
          <w:iCs/>
          <w:sz w:val="24"/>
          <w:szCs w:val="24"/>
        </w:rPr>
        <w:t>R</w:t>
      </w:r>
      <w:r w:rsidR="004F23AB">
        <w:rPr>
          <w:rFonts w:ascii="Times New Roman" w:hAnsi="Times New Roman" w:cs="Times New Roman"/>
          <w:i/>
          <w:iCs/>
          <w:sz w:val="24"/>
          <w:szCs w:val="24"/>
        </w:rPr>
        <w:t xml:space="preserve"> </w:t>
      </w:r>
      <w:r w:rsidRPr="00C05B8E">
        <w:rPr>
          <w:rFonts w:ascii="Times New Roman" w:hAnsi="Times New Roman" w:cs="Times New Roman"/>
          <w:i/>
          <w:iCs/>
          <w:sz w:val="24"/>
          <w:szCs w:val="24"/>
        </w:rPr>
        <w:t xml:space="preserve">G Zhuwarara &amp; G Ndlovu, </w:t>
      </w:r>
      <w:r w:rsidRPr="00C05B8E">
        <w:rPr>
          <w:rFonts w:ascii="Times New Roman" w:hAnsi="Times New Roman" w:cs="Times New Roman"/>
          <w:sz w:val="24"/>
          <w:szCs w:val="24"/>
        </w:rPr>
        <w:t xml:space="preserve">for </w:t>
      </w:r>
      <w:r w:rsidR="004F23AB">
        <w:rPr>
          <w:rFonts w:ascii="Times New Roman" w:hAnsi="Times New Roman" w:cs="Times New Roman"/>
          <w:sz w:val="24"/>
          <w:szCs w:val="24"/>
        </w:rPr>
        <w:t>the p</w:t>
      </w:r>
      <w:r w:rsidRPr="00C05B8E">
        <w:rPr>
          <w:rFonts w:ascii="Times New Roman" w:hAnsi="Times New Roman" w:cs="Times New Roman"/>
          <w:sz w:val="24"/>
          <w:szCs w:val="24"/>
        </w:rPr>
        <w:t>laintiff</w:t>
      </w:r>
    </w:p>
    <w:p w14:paraId="76AB5E6D" w14:textId="2699427F" w:rsidR="00DB0210" w:rsidRDefault="00DB0210" w:rsidP="00B41C16">
      <w:pPr>
        <w:spacing w:line="240" w:lineRule="auto"/>
        <w:jc w:val="both"/>
        <w:rPr>
          <w:rFonts w:ascii="Times New Roman" w:hAnsi="Times New Roman" w:cs="Times New Roman"/>
          <w:sz w:val="24"/>
          <w:szCs w:val="24"/>
        </w:rPr>
      </w:pPr>
      <w:r w:rsidRPr="00C05B8E">
        <w:rPr>
          <w:rFonts w:ascii="Times New Roman" w:hAnsi="Times New Roman" w:cs="Times New Roman"/>
          <w:i/>
          <w:iCs/>
          <w:sz w:val="24"/>
          <w:szCs w:val="24"/>
        </w:rPr>
        <w:t>S</w:t>
      </w:r>
      <w:r w:rsidR="004F23AB">
        <w:rPr>
          <w:rFonts w:ascii="Times New Roman" w:hAnsi="Times New Roman" w:cs="Times New Roman"/>
          <w:i/>
          <w:iCs/>
          <w:sz w:val="24"/>
          <w:szCs w:val="24"/>
        </w:rPr>
        <w:t xml:space="preserve"> </w:t>
      </w:r>
      <w:r w:rsidRPr="00C05B8E">
        <w:rPr>
          <w:rFonts w:ascii="Times New Roman" w:hAnsi="Times New Roman" w:cs="Times New Roman"/>
          <w:i/>
          <w:iCs/>
          <w:sz w:val="24"/>
          <w:szCs w:val="24"/>
        </w:rPr>
        <w:t>Banda &amp; T Gurira,</w:t>
      </w:r>
      <w:r w:rsidRPr="00C05B8E">
        <w:rPr>
          <w:rFonts w:ascii="Times New Roman" w:hAnsi="Times New Roman" w:cs="Times New Roman"/>
          <w:sz w:val="24"/>
          <w:szCs w:val="24"/>
        </w:rPr>
        <w:t xml:space="preserve"> for </w:t>
      </w:r>
      <w:r w:rsidR="004F23AB">
        <w:rPr>
          <w:rFonts w:ascii="Times New Roman" w:hAnsi="Times New Roman" w:cs="Times New Roman"/>
          <w:sz w:val="24"/>
          <w:szCs w:val="24"/>
        </w:rPr>
        <w:t>the d</w:t>
      </w:r>
      <w:r w:rsidRPr="00C05B8E">
        <w:rPr>
          <w:rFonts w:ascii="Times New Roman" w:hAnsi="Times New Roman" w:cs="Times New Roman"/>
          <w:sz w:val="24"/>
          <w:szCs w:val="24"/>
        </w:rPr>
        <w:t>efendant</w:t>
      </w:r>
    </w:p>
    <w:p w14:paraId="631C38EA" w14:textId="77777777" w:rsidR="00B41C16" w:rsidRPr="00C05B8E" w:rsidRDefault="00B41C16" w:rsidP="00B41C16">
      <w:pPr>
        <w:spacing w:line="240" w:lineRule="auto"/>
        <w:jc w:val="both"/>
        <w:rPr>
          <w:rFonts w:ascii="Times New Roman" w:hAnsi="Times New Roman" w:cs="Times New Roman"/>
          <w:sz w:val="24"/>
          <w:szCs w:val="24"/>
        </w:rPr>
      </w:pPr>
    </w:p>
    <w:p w14:paraId="2752798E" w14:textId="6E60DEA1" w:rsidR="00DB0210" w:rsidRPr="00C05B8E" w:rsidRDefault="00DB0210"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MAXWELL J</w:t>
      </w:r>
      <w:r w:rsidR="004F23AB">
        <w:rPr>
          <w:rFonts w:ascii="Times New Roman" w:hAnsi="Times New Roman" w:cs="Times New Roman"/>
          <w:sz w:val="24"/>
          <w:szCs w:val="24"/>
        </w:rPr>
        <w:t>:</w:t>
      </w:r>
    </w:p>
    <w:p w14:paraId="220DFD1A" w14:textId="1549C6FE" w:rsidR="00A35736" w:rsidRPr="00C05B8E" w:rsidRDefault="00B62013"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The parties in this matter were married on the 27</w:t>
      </w:r>
      <w:r w:rsidRPr="00C05B8E">
        <w:rPr>
          <w:rFonts w:ascii="Times New Roman" w:hAnsi="Times New Roman" w:cs="Times New Roman"/>
          <w:sz w:val="24"/>
          <w:szCs w:val="24"/>
          <w:vertAlign w:val="superscript"/>
        </w:rPr>
        <w:t>th</w:t>
      </w:r>
      <w:r w:rsidRPr="00C05B8E">
        <w:rPr>
          <w:rFonts w:ascii="Times New Roman" w:hAnsi="Times New Roman" w:cs="Times New Roman"/>
          <w:sz w:val="24"/>
          <w:szCs w:val="24"/>
        </w:rPr>
        <w:t xml:space="preserve"> of September 1997. There are two children born out of the marriage both of whom are now majors. On 4 October 2021 Plaintiff issued out summons claiming a decree of divorce and ancillary relief. </w:t>
      </w:r>
      <w:r w:rsidR="00A35736" w:rsidRPr="00C05B8E">
        <w:rPr>
          <w:rFonts w:ascii="Times New Roman" w:hAnsi="Times New Roman" w:cs="Times New Roman"/>
          <w:sz w:val="24"/>
          <w:szCs w:val="24"/>
        </w:rPr>
        <w:t>The Defendant entered an Appearance to Defend and subsequently filed his plea to the Plaintiff’s claim. A Pre-Trial Conference was held. The issue referred to trial was</w:t>
      </w:r>
      <w:r w:rsidR="004F23AB">
        <w:rPr>
          <w:rFonts w:ascii="Times New Roman" w:hAnsi="Times New Roman" w:cs="Times New Roman"/>
          <w:sz w:val="24"/>
          <w:szCs w:val="24"/>
        </w:rPr>
        <w:t>:</w:t>
      </w:r>
    </w:p>
    <w:p w14:paraId="0DB390FC" w14:textId="77777777" w:rsidR="00A35736" w:rsidRPr="00D7380B" w:rsidRDefault="00A35736" w:rsidP="00B57229">
      <w:pPr>
        <w:spacing w:after="0" w:line="240" w:lineRule="auto"/>
        <w:ind w:left="720"/>
        <w:jc w:val="both"/>
        <w:rPr>
          <w:rFonts w:ascii="Times New Roman" w:hAnsi="Times New Roman" w:cs="Times New Roman"/>
        </w:rPr>
      </w:pPr>
      <w:r w:rsidRPr="00D7380B">
        <w:rPr>
          <w:rFonts w:ascii="Times New Roman" w:hAnsi="Times New Roman" w:cs="Times New Roman"/>
        </w:rPr>
        <w:t xml:space="preserve"> “What order should be made in respect of the division of the ma</w:t>
      </w:r>
      <w:r w:rsidR="006F2AD7" w:rsidRPr="00D7380B">
        <w:rPr>
          <w:rFonts w:ascii="Times New Roman" w:hAnsi="Times New Roman" w:cs="Times New Roman"/>
        </w:rPr>
        <w:t>trimonial assets of the parties</w:t>
      </w:r>
      <w:r w:rsidRPr="00D7380B">
        <w:rPr>
          <w:rFonts w:ascii="Times New Roman" w:hAnsi="Times New Roman" w:cs="Times New Roman"/>
        </w:rPr>
        <w:t>?”</w:t>
      </w:r>
    </w:p>
    <w:p w14:paraId="04EED630" w14:textId="77777777" w:rsidR="004278CD" w:rsidRPr="00C05B8E" w:rsidRDefault="004278CD" w:rsidP="00B57229">
      <w:pPr>
        <w:spacing w:after="0" w:line="240" w:lineRule="auto"/>
        <w:ind w:left="720"/>
        <w:jc w:val="both"/>
        <w:rPr>
          <w:rFonts w:ascii="Times New Roman" w:hAnsi="Times New Roman" w:cs="Times New Roman"/>
          <w:sz w:val="24"/>
          <w:szCs w:val="24"/>
        </w:rPr>
      </w:pPr>
    </w:p>
    <w:p w14:paraId="3CCDD26A" w14:textId="14F069F5" w:rsidR="000774E8" w:rsidRPr="00C05B8E" w:rsidRDefault="00B62013"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The parties are agreed that their marriage has irretrievably broken down</w:t>
      </w:r>
      <w:r w:rsidR="008F5A4F" w:rsidRPr="00C05B8E">
        <w:rPr>
          <w:rFonts w:ascii="Times New Roman" w:hAnsi="Times New Roman" w:cs="Times New Roman"/>
          <w:sz w:val="24"/>
          <w:szCs w:val="24"/>
        </w:rPr>
        <w:t xml:space="preserve"> and there is no reasonable prospect of a reconciliation occurring. </w:t>
      </w:r>
      <w:r w:rsidR="00795373" w:rsidRPr="00C05B8E">
        <w:rPr>
          <w:rFonts w:ascii="Times New Roman" w:hAnsi="Times New Roman" w:cs="Times New Roman"/>
          <w:sz w:val="24"/>
          <w:szCs w:val="24"/>
        </w:rPr>
        <w:t xml:space="preserve">In her declaration, Plaintiff stated that during the subsistence of the marriage, the parties acquired the following </w:t>
      </w:r>
      <w:r w:rsidR="000774E8" w:rsidRPr="00C05B8E">
        <w:rPr>
          <w:rFonts w:ascii="Times New Roman" w:hAnsi="Times New Roman" w:cs="Times New Roman"/>
          <w:sz w:val="24"/>
          <w:szCs w:val="24"/>
        </w:rPr>
        <w:t>property</w:t>
      </w:r>
      <w:r w:rsidR="004F23AB">
        <w:rPr>
          <w:rFonts w:ascii="Times New Roman" w:hAnsi="Times New Roman" w:cs="Times New Roman"/>
          <w:sz w:val="24"/>
          <w:szCs w:val="24"/>
        </w:rPr>
        <w:t>:</w:t>
      </w:r>
    </w:p>
    <w:p w14:paraId="3F0DEF32" w14:textId="350A6D48" w:rsidR="000774E8" w:rsidRPr="00C05B8E" w:rsidRDefault="000774E8"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Movable Property-Motor vehicles</w:t>
      </w:r>
      <w:r w:rsidR="00C73572">
        <w:rPr>
          <w:rFonts w:ascii="Times New Roman" w:hAnsi="Times New Roman" w:cs="Times New Roman"/>
          <w:sz w:val="24"/>
          <w:szCs w:val="24"/>
        </w:rPr>
        <w:t>:</w:t>
      </w:r>
    </w:p>
    <w:p w14:paraId="149E1DF8" w14:textId="77777777" w:rsidR="000774E8" w:rsidRPr="00C05B8E" w:rsidRDefault="000774E8" w:rsidP="00B57229">
      <w:pPr>
        <w:pStyle w:val="ListParagraph"/>
        <w:numPr>
          <w:ilvl w:val="0"/>
          <w:numId w:val="2"/>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Toyota Ipsum registration number AFC 2454 registered in the name of the Plaintiff,</w:t>
      </w:r>
    </w:p>
    <w:p w14:paraId="10F06D8B" w14:textId="77777777" w:rsidR="000774E8" w:rsidRPr="00C05B8E" w:rsidRDefault="000774E8" w:rsidP="00B57229">
      <w:pPr>
        <w:pStyle w:val="ListParagraph"/>
        <w:numPr>
          <w:ilvl w:val="0"/>
          <w:numId w:val="2"/>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Honda Fit registration number AFC 2455 registered in the name of the Plaintiff,</w:t>
      </w:r>
    </w:p>
    <w:p w14:paraId="72A714AE" w14:textId="77777777" w:rsidR="000774E8" w:rsidRPr="00C05B8E" w:rsidRDefault="000774E8" w:rsidP="00B57229">
      <w:pPr>
        <w:pStyle w:val="ListParagraph"/>
        <w:numPr>
          <w:ilvl w:val="0"/>
          <w:numId w:val="2"/>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Honda Fit registration number AFC 2456 registered in the name of the Plaintiff, and</w:t>
      </w:r>
    </w:p>
    <w:p w14:paraId="0ED15757" w14:textId="77777777" w:rsidR="000774E8" w:rsidRDefault="000774E8" w:rsidP="00B57229">
      <w:pPr>
        <w:pStyle w:val="ListParagraph"/>
        <w:numPr>
          <w:ilvl w:val="0"/>
          <w:numId w:val="2"/>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VW Polo registered in the name of the Defendant.</w:t>
      </w:r>
    </w:p>
    <w:p w14:paraId="10106F76" w14:textId="7B80D107" w:rsidR="000774E8" w:rsidRPr="00C05B8E" w:rsidRDefault="000774E8"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 xml:space="preserve">Household </w:t>
      </w:r>
      <w:r w:rsidR="00266384">
        <w:rPr>
          <w:rFonts w:ascii="Times New Roman" w:hAnsi="Times New Roman" w:cs="Times New Roman"/>
          <w:sz w:val="24"/>
          <w:szCs w:val="24"/>
        </w:rPr>
        <w:t>I</w:t>
      </w:r>
      <w:r w:rsidRPr="00C05B8E">
        <w:rPr>
          <w:rFonts w:ascii="Times New Roman" w:hAnsi="Times New Roman" w:cs="Times New Roman"/>
          <w:sz w:val="24"/>
          <w:szCs w:val="24"/>
        </w:rPr>
        <w:t>tems</w:t>
      </w:r>
    </w:p>
    <w:p w14:paraId="6190C6F3" w14:textId="77777777" w:rsidR="000774E8" w:rsidRPr="00C05B8E" w:rsidRDefault="000774E8"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 xml:space="preserve">3 x Double/3 quarter beds, </w:t>
      </w:r>
    </w:p>
    <w:p w14:paraId="0A2D4441" w14:textId="77777777" w:rsidR="000774E8" w:rsidRPr="00C05B8E" w:rsidRDefault="000774E8"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3 x King beds,</w:t>
      </w:r>
    </w:p>
    <w:p w14:paraId="05A01B47" w14:textId="77777777" w:rsidR="000774E8" w:rsidRPr="00C05B8E" w:rsidRDefault="000774E8"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3x King head boards,</w:t>
      </w:r>
    </w:p>
    <w:p w14:paraId="6A4325F7" w14:textId="77777777" w:rsidR="000774E8" w:rsidRPr="00C05B8E" w:rsidRDefault="000774E8"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lastRenderedPageBreak/>
        <w:t>3 quarter head board,</w:t>
      </w:r>
    </w:p>
    <w:p w14:paraId="2D147742" w14:textId="77777777" w:rsidR="000774E8" w:rsidRPr="00C05B8E" w:rsidRDefault="000774E8"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Sheets, Duvets and Pillows,</w:t>
      </w:r>
    </w:p>
    <w:p w14:paraId="052FE27E" w14:textId="77777777" w:rsidR="000774E8" w:rsidRPr="00C05B8E" w:rsidRDefault="000774E8"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Flower pots</w:t>
      </w:r>
      <w:r w:rsidR="00D43453" w:rsidRPr="00C05B8E">
        <w:rPr>
          <w:rFonts w:ascii="Times New Roman" w:hAnsi="Times New Roman" w:cs="Times New Roman"/>
          <w:sz w:val="24"/>
          <w:szCs w:val="24"/>
        </w:rPr>
        <w:t>.</w:t>
      </w:r>
    </w:p>
    <w:p w14:paraId="1910A224" w14:textId="77777777" w:rsidR="000774E8" w:rsidRPr="00C05B8E" w:rsidRDefault="000774E8"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Leather Sofas,</w:t>
      </w:r>
    </w:p>
    <w:p w14:paraId="2E28F28E" w14:textId="77777777" w:rsidR="000774E8" w:rsidRPr="00C05B8E" w:rsidRDefault="000774E8"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Fabric Sofas,</w:t>
      </w:r>
    </w:p>
    <w:p w14:paraId="73EE0341" w14:textId="77777777" w:rsidR="000774E8" w:rsidRPr="00C05B8E" w:rsidRDefault="000774E8"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 xml:space="preserve"> 2 x Tele</w:t>
      </w:r>
      <w:r w:rsidR="00D43453" w:rsidRPr="00C05B8E">
        <w:rPr>
          <w:rFonts w:ascii="Times New Roman" w:hAnsi="Times New Roman" w:cs="Times New Roman"/>
          <w:sz w:val="24"/>
          <w:szCs w:val="24"/>
        </w:rPr>
        <w:t>vision (45` &amp; 55`),</w:t>
      </w:r>
    </w:p>
    <w:p w14:paraId="0CFFD45F"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Smart TV,</w:t>
      </w:r>
    </w:p>
    <w:p w14:paraId="4D82E873"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Projector and Screen,</w:t>
      </w:r>
    </w:p>
    <w:p w14:paraId="321C5680"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Small silver fridges from Hirsches,</w:t>
      </w:r>
    </w:p>
    <w:p w14:paraId="042F345C"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1 plate gas stove,</w:t>
      </w:r>
    </w:p>
    <w:p w14:paraId="21F86851"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4 plate electric stove,</w:t>
      </w:r>
    </w:p>
    <w:p w14:paraId="51C6BC6C"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5 plate gas stove,</w:t>
      </w:r>
    </w:p>
    <w:p w14:paraId="503762A2"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Generator,</w:t>
      </w:r>
    </w:p>
    <w:p w14:paraId="77CFD42A"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Invertor (lights &amp; plugs),</w:t>
      </w:r>
    </w:p>
    <w:p w14:paraId="7B0B3E00" w14:textId="08897086"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6</w:t>
      </w:r>
      <w:r w:rsidR="001F35D5">
        <w:rPr>
          <w:rFonts w:ascii="Times New Roman" w:hAnsi="Times New Roman" w:cs="Times New Roman"/>
          <w:sz w:val="24"/>
          <w:szCs w:val="24"/>
        </w:rPr>
        <w:t>-</w:t>
      </w:r>
      <w:r w:rsidRPr="00C05B8E">
        <w:rPr>
          <w:rFonts w:ascii="Times New Roman" w:hAnsi="Times New Roman" w:cs="Times New Roman"/>
          <w:sz w:val="24"/>
          <w:szCs w:val="24"/>
        </w:rPr>
        <w:t>seater dining set,</w:t>
      </w:r>
    </w:p>
    <w:p w14:paraId="795671D2"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Washing machine,</w:t>
      </w:r>
    </w:p>
    <w:p w14:paraId="04596DD1"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Dish washer,</w:t>
      </w:r>
    </w:p>
    <w:p w14:paraId="75D6AD62"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Garden furniture,</w:t>
      </w:r>
    </w:p>
    <w:p w14:paraId="47C68D39"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Plates, pots, utensils,</w:t>
      </w:r>
    </w:p>
    <w:p w14:paraId="2724B107"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Carpets and rugs,</w:t>
      </w:r>
    </w:p>
    <w:p w14:paraId="45A833E8"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2 x coffee tables,</w:t>
      </w:r>
    </w:p>
    <w:p w14:paraId="60DC275E"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Upright freezer,</w:t>
      </w:r>
    </w:p>
    <w:p w14:paraId="78DF240D"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Deep freezer,</w:t>
      </w:r>
    </w:p>
    <w:p w14:paraId="2376FDF0"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Upright freezer combo,</w:t>
      </w:r>
    </w:p>
    <w:p w14:paraId="26F8935E"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Office furniture under the shed,</w:t>
      </w:r>
    </w:p>
    <w:p w14:paraId="293A32F3"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Tool shed contents, and</w:t>
      </w:r>
    </w:p>
    <w:p w14:paraId="38C157CA" w14:textId="77777777" w:rsidR="00D43453" w:rsidRPr="00C05B8E" w:rsidRDefault="00D43453" w:rsidP="00B57229">
      <w:pPr>
        <w:pStyle w:val="ListParagraph"/>
        <w:numPr>
          <w:ilvl w:val="0"/>
          <w:numId w:val="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Building material.</w:t>
      </w:r>
    </w:p>
    <w:p w14:paraId="6C51AD1B" w14:textId="6528B0C4" w:rsidR="00795373" w:rsidRPr="00C05B8E" w:rsidRDefault="00D43453"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I</w:t>
      </w:r>
      <w:r w:rsidR="00795373" w:rsidRPr="00C05B8E">
        <w:rPr>
          <w:rFonts w:ascii="Times New Roman" w:hAnsi="Times New Roman" w:cs="Times New Roman"/>
          <w:sz w:val="24"/>
          <w:szCs w:val="24"/>
        </w:rPr>
        <w:t>mmovable properties</w:t>
      </w:r>
      <w:r w:rsidR="001F35D5">
        <w:rPr>
          <w:rFonts w:ascii="Times New Roman" w:hAnsi="Times New Roman" w:cs="Times New Roman"/>
          <w:sz w:val="24"/>
          <w:szCs w:val="24"/>
        </w:rPr>
        <w:t>:</w:t>
      </w:r>
    </w:p>
    <w:p w14:paraId="146AE504" w14:textId="77777777" w:rsidR="00795373" w:rsidRPr="00C05B8E" w:rsidRDefault="00795373" w:rsidP="00B57229">
      <w:pPr>
        <w:pStyle w:val="ListParagraph"/>
        <w:numPr>
          <w:ilvl w:val="0"/>
          <w:numId w:val="1"/>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Lot 4 of Chimwemwe of Subdivision A of Kingsmead Extension of Borrowdale Estate measuring 4212 square metres, and</w:t>
      </w:r>
    </w:p>
    <w:p w14:paraId="63E075D6" w14:textId="77777777" w:rsidR="00B62013" w:rsidRPr="00C05B8E" w:rsidRDefault="00795373" w:rsidP="00B57229">
      <w:pPr>
        <w:pStyle w:val="ListParagraph"/>
        <w:numPr>
          <w:ilvl w:val="0"/>
          <w:numId w:val="1"/>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lastRenderedPageBreak/>
        <w:t>Stand No. 916 Borrowdale Township of Lot 4 of Chimwemwe of Subdivision A of Kingsmead Extension of Borrowdale Estate measuring 2000 square metres.</w:t>
      </w:r>
    </w:p>
    <w:p w14:paraId="12ED768D" w14:textId="77777777" w:rsidR="006F2AD7" w:rsidRPr="00C11621" w:rsidRDefault="006F2AD7" w:rsidP="00B57229">
      <w:pPr>
        <w:pStyle w:val="ListParagraph"/>
        <w:spacing w:after="0" w:line="360" w:lineRule="auto"/>
        <w:jc w:val="both"/>
        <w:rPr>
          <w:rFonts w:ascii="Times New Roman" w:hAnsi="Times New Roman" w:cs="Times New Roman"/>
          <w:b/>
          <w:bCs/>
          <w:sz w:val="24"/>
          <w:szCs w:val="24"/>
          <w:u w:val="single"/>
        </w:rPr>
      </w:pPr>
      <w:r w:rsidRPr="00C11621">
        <w:rPr>
          <w:rFonts w:ascii="Times New Roman" w:hAnsi="Times New Roman" w:cs="Times New Roman"/>
          <w:b/>
          <w:bCs/>
          <w:sz w:val="24"/>
          <w:szCs w:val="24"/>
          <w:u w:val="single"/>
        </w:rPr>
        <w:t>THE TRIAL</w:t>
      </w:r>
    </w:p>
    <w:p w14:paraId="3AE9CB5A" w14:textId="389BA1A3" w:rsidR="006F2AD7" w:rsidRPr="00C05B8E" w:rsidRDefault="006F2AD7"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Only the parties testified in the trial. Plaintiff’s evidence was as follows.</w:t>
      </w:r>
      <w:r w:rsidR="0044192F" w:rsidRPr="00C05B8E">
        <w:rPr>
          <w:rFonts w:ascii="Times New Roman" w:hAnsi="Times New Roman" w:cs="Times New Roman"/>
          <w:sz w:val="24"/>
          <w:szCs w:val="24"/>
        </w:rPr>
        <w:t xml:space="preserve"> She was married to the Defendant on 27</w:t>
      </w:r>
      <w:r w:rsidR="00D06C0A">
        <w:rPr>
          <w:rFonts w:ascii="Times New Roman" w:hAnsi="Times New Roman" w:cs="Times New Roman"/>
          <w:sz w:val="24"/>
          <w:szCs w:val="24"/>
        </w:rPr>
        <w:t xml:space="preserve"> September </w:t>
      </w:r>
      <w:r w:rsidR="0044192F" w:rsidRPr="00C05B8E">
        <w:rPr>
          <w:rFonts w:ascii="Times New Roman" w:hAnsi="Times New Roman" w:cs="Times New Roman"/>
          <w:sz w:val="24"/>
          <w:szCs w:val="24"/>
        </w:rPr>
        <w:t>1997 as evidenced by the marriage certificate tendered as exhibit. On 29</w:t>
      </w:r>
      <w:r w:rsidR="00D06C0A">
        <w:rPr>
          <w:rFonts w:ascii="Times New Roman" w:hAnsi="Times New Roman" w:cs="Times New Roman"/>
          <w:sz w:val="24"/>
          <w:szCs w:val="24"/>
        </w:rPr>
        <w:t xml:space="preserve"> October 19</w:t>
      </w:r>
      <w:r w:rsidR="0044192F" w:rsidRPr="00C05B8E">
        <w:rPr>
          <w:rFonts w:ascii="Times New Roman" w:hAnsi="Times New Roman" w:cs="Times New Roman"/>
          <w:sz w:val="24"/>
          <w:szCs w:val="24"/>
        </w:rPr>
        <w:t>98 Founders Building Society offered Defendant a loan for the purchase of stand number 1524 Bluff Hill Township</w:t>
      </w:r>
      <w:r w:rsidR="008F728E" w:rsidRPr="00C05B8E">
        <w:rPr>
          <w:rFonts w:ascii="Times New Roman" w:hAnsi="Times New Roman" w:cs="Times New Roman"/>
          <w:sz w:val="24"/>
          <w:szCs w:val="24"/>
        </w:rPr>
        <w:t xml:space="preserve"> (the Bluff Hill property)</w:t>
      </w:r>
      <w:r w:rsidR="0044192F" w:rsidRPr="00C05B8E">
        <w:rPr>
          <w:rFonts w:ascii="Times New Roman" w:hAnsi="Times New Roman" w:cs="Times New Roman"/>
          <w:sz w:val="24"/>
          <w:szCs w:val="24"/>
        </w:rPr>
        <w:t>. In 1999 the Defendant was in arrears in terms of repaying the loan. She then took over the loan</w:t>
      </w:r>
      <w:r w:rsidR="008F728E" w:rsidRPr="00C05B8E">
        <w:rPr>
          <w:rFonts w:ascii="Times New Roman" w:hAnsi="Times New Roman" w:cs="Times New Roman"/>
          <w:sz w:val="24"/>
          <w:szCs w:val="24"/>
        </w:rPr>
        <w:t xml:space="preserve">. </w:t>
      </w:r>
      <w:r w:rsidR="0044192F" w:rsidRPr="00C05B8E">
        <w:rPr>
          <w:rFonts w:ascii="Times New Roman" w:hAnsi="Times New Roman" w:cs="Times New Roman"/>
          <w:sz w:val="24"/>
          <w:szCs w:val="24"/>
        </w:rPr>
        <w:t xml:space="preserve"> Founders Building Society was paid off </w:t>
      </w:r>
      <w:r w:rsidR="008F728E" w:rsidRPr="00C05B8E">
        <w:rPr>
          <w:rFonts w:ascii="Times New Roman" w:hAnsi="Times New Roman" w:cs="Times New Roman"/>
          <w:sz w:val="24"/>
          <w:szCs w:val="24"/>
        </w:rPr>
        <w:t>by her employer, Standard Chartered Bank, who demanded transfer of the property into her name and registration of a Deed of Hypothecation for $700 000.00 in its name. In 2000 she got a loan to finish construction of the Bluff Hill property. Deed</w:t>
      </w:r>
      <w:r w:rsidR="008D5223" w:rsidRPr="00C05B8E">
        <w:rPr>
          <w:rFonts w:ascii="Times New Roman" w:hAnsi="Times New Roman" w:cs="Times New Roman"/>
          <w:sz w:val="24"/>
          <w:szCs w:val="24"/>
        </w:rPr>
        <w:t>s</w:t>
      </w:r>
      <w:r w:rsidR="008F728E" w:rsidRPr="00C05B8E">
        <w:rPr>
          <w:rFonts w:ascii="Times New Roman" w:hAnsi="Times New Roman" w:cs="Times New Roman"/>
          <w:sz w:val="24"/>
          <w:szCs w:val="24"/>
        </w:rPr>
        <w:t xml:space="preserve"> of Hypothecation for $200</w:t>
      </w:r>
      <w:r w:rsidR="00D06C0A">
        <w:rPr>
          <w:rFonts w:ascii="Times New Roman" w:hAnsi="Times New Roman" w:cs="Times New Roman"/>
          <w:sz w:val="24"/>
          <w:szCs w:val="24"/>
        </w:rPr>
        <w:t> </w:t>
      </w:r>
      <w:r w:rsidR="008F728E" w:rsidRPr="00C05B8E">
        <w:rPr>
          <w:rFonts w:ascii="Times New Roman" w:hAnsi="Times New Roman" w:cs="Times New Roman"/>
          <w:sz w:val="24"/>
          <w:szCs w:val="24"/>
        </w:rPr>
        <w:t xml:space="preserve">000.00 </w:t>
      </w:r>
      <w:r w:rsidR="008D5223" w:rsidRPr="00C05B8E">
        <w:rPr>
          <w:rFonts w:ascii="Times New Roman" w:hAnsi="Times New Roman" w:cs="Times New Roman"/>
          <w:sz w:val="24"/>
          <w:szCs w:val="24"/>
        </w:rPr>
        <w:t>and $600 000.00 in favour of her employer bound the Bluff Hill property. Construction of the house was finished and the family moved in.</w:t>
      </w:r>
    </w:p>
    <w:p w14:paraId="362B0427" w14:textId="5E574B32" w:rsidR="008D5223" w:rsidRPr="00C05B8E" w:rsidRDefault="008D5223"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On 7</w:t>
      </w:r>
      <w:r w:rsidR="00AB1203">
        <w:rPr>
          <w:rFonts w:ascii="Times New Roman" w:hAnsi="Times New Roman" w:cs="Times New Roman"/>
          <w:sz w:val="24"/>
          <w:szCs w:val="24"/>
        </w:rPr>
        <w:t xml:space="preserve"> February </w:t>
      </w:r>
      <w:r w:rsidRPr="00C05B8E">
        <w:rPr>
          <w:rFonts w:ascii="Times New Roman" w:hAnsi="Times New Roman" w:cs="Times New Roman"/>
          <w:sz w:val="24"/>
          <w:szCs w:val="24"/>
        </w:rPr>
        <w:t>2003 Defendant applied for a company assisted mortgage from his then employer, Trust Bank Corporation Limited</w:t>
      </w:r>
      <w:r w:rsidR="009276CF" w:rsidRPr="00C05B8E">
        <w:rPr>
          <w:rFonts w:ascii="Times New Roman" w:hAnsi="Times New Roman" w:cs="Times New Roman"/>
          <w:sz w:val="24"/>
          <w:szCs w:val="24"/>
        </w:rPr>
        <w:t xml:space="preserve"> without her knowledge</w:t>
      </w:r>
      <w:r w:rsidRPr="00C05B8E">
        <w:rPr>
          <w:rFonts w:ascii="Times New Roman" w:hAnsi="Times New Roman" w:cs="Times New Roman"/>
          <w:sz w:val="24"/>
          <w:szCs w:val="24"/>
        </w:rPr>
        <w:t>. The application was approved on the basis that the Bluff Hill property and a motor vehicle would be sold</w:t>
      </w:r>
      <w:r w:rsidR="009276CF" w:rsidRPr="00C05B8E">
        <w:rPr>
          <w:rFonts w:ascii="Times New Roman" w:hAnsi="Times New Roman" w:cs="Times New Roman"/>
          <w:sz w:val="24"/>
          <w:szCs w:val="24"/>
        </w:rPr>
        <w:t xml:space="preserve"> to reduce the loan balance to an approved limit. The parties went around looking at properties on the assumption that Defendant would use his own resources to buy the selected property. Defendant tried to sell the Bluff hill property within Trust Bank but she refused to sign the agreements of sale. Later she was shown a statement of Defendant’s overdrawn account and was advised that Defendant’s salary was not sustaining the mortgage payments. Further that there was a possibility of the house being sold due to the default in payments. She took over </w:t>
      </w:r>
      <w:r w:rsidR="00BC0517" w:rsidRPr="00C05B8E">
        <w:rPr>
          <w:rFonts w:ascii="Times New Roman" w:hAnsi="Times New Roman" w:cs="Times New Roman"/>
          <w:sz w:val="24"/>
          <w:szCs w:val="24"/>
        </w:rPr>
        <w:t xml:space="preserve">the mortgage </w:t>
      </w:r>
      <w:r w:rsidR="00C73572">
        <w:rPr>
          <w:rFonts w:ascii="Times New Roman" w:hAnsi="Times New Roman" w:cs="Times New Roman"/>
          <w:sz w:val="24"/>
          <w:szCs w:val="24"/>
        </w:rPr>
        <w:t>o</w:t>
      </w:r>
      <w:r w:rsidR="00934549" w:rsidRPr="00C05B8E">
        <w:rPr>
          <w:rFonts w:ascii="Times New Roman" w:hAnsi="Times New Roman" w:cs="Times New Roman"/>
          <w:sz w:val="24"/>
          <w:szCs w:val="24"/>
        </w:rPr>
        <w:t>n 13</w:t>
      </w:r>
      <w:r w:rsidR="00A32C98">
        <w:rPr>
          <w:rFonts w:ascii="Times New Roman" w:hAnsi="Times New Roman" w:cs="Times New Roman"/>
          <w:sz w:val="24"/>
          <w:szCs w:val="24"/>
        </w:rPr>
        <w:t xml:space="preserve"> February </w:t>
      </w:r>
      <w:r w:rsidR="00934549" w:rsidRPr="00C05B8E">
        <w:rPr>
          <w:rFonts w:ascii="Times New Roman" w:hAnsi="Times New Roman" w:cs="Times New Roman"/>
          <w:sz w:val="24"/>
          <w:szCs w:val="24"/>
        </w:rPr>
        <w:t xml:space="preserve">2003 Defendant signed an agreement of sale buying Lot 4 of Chimwemwe of Subdivision A of Kingsmead Extension of Borrowdale Estate measuring 4212 square metres (the Borrowdale property).  </w:t>
      </w:r>
      <w:r w:rsidR="00BC0517" w:rsidRPr="00C05B8E">
        <w:rPr>
          <w:rFonts w:ascii="Times New Roman" w:hAnsi="Times New Roman" w:cs="Times New Roman"/>
          <w:sz w:val="24"/>
          <w:szCs w:val="24"/>
        </w:rPr>
        <w:t xml:space="preserve">In breach of her employer’s conditions of granting the mortgage loan, an agreement of sale of the Bluff Hill property was signed on </w:t>
      </w:r>
      <w:r w:rsidR="00934549" w:rsidRPr="00C05B8E">
        <w:rPr>
          <w:rFonts w:ascii="Times New Roman" w:hAnsi="Times New Roman" w:cs="Times New Roman"/>
          <w:sz w:val="24"/>
          <w:szCs w:val="24"/>
        </w:rPr>
        <w:t>22</w:t>
      </w:r>
      <w:r w:rsidR="00A32C98">
        <w:rPr>
          <w:rFonts w:ascii="Times New Roman" w:hAnsi="Times New Roman" w:cs="Times New Roman"/>
          <w:sz w:val="24"/>
          <w:szCs w:val="24"/>
        </w:rPr>
        <w:t xml:space="preserve"> May </w:t>
      </w:r>
      <w:r w:rsidR="00934549" w:rsidRPr="00C05B8E">
        <w:rPr>
          <w:rFonts w:ascii="Times New Roman" w:hAnsi="Times New Roman" w:cs="Times New Roman"/>
          <w:sz w:val="24"/>
          <w:szCs w:val="24"/>
        </w:rPr>
        <w:t>2003.</w:t>
      </w:r>
      <w:r w:rsidR="009276CF" w:rsidRPr="00C05B8E">
        <w:rPr>
          <w:rFonts w:ascii="Times New Roman" w:hAnsi="Times New Roman" w:cs="Times New Roman"/>
          <w:sz w:val="24"/>
          <w:szCs w:val="24"/>
        </w:rPr>
        <w:t xml:space="preserve"> </w:t>
      </w:r>
      <w:r w:rsidR="00934549" w:rsidRPr="00C05B8E">
        <w:rPr>
          <w:rFonts w:ascii="Times New Roman" w:hAnsi="Times New Roman" w:cs="Times New Roman"/>
          <w:sz w:val="24"/>
          <w:szCs w:val="24"/>
        </w:rPr>
        <w:t>This was signed in tears after fights and escalations to her brothers</w:t>
      </w:r>
      <w:r w:rsidR="00AC1DB1" w:rsidRPr="00C05B8E">
        <w:rPr>
          <w:rFonts w:ascii="Times New Roman" w:hAnsi="Times New Roman" w:cs="Times New Roman"/>
          <w:sz w:val="24"/>
          <w:szCs w:val="24"/>
        </w:rPr>
        <w:t>. Permission to sell the house was granted by her employer after the fact. Her employer’s requirements for cancellation of the bond on the Bluff Hill property were met. Capital Gains Tax was not paid as a full roll-over was granted after indicating that the reason for the disposal of the property was to finance purchase of a new residence.</w:t>
      </w:r>
    </w:p>
    <w:p w14:paraId="2B4B1872" w14:textId="77777777" w:rsidR="00AC1DB1" w:rsidRPr="00C05B8E" w:rsidRDefault="00AC1DB1"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lastRenderedPageBreak/>
        <w:t>By agreement the parties invested funds at Bank ABC</w:t>
      </w:r>
      <w:r w:rsidR="00A154DF" w:rsidRPr="00C05B8E">
        <w:rPr>
          <w:rFonts w:ascii="Times New Roman" w:hAnsi="Times New Roman" w:cs="Times New Roman"/>
          <w:sz w:val="24"/>
          <w:szCs w:val="24"/>
        </w:rPr>
        <w:t>. Defendant lost his job in January 2004. The investment was used to pay for the Borrowdale property.</w:t>
      </w:r>
      <w:r w:rsidR="00DA7AFF" w:rsidRPr="00C05B8E">
        <w:rPr>
          <w:rFonts w:ascii="Times New Roman" w:hAnsi="Times New Roman" w:cs="Times New Roman"/>
          <w:sz w:val="24"/>
          <w:szCs w:val="24"/>
        </w:rPr>
        <w:t xml:space="preserve"> The Borrowdale property was subdivided to produce stand number 916. She paid for the subdivision. In 2019 she applied for a mortgage </w:t>
      </w:r>
      <w:r w:rsidR="0007462F" w:rsidRPr="00C05B8E">
        <w:rPr>
          <w:rFonts w:ascii="Times New Roman" w:hAnsi="Times New Roman" w:cs="Times New Roman"/>
          <w:sz w:val="24"/>
          <w:szCs w:val="24"/>
        </w:rPr>
        <w:t xml:space="preserve">from her employer for construction </w:t>
      </w:r>
      <w:r w:rsidR="00C00E29" w:rsidRPr="00C05B8E">
        <w:rPr>
          <w:rFonts w:ascii="Times New Roman" w:hAnsi="Times New Roman" w:cs="Times New Roman"/>
          <w:sz w:val="24"/>
          <w:szCs w:val="24"/>
        </w:rPr>
        <w:t>of a bed and breakfast cottage</w:t>
      </w:r>
      <w:r w:rsidR="00602761" w:rsidRPr="00C05B8E">
        <w:rPr>
          <w:rFonts w:ascii="Times New Roman" w:hAnsi="Times New Roman" w:cs="Times New Roman"/>
          <w:sz w:val="24"/>
          <w:szCs w:val="24"/>
        </w:rPr>
        <w:t xml:space="preserve"> (the cottage)</w:t>
      </w:r>
      <w:r w:rsidR="00C00E29" w:rsidRPr="00C05B8E">
        <w:rPr>
          <w:rFonts w:ascii="Times New Roman" w:hAnsi="Times New Roman" w:cs="Times New Roman"/>
          <w:sz w:val="24"/>
          <w:szCs w:val="24"/>
        </w:rPr>
        <w:t xml:space="preserve"> </w:t>
      </w:r>
      <w:r w:rsidR="0007462F" w:rsidRPr="00C05B8E">
        <w:rPr>
          <w:rFonts w:ascii="Times New Roman" w:hAnsi="Times New Roman" w:cs="Times New Roman"/>
          <w:sz w:val="24"/>
          <w:szCs w:val="24"/>
        </w:rPr>
        <w:t>on the subdivision. She was not successful as there was a change of policy. The bank was no longer financing construction but habitable structures.</w:t>
      </w:r>
      <w:r w:rsidR="00BB2382" w:rsidRPr="00C05B8E">
        <w:rPr>
          <w:rFonts w:ascii="Times New Roman" w:hAnsi="Times New Roman" w:cs="Times New Roman"/>
          <w:sz w:val="24"/>
          <w:szCs w:val="24"/>
        </w:rPr>
        <w:t xml:space="preserve"> She however got a personal loan which was used </w:t>
      </w:r>
      <w:r w:rsidR="00C00E29" w:rsidRPr="00C05B8E">
        <w:rPr>
          <w:rFonts w:ascii="Times New Roman" w:hAnsi="Times New Roman" w:cs="Times New Roman"/>
          <w:sz w:val="24"/>
          <w:szCs w:val="24"/>
        </w:rPr>
        <w:t xml:space="preserve">to construct a habitable structure.  She reapplied for a mortgage. On 11 October 2019 she got confirmation that a mortgage bond had been registered on the Deed of transfer for the subdivision. </w:t>
      </w:r>
      <w:r w:rsidR="00602761" w:rsidRPr="00C05B8E">
        <w:rPr>
          <w:rFonts w:ascii="Times New Roman" w:hAnsi="Times New Roman" w:cs="Times New Roman"/>
          <w:sz w:val="24"/>
          <w:szCs w:val="24"/>
        </w:rPr>
        <w:t xml:space="preserve">The cottage became </w:t>
      </w:r>
      <w:r w:rsidR="00B51029" w:rsidRPr="00C05B8E">
        <w:rPr>
          <w:rFonts w:ascii="Times New Roman" w:hAnsi="Times New Roman" w:cs="Times New Roman"/>
          <w:sz w:val="24"/>
          <w:szCs w:val="24"/>
        </w:rPr>
        <w:t>habitable and was listed for on</w:t>
      </w:r>
      <w:r w:rsidR="00602761" w:rsidRPr="00C05B8E">
        <w:rPr>
          <w:rFonts w:ascii="Times New Roman" w:hAnsi="Times New Roman" w:cs="Times New Roman"/>
          <w:sz w:val="24"/>
          <w:szCs w:val="24"/>
        </w:rPr>
        <w:t xml:space="preserve">line booking. On the online platform, Defendant was the primary host and all on line payments would go into his account. She was the secondary host. </w:t>
      </w:r>
      <w:r w:rsidR="00C00E29" w:rsidRPr="00C05B8E">
        <w:rPr>
          <w:rFonts w:ascii="Times New Roman" w:hAnsi="Times New Roman" w:cs="Times New Roman"/>
          <w:sz w:val="24"/>
          <w:szCs w:val="24"/>
        </w:rPr>
        <w:t xml:space="preserve">The </w:t>
      </w:r>
      <w:r w:rsidR="00602761" w:rsidRPr="00C05B8E">
        <w:rPr>
          <w:rFonts w:ascii="Times New Roman" w:hAnsi="Times New Roman" w:cs="Times New Roman"/>
          <w:sz w:val="24"/>
          <w:szCs w:val="24"/>
        </w:rPr>
        <w:t xml:space="preserve">cottage’s first guest arrived in 2019. </w:t>
      </w:r>
      <w:r w:rsidR="00053507" w:rsidRPr="00C05B8E">
        <w:rPr>
          <w:rFonts w:ascii="Times New Roman" w:hAnsi="Times New Roman" w:cs="Times New Roman"/>
          <w:sz w:val="24"/>
          <w:szCs w:val="24"/>
        </w:rPr>
        <w:t xml:space="preserve"> The bed and breakfast business was affected by covid-19 in 2020 as there were a lot of cancellations of the bookings that had been made. </w:t>
      </w:r>
      <w:r w:rsidR="00C00E29" w:rsidRPr="00C05B8E">
        <w:rPr>
          <w:rFonts w:ascii="Times New Roman" w:hAnsi="Times New Roman" w:cs="Times New Roman"/>
          <w:sz w:val="24"/>
          <w:szCs w:val="24"/>
        </w:rPr>
        <w:t>She obtained another mortgage in 2020</w:t>
      </w:r>
      <w:r w:rsidR="00053507" w:rsidRPr="00C05B8E">
        <w:rPr>
          <w:rFonts w:ascii="Times New Roman" w:hAnsi="Times New Roman" w:cs="Times New Roman"/>
          <w:sz w:val="24"/>
          <w:szCs w:val="24"/>
        </w:rPr>
        <w:t xml:space="preserve"> towards completion of the cottage. In 2021 the bookings started. On 27 September 2019 she was advised that she was no longer a co-host and no longer had access to the listing. She was no longer able to message guests or alter their reservations</w:t>
      </w:r>
      <w:r w:rsidR="00F35DDF" w:rsidRPr="00C05B8E">
        <w:rPr>
          <w:rFonts w:ascii="Times New Roman" w:hAnsi="Times New Roman" w:cs="Times New Roman"/>
          <w:sz w:val="24"/>
          <w:szCs w:val="24"/>
        </w:rPr>
        <w:t>.</w:t>
      </w:r>
    </w:p>
    <w:p w14:paraId="7AF5A3CE" w14:textId="77777777" w:rsidR="00F35DDF" w:rsidRPr="00C05B8E" w:rsidRDefault="00F35DDF" w:rsidP="00B57229">
      <w:pPr>
        <w:spacing w:after="0" w:line="360" w:lineRule="auto"/>
        <w:ind w:firstLine="720"/>
        <w:jc w:val="both"/>
        <w:rPr>
          <w:rFonts w:ascii="Times New Roman" w:hAnsi="Times New Roman" w:cs="Times New Roman"/>
          <w:color w:val="FF0000"/>
          <w:sz w:val="24"/>
          <w:szCs w:val="24"/>
        </w:rPr>
      </w:pPr>
      <w:r w:rsidRPr="00C05B8E">
        <w:rPr>
          <w:rFonts w:ascii="Times New Roman" w:hAnsi="Times New Roman" w:cs="Times New Roman"/>
          <w:sz w:val="24"/>
          <w:szCs w:val="24"/>
        </w:rPr>
        <w:t xml:space="preserve">Defendant </w:t>
      </w:r>
      <w:r w:rsidR="00802960" w:rsidRPr="00C05B8E">
        <w:rPr>
          <w:rFonts w:ascii="Times New Roman" w:hAnsi="Times New Roman" w:cs="Times New Roman"/>
          <w:sz w:val="24"/>
          <w:szCs w:val="24"/>
        </w:rPr>
        <w:t xml:space="preserve">opened an accounting firm called Percos Services. The parties were operating a bank account in which they were signatories until Defendant opened another account with Tina Jaricha who was the Finance Manager at Percos Services. </w:t>
      </w:r>
      <w:r w:rsidR="000D6482" w:rsidRPr="00C05B8E">
        <w:rPr>
          <w:rFonts w:ascii="Times New Roman" w:hAnsi="Times New Roman" w:cs="Times New Roman"/>
          <w:sz w:val="24"/>
          <w:szCs w:val="24"/>
        </w:rPr>
        <w:t xml:space="preserve">She decided not to be involved as Defendant was now running the company with Tina. The keys for Percos Services offices she had were collected from her by Defendant’s friend, Victor. She no longer had access even though she retained all the legal documents. </w:t>
      </w:r>
      <w:r w:rsidR="00802960" w:rsidRPr="00C05B8E">
        <w:rPr>
          <w:rFonts w:ascii="Times New Roman" w:hAnsi="Times New Roman" w:cs="Times New Roman"/>
          <w:sz w:val="24"/>
          <w:szCs w:val="24"/>
        </w:rPr>
        <w:t xml:space="preserve">Defendant </w:t>
      </w:r>
      <w:r w:rsidRPr="00C05B8E">
        <w:rPr>
          <w:rFonts w:ascii="Times New Roman" w:hAnsi="Times New Roman" w:cs="Times New Roman"/>
          <w:sz w:val="24"/>
          <w:szCs w:val="24"/>
        </w:rPr>
        <w:t xml:space="preserve">was friends with Mr Tandi of Time Bank. He was given the mandate to evaluate the assets at all the branches of Time Bank countrywide. Payment for the service was to be through two stands in Mount Pleasant Heights. She got a loan to enable Defendant to carry out the mandate. The mandate was shared with Mr Funny Ndiripo, Defendant’s friend. The properties from Mr Tandi were shared such that Mr Ndiripo got one property while </w:t>
      </w:r>
      <w:r w:rsidR="000D6482" w:rsidRPr="00C05B8E">
        <w:rPr>
          <w:rFonts w:ascii="Times New Roman" w:hAnsi="Times New Roman" w:cs="Times New Roman"/>
          <w:sz w:val="24"/>
          <w:szCs w:val="24"/>
        </w:rPr>
        <w:t>Percos Services got</w:t>
      </w:r>
      <w:r w:rsidRPr="00C05B8E">
        <w:rPr>
          <w:rFonts w:ascii="Times New Roman" w:hAnsi="Times New Roman" w:cs="Times New Roman"/>
          <w:sz w:val="24"/>
          <w:szCs w:val="24"/>
        </w:rPr>
        <w:t xml:space="preserve"> the other. </w:t>
      </w:r>
    </w:p>
    <w:p w14:paraId="3C9A003C" w14:textId="55ECA038" w:rsidR="000D6482" w:rsidRPr="00C05B8E" w:rsidRDefault="000D6482"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Plaintiff testified that she sold her Nissan Prairie registration number ABC 7207</w:t>
      </w:r>
      <w:r w:rsidR="0070137E" w:rsidRPr="00C05B8E">
        <w:rPr>
          <w:rFonts w:ascii="Times New Roman" w:hAnsi="Times New Roman" w:cs="Times New Roman"/>
          <w:sz w:val="24"/>
          <w:szCs w:val="24"/>
        </w:rPr>
        <w:t xml:space="preserve"> and bought</w:t>
      </w:r>
      <w:r w:rsidR="00B51029" w:rsidRPr="00C05B8E">
        <w:rPr>
          <w:rFonts w:ascii="Times New Roman" w:hAnsi="Times New Roman" w:cs="Times New Roman"/>
          <w:sz w:val="24"/>
          <w:szCs w:val="24"/>
        </w:rPr>
        <w:t xml:space="preserve"> a</w:t>
      </w:r>
      <w:r w:rsidR="00B332FE" w:rsidRPr="00C05B8E">
        <w:rPr>
          <w:rFonts w:ascii="Times New Roman" w:hAnsi="Times New Roman" w:cs="Times New Roman"/>
          <w:sz w:val="24"/>
          <w:szCs w:val="24"/>
        </w:rPr>
        <w:t xml:space="preserve"> Toyota Ipsum registration number AFC 2454 </w:t>
      </w:r>
      <w:r w:rsidR="0070137E" w:rsidRPr="00C05B8E">
        <w:rPr>
          <w:rFonts w:ascii="Times New Roman" w:hAnsi="Times New Roman" w:cs="Times New Roman"/>
          <w:sz w:val="24"/>
          <w:szCs w:val="24"/>
        </w:rPr>
        <w:t xml:space="preserve">from the proceeds which she registered in her name. </w:t>
      </w:r>
      <w:r w:rsidR="00B332FE" w:rsidRPr="00C05B8E">
        <w:rPr>
          <w:rFonts w:ascii="Times New Roman" w:hAnsi="Times New Roman" w:cs="Times New Roman"/>
          <w:sz w:val="24"/>
          <w:szCs w:val="24"/>
        </w:rPr>
        <w:t xml:space="preserve">She also bought two Honda Fit vehicles registration numbers AFC 2455 and AFC 2456. </w:t>
      </w:r>
      <w:r w:rsidR="0070137E" w:rsidRPr="00C05B8E">
        <w:rPr>
          <w:rFonts w:ascii="Times New Roman" w:hAnsi="Times New Roman" w:cs="Times New Roman"/>
          <w:sz w:val="24"/>
          <w:szCs w:val="24"/>
        </w:rPr>
        <w:t>She has been solely responsible for the parties</w:t>
      </w:r>
      <w:r w:rsidR="00FE25EA">
        <w:rPr>
          <w:rFonts w:ascii="Times New Roman" w:hAnsi="Times New Roman" w:cs="Times New Roman"/>
          <w:sz w:val="24"/>
          <w:szCs w:val="24"/>
        </w:rPr>
        <w:t xml:space="preserve">’ </w:t>
      </w:r>
      <w:r w:rsidR="0070137E" w:rsidRPr="00C05B8E">
        <w:rPr>
          <w:rFonts w:ascii="Times New Roman" w:hAnsi="Times New Roman" w:cs="Times New Roman"/>
          <w:sz w:val="24"/>
          <w:szCs w:val="24"/>
        </w:rPr>
        <w:t xml:space="preserve">children, Wonani Myles Usai, born </w:t>
      </w:r>
      <w:r w:rsidR="00FE25EA">
        <w:rPr>
          <w:rFonts w:ascii="Times New Roman" w:hAnsi="Times New Roman" w:cs="Times New Roman"/>
          <w:sz w:val="24"/>
          <w:szCs w:val="24"/>
        </w:rPr>
        <w:t xml:space="preserve">om </w:t>
      </w:r>
      <w:r w:rsidR="0070137E" w:rsidRPr="00C05B8E">
        <w:rPr>
          <w:rFonts w:ascii="Times New Roman" w:hAnsi="Times New Roman" w:cs="Times New Roman"/>
          <w:sz w:val="24"/>
          <w:szCs w:val="24"/>
        </w:rPr>
        <w:t>28</w:t>
      </w:r>
      <w:r w:rsidR="00FE25EA">
        <w:rPr>
          <w:rFonts w:ascii="Times New Roman" w:hAnsi="Times New Roman" w:cs="Times New Roman"/>
          <w:sz w:val="24"/>
          <w:szCs w:val="24"/>
        </w:rPr>
        <w:t xml:space="preserve"> February </w:t>
      </w:r>
      <w:r w:rsidR="0070137E" w:rsidRPr="00C05B8E">
        <w:rPr>
          <w:rFonts w:ascii="Times New Roman" w:hAnsi="Times New Roman" w:cs="Times New Roman"/>
          <w:sz w:val="24"/>
          <w:szCs w:val="24"/>
        </w:rPr>
        <w:lastRenderedPageBreak/>
        <w:t>2002</w:t>
      </w:r>
      <w:r w:rsidR="00C4398D" w:rsidRPr="00C05B8E">
        <w:rPr>
          <w:rFonts w:ascii="Times New Roman" w:hAnsi="Times New Roman" w:cs="Times New Roman"/>
          <w:sz w:val="24"/>
          <w:szCs w:val="24"/>
        </w:rPr>
        <w:t xml:space="preserve"> (Wonani)</w:t>
      </w:r>
      <w:r w:rsidR="0070137E" w:rsidRPr="00C05B8E">
        <w:rPr>
          <w:rFonts w:ascii="Times New Roman" w:hAnsi="Times New Roman" w:cs="Times New Roman"/>
          <w:sz w:val="24"/>
          <w:szCs w:val="24"/>
        </w:rPr>
        <w:t xml:space="preserve"> and </w:t>
      </w:r>
      <w:r w:rsidR="00C4398D" w:rsidRPr="00C05B8E">
        <w:rPr>
          <w:rFonts w:ascii="Times New Roman" w:hAnsi="Times New Roman" w:cs="Times New Roman"/>
          <w:sz w:val="24"/>
          <w:szCs w:val="24"/>
        </w:rPr>
        <w:t xml:space="preserve">Nothando Cindy Usai, born </w:t>
      </w:r>
      <w:r w:rsidR="00FE25EA">
        <w:rPr>
          <w:rFonts w:ascii="Times New Roman" w:hAnsi="Times New Roman" w:cs="Times New Roman"/>
          <w:sz w:val="24"/>
          <w:szCs w:val="24"/>
        </w:rPr>
        <w:t xml:space="preserve">om </w:t>
      </w:r>
      <w:r w:rsidR="00C4398D" w:rsidRPr="00C05B8E">
        <w:rPr>
          <w:rFonts w:ascii="Times New Roman" w:hAnsi="Times New Roman" w:cs="Times New Roman"/>
          <w:sz w:val="24"/>
          <w:szCs w:val="24"/>
        </w:rPr>
        <w:t>27</w:t>
      </w:r>
      <w:r w:rsidR="00FE25EA">
        <w:rPr>
          <w:rFonts w:ascii="Times New Roman" w:hAnsi="Times New Roman" w:cs="Times New Roman"/>
          <w:sz w:val="24"/>
          <w:szCs w:val="24"/>
        </w:rPr>
        <w:t xml:space="preserve"> February</w:t>
      </w:r>
      <w:r w:rsidR="00C4398D" w:rsidRPr="00C05B8E">
        <w:rPr>
          <w:rFonts w:ascii="Times New Roman" w:hAnsi="Times New Roman" w:cs="Times New Roman"/>
          <w:sz w:val="24"/>
          <w:szCs w:val="24"/>
        </w:rPr>
        <w:t xml:space="preserve"> 2004 (Nothando). Wonani is at a university in Germany. Nothando wrote A-Levels last year and will go to university either in America, Canada or Germany</w:t>
      </w:r>
      <w:r w:rsidR="00B332FE" w:rsidRPr="00C05B8E">
        <w:rPr>
          <w:rFonts w:ascii="Times New Roman" w:hAnsi="Times New Roman" w:cs="Times New Roman"/>
          <w:sz w:val="24"/>
          <w:szCs w:val="24"/>
        </w:rPr>
        <w:t>. From the beginning of the marriage, Defendant would not buy groceries or pay bills</w:t>
      </w:r>
      <w:r w:rsidR="00F332E5" w:rsidRPr="00C05B8E">
        <w:rPr>
          <w:rFonts w:ascii="Times New Roman" w:hAnsi="Times New Roman" w:cs="Times New Roman"/>
          <w:sz w:val="24"/>
          <w:szCs w:val="24"/>
        </w:rPr>
        <w:t>. Under cross examination Plaintiff maintained that there was no meaningful contribution from Defendant in the acquisition of the properties in dispute.</w:t>
      </w:r>
    </w:p>
    <w:p w14:paraId="7B07D4EF" w14:textId="52A05796" w:rsidR="00F332E5" w:rsidRPr="00C05B8E" w:rsidRDefault="00F332E5"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 xml:space="preserve">Defendant’s evidence was that he was a manager at Price Water House and moved on to be an Investment executive at Batanai Capital. From there he moved to Real Africa where he was a financial executive and then to Trust Bank as an investment executive. From Trust Bank he </w:t>
      </w:r>
      <w:r w:rsidR="0083133C" w:rsidRPr="00C05B8E">
        <w:rPr>
          <w:rFonts w:ascii="Times New Roman" w:hAnsi="Times New Roman" w:cs="Times New Roman"/>
          <w:sz w:val="24"/>
          <w:szCs w:val="24"/>
        </w:rPr>
        <w:t>opened a</w:t>
      </w:r>
      <w:r w:rsidRPr="00C05B8E">
        <w:rPr>
          <w:rFonts w:ascii="Times New Roman" w:hAnsi="Times New Roman" w:cs="Times New Roman"/>
          <w:sz w:val="24"/>
          <w:szCs w:val="24"/>
        </w:rPr>
        <w:t xml:space="preserve"> firm of chartered accountants, Percos Services</w:t>
      </w:r>
      <w:r w:rsidR="0083133C" w:rsidRPr="00C05B8E">
        <w:rPr>
          <w:rFonts w:ascii="Times New Roman" w:hAnsi="Times New Roman" w:cs="Times New Roman"/>
          <w:sz w:val="24"/>
          <w:szCs w:val="24"/>
        </w:rPr>
        <w:t>, which</w:t>
      </w:r>
      <w:r w:rsidRPr="00C05B8E">
        <w:rPr>
          <w:rFonts w:ascii="Times New Roman" w:hAnsi="Times New Roman" w:cs="Times New Roman"/>
          <w:sz w:val="24"/>
          <w:szCs w:val="24"/>
        </w:rPr>
        <w:t xml:space="preserve"> he has been operatin</w:t>
      </w:r>
      <w:r w:rsidR="004906E6">
        <w:rPr>
          <w:rFonts w:ascii="Times New Roman" w:hAnsi="Times New Roman" w:cs="Times New Roman"/>
          <w:sz w:val="24"/>
          <w:szCs w:val="24"/>
        </w:rPr>
        <w:t>g</w:t>
      </w:r>
      <w:r w:rsidRPr="00C05B8E">
        <w:rPr>
          <w:rFonts w:ascii="Times New Roman" w:hAnsi="Times New Roman" w:cs="Times New Roman"/>
          <w:sz w:val="24"/>
          <w:szCs w:val="24"/>
        </w:rPr>
        <w:t xml:space="preserve"> as a financial advisor to date. During the subsistence of their marriage the</w:t>
      </w:r>
      <w:r w:rsidR="0083133C" w:rsidRPr="00C05B8E">
        <w:rPr>
          <w:rFonts w:ascii="Times New Roman" w:hAnsi="Times New Roman" w:cs="Times New Roman"/>
          <w:sz w:val="24"/>
          <w:szCs w:val="24"/>
        </w:rPr>
        <w:t>re</w:t>
      </w:r>
      <w:r w:rsidRPr="00C05B8E">
        <w:rPr>
          <w:rFonts w:ascii="Times New Roman" w:hAnsi="Times New Roman" w:cs="Times New Roman"/>
          <w:sz w:val="24"/>
          <w:szCs w:val="24"/>
        </w:rPr>
        <w:t xml:space="preserve"> was never </w:t>
      </w:r>
      <w:r w:rsidR="0083133C" w:rsidRPr="00C05B8E">
        <w:rPr>
          <w:rFonts w:ascii="Times New Roman" w:hAnsi="Times New Roman" w:cs="Times New Roman"/>
          <w:sz w:val="24"/>
          <w:szCs w:val="24"/>
        </w:rPr>
        <w:t>a period in which he was unemployed. At the time the Bluff Hill property was acquired, he was employed at Batanai Capital Finance. He identified the property and entered into an agreement of sale with the owner. He was assisted by his employer to get a mortgage at Founders Building Society</w:t>
      </w:r>
      <w:r w:rsidR="00377A5B" w:rsidRPr="00C05B8E">
        <w:rPr>
          <w:rFonts w:ascii="Times New Roman" w:hAnsi="Times New Roman" w:cs="Times New Roman"/>
          <w:sz w:val="24"/>
          <w:szCs w:val="24"/>
        </w:rPr>
        <w:t>. By agreement he sold the property to Plaintiff who was looking for property to be funded by her employer. Plaintiff had been identifying properties in areas he</w:t>
      </w:r>
      <w:r w:rsidR="00BD4F5B" w:rsidRPr="00C05B8E">
        <w:rPr>
          <w:rFonts w:ascii="Times New Roman" w:hAnsi="Times New Roman" w:cs="Times New Roman"/>
          <w:sz w:val="24"/>
          <w:szCs w:val="24"/>
        </w:rPr>
        <w:t>r</w:t>
      </w:r>
      <w:r w:rsidR="00377A5B" w:rsidRPr="00C05B8E">
        <w:rPr>
          <w:rFonts w:ascii="Times New Roman" w:hAnsi="Times New Roman" w:cs="Times New Roman"/>
          <w:sz w:val="24"/>
          <w:szCs w:val="24"/>
        </w:rPr>
        <w:t xml:space="preserve"> employer would not fund. Plaintiff paid $180 000.00 which he used to cancel the mortgage. He assisted the Plaintiff to effect improvements on the </w:t>
      </w:r>
      <w:r w:rsidR="00C45D08" w:rsidRPr="00C05B8E">
        <w:rPr>
          <w:rFonts w:ascii="Times New Roman" w:hAnsi="Times New Roman" w:cs="Times New Roman"/>
          <w:sz w:val="24"/>
          <w:szCs w:val="24"/>
        </w:rPr>
        <w:t xml:space="preserve">property and a house with four </w:t>
      </w:r>
      <w:r w:rsidR="00377A5B" w:rsidRPr="00C05B8E">
        <w:rPr>
          <w:rFonts w:ascii="Times New Roman" w:hAnsi="Times New Roman" w:cs="Times New Roman"/>
          <w:sz w:val="24"/>
          <w:szCs w:val="24"/>
        </w:rPr>
        <w:t>bedrooms, three bathrooms, open plan lounge, dining, kitchen and double garage was constructed. He left Batanai Capital after the impr</w:t>
      </w:r>
      <w:r w:rsidR="00DE1D56" w:rsidRPr="00C05B8E">
        <w:rPr>
          <w:rFonts w:ascii="Times New Roman" w:hAnsi="Times New Roman" w:cs="Times New Roman"/>
          <w:sz w:val="24"/>
          <w:szCs w:val="24"/>
        </w:rPr>
        <w:t>o</w:t>
      </w:r>
      <w:r w:rsidR="00377A5B" w:rsidRPr="00C05B8E">
        <w:rPr>
          <w:rFonts w:ascii="Times New Roman" w:hAnsi="Times New Roman" w:cs="Times New Roman"/>
          <w:sz w:val="24"/>
          <w:szCs w:val="24"/>
        </w:rPr>
        <w:t xml:space="preserve">vements were done and </w:t>
      </w:r>
      <w:r w:rsidR="00DE1D56" w:rsidRPr="00C05B8E">
        <w:rPr>
          <w:rFonts w:ascii="Times New Roman" w:hAnsi="Times New Roman" w:cs="Times New Roman"/>
          <w:sz w:val="24"/>
          <w:szCs w:val="24"/>
        </w:rPr>
        <w:t xml:space="preserve">joined Trust Bank. His package included a housing loan and a share option. </w:t>
      </w:r>
      <w:r w:rsidR="00D10EB2" w:rsidRPr="00C05B8E">
        <w:rPr>
          <w:rFonts w:ascii="Times New Roman" w:hAnsi="Times New Roman" w:cs="Times New Roman"/>
          <w:sz w:val="24"/>
          <w:szCs w:val="24"/>
        </w:rPr>
        <w:t xml:space="preserve">In </w:t>
      </w:r>
      <w:r w:rsidR="00DE1D56" w:rsidRPr="00C05B8E">
        <w:rPr>
          <w:rFonts w:ascii="Times New Roman" w:hAnsi="Times New Roman" w:cs="Times New Roman"/>
          <w:sz w:val="24"/>
          <w:szCs w:val="24"/>
        </w:rPr>
        <w:t>2003 he was advised of an allotment of 350,000 ordinary shares in Trust Holdings Limited.</w:t>
      </w:r>
      <w:r w:rsidR="00D10EB2" w:rsidRPr="00C05B8E">
        <w:rPr>
          <w:rFonts w:ascii="Times New Roman" w:hAnsi="Times New Roman" w:cs="Times New Roman"/>
          <w:sz w:val="24"/>
          <w:szCs w:val="24"/>
        </w:rPr>
        <w:t xml:space="preserve"> The proceeds from there were applied to settle a housing loan. </w:t>
      </w:r>
    </w:p>
    <w:p w14:paraId="7680DE8A" w14:textId="6B3DC94A" w:rsidR="00D10EB2" w:rsidRPr="00C05B8E" w:rsidRDefault="00D10EB2"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 xml:space="preserve">The acquisition of the Borrowdale property was in two stages. He got $100 million from the bank which he used to buy an old house which needed extensive renovations. Plaintiff did not make any financial contribution but chose the style of décor. </w:t>
      </w:r>
      <w:r w:rsidR="00432394" w:rsidRPr="00C05B8E">
        <w:rPr>
          <w:rFonts w:ascii="Times New Roman" w:hAnsi="Times New Roman" w:cs="Times New Roman"/>
          <w:sz w:val="24"/>
          <w:szCs w:val="24"/>
        </w:rPr>
        <w:t>He disputed that Plaintiff funded the purchase of this property and stated that after selling the Bluff Hill property, Plaintiff had advised him that she had made investments in Zambia where her</w:t>
      </w:r>
      <w:r w:rsidR="00BD4F5B" w:rsidRPr="00C05B8E">
        <w:rPr>
          <w:rFonts w:ascii="Times New Roman" w:hAnsi="Times New Roman" w:cs="Times New Roman"/>
          <w:sz w:val="24"/>
          <w:szCs w:val="24"/>
        </w:rPr>
        <w:t xml:space="preserve"> brother had business interests</w:t>
      </w:r>
      <w:r w:rsidR="00432394" w:rsidRPr="00C05B8E">
        <w:rPr>
          <w:rFonts w:ascii="Times New Roman" w:hAnsi="Times New Roman" w:cs="Times New Roman"/>
          <w:sz w:val="24"/>
          <w:szCs w:val="24"/>
        </w:rPr>
        <w:t>. Defendant further stated that he</w:t>
      </w:r>
      <w:r w:rsidRPr="00C05B8E">
        <w:rPr>
          <w:rFonts w:ascii="Times New Roman" w:hAnsi="Times New Roman" w:cs="Times New Roman"/>
          <w:sz w:val="24"/>
          <w:szCs w:val="24"/>
        </w:rPr>
        <w:t xml:space="preserve"> subsequently financed the subdivision of the Borrowdale property and improvements thereon after selling the Mount Pleasant property. </w:t>
      </w:r>
      <w:r w:rsidR="00432394" w:rsidRPr="00C05B8E">
        <w:rPr>
          <w:rFonts w:ascii="Times New Roman" w:hAnsi="Times New Roman" w:cs="Times New Roman"/>
          <w:sz w:val="24"/>
          <w:szCs w:val="24"/>
        </w:rPr>
        <w:t>He decided to start an accommodation business</w:t>
      </w:r>
      <w:r w:rsidR="000551A1" w:rsidRPr="00C05B8E">
        <w:rPr>
          <w:rFonts w:ascii="Times New Roman" w:hAnsi="Times New Roman" w:cs="Times New Roman"/>
          <w:sz w:val="24"/>
          <w:szCs w:val="24"/>
        </w:rPr>
        <w:t xml:space="preserve"> on the</w:t>
      </w:r>
      <w:r w:rsidRPr="00C05B8E">
        <w:rPr>
          <w:rFonts w:ascii="Times New Roman" w:hAnsi="Times New Roman" w:cs="Times New Roman"/>
          <w:sz w:val="24"/>
          <w:szCs w:val="24"/>
        </w:rPr>
        <w:t xml:space="preserve"> subdi</w:t>
      </w:r>
      <w:r w:rsidR="00432394" w:rsidRPr="00C05B8E">
        <w:rPr>
          <w:rFonts w:ascii="Times New Roman" w:hAnsi="Times New Roman" w:cs="Times New Roman"/>
          <w:sz w:val="24"/>
          <w:szCs w:val="24"/>
        </w:rPr>
        <w:t>vi</w:t>
      </w:r>
      <w:r w:rsidRPr="00C05B8E">
        <w:rPr>
          <w:rFonts w:ascii="Times New Roman" w:hAnsi="Times New Roman" w:cs="Times New Roman"/>
          <w:sz w:val="24"/>
          <w:szCs w:val="24"/>
        </w:rPr>
        <w:t>sion</w:t>
      </w:r>
      <w:r w:rsidR="000551A1" w:rsidRPr="00C05B8E">
        <w:rPr>
          <w:rFonts w:ascii="Times New Roman" w:hAnsi="Times New Roman" w:cs="Times New Roman"/>
          <w:sz w:val="24"/>
          <w:szCs w:val="24"/>
        </w:rPr>
        <w:t>. A cottage with t</w:t>
      </w:r>
      <w:r w:rsidRPr="00C05B8E">
        <w:rPr>
          <w:rFonts w:ascii="Times New Roman" w:hAnsi="Times New Roman" w:cs="Times New Roman"/>
          <w:sz w:val="24"/>
          <w:szCs w:val="24"/>
        </w:rPr>
        <w:t>wo hotel quality guest suites</w:t>
      </w:r>
      <w:r w:rsidR="000551A1" w:rsidRPr="00C05B8E">
        <w:rPr>
          <w:rFonts w:ascii="Times New Roman" w:hAnsi="Times New Roman" w:cs="Times New Roman"/>
          <w:sz w:val="24"/>
          <w:szCs w:val="24"/>
        </w:rPr>
        <w:t xml:space="preserve"> was constructed</w:t>
      </w:r>
      <w:r w:rsidR="00432394" w:rsidRPr="00C05B8E">
        <w:rPr>
          <w:rFonts w:ascii="Times New Roman" w:hAnsi="Times New Roman" w:cs="Times New Roman"/>
          <w:sz w:val="24"/>
          <w:szCs w:val="24"/>
        </w:rPr>
        <w:t xml:space="preserve">. He set up the business on line, did the promotion and set up bank accounts through </w:t>
      </w:r>
      <w:r w:rsidR="00432394" w:rsidRPr="00C05B8E">
        <w:rPr>
          <w:rFonts w:ascii="Times New Roman" w:hAnsi="Times New Roman" w:cs="Times New Roman"/>
          <w:sz w:val="24"/>
          <w:szCs w:val="24"/>
        </w:rPr>
        <w:lastRenderedPageBreak/>
        <w:t xml:space="preserve">which clients would pay. </w:t>
      </w:r>
      <w:r w:rsidR="000551A1" w:rsidRPr="00C05B8E">
        <w:rPr>
          <w:rFonts w:ascii="Times New Roman" w:hAnsi="Times New Roman" w:cs="Times New Roman"/>
          <w:sz w:val="24"/>
          <w:szCs w:val="24"/>
        </w:rPr>
        <w:t>The agreement between the parties was that each would get 50% of whatever was realized from the business. They did so well that they could afford to shift their business to direct bookings and avoid the costs of Airbnb (Airbnb is a company operating an online marketplace for short- and long-term homestays and experiences. The company acts as a broker and charges a commission from each booking.)</w:t>
      </w:r>
      <w:r w:rsidR="00A57A82" w:rsidRPr="00C05B8E">
        <w:rPr>
          <w:rFonts w:ascii="Times New Roman" w:hAnsi="Times New Roman" w:cs="Times New Roman"/>
          <w:sz w:val="24"/>
          <w:szCs w:val="24"/>
        </w:rPr>
        <w:t xml:space="preserve"> At </w:t>
      </w:r>
      <w:r w:rsidR="004906E6">
        <w:rPr>
          <w:rFonts w:ascii="Times New Roman" w:hAnsi="Times New Roman" w:cs="Times New Roman"/>
          <w:sz w:val="24"/>
          <w:szCs w:val="24"/>
        </w:rPr>
        <w:t xml:space="preserve">the </w:t>
      </w:r>
      <w:r w:rsidR="00A57A82" w:rsidRPr="00C05B8E">
        <w:rPr>
          <w:rFonts w:ascii="Times New Roman" w:hAnsi="Times New Roman" w:cs="Times New Roman"/>
          <w:sz w:val="24"/>
          <w:szCs w:val="24"/>
        </w:rPr>
        <w:t>time of separation Plaintiff was no longer cooperating and he realized that he would not be able to run the business.</w:t>
      </w:r>
    </w:p>
    <w:p w14:paraId="48E64EF1" w14:textId="71CB6320" w:rsidR="00A57A82" w:rsidRPr="00C05B8E" w:rsidRDefault="00A57A82"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 xml:space="preserve">On the motor vehicles he stated that he had a colt that he sold and he used the proceeds to buy </w:t>
      </w:r>
      <w:r w:rsidR="00BD4F5B" w:rsidRPr="00C05B8E">
        <w:rPr>
          <w:rFonts w:ascii="Times New Roman" w:hAnsi="Times New Roman" w:cs="Times New Roman"/>
          <w:sz w:val="24"/>
          <w:szCs w:val="24"/>
        </w:rPr>
        <w:t>a</w:t>
      </w:r>
      <w:r w:rsidRPr="00C05B8E">
        <w:rPr>
          <w:rFonts w:ascii="Times New Roman" w:hAnsi="Times New Roman" w:cs="Times New Roman"/>
          <w:sz w:val="24"/>
          <w:szCs w:val="24"/>
        </w:rPr>
        <w:t xml:space="preserve"> Toyota Ipsum therefore it should be awarded to him. He further stated that after he bought the Toyota Ipsum he came under tremendous psychological pressure before change of ownership. For the sake of peace</w:t>
      </w:r>
      <w:r w:rsidR="00C73572">
        <w:rPr>
          <w:rFonts w:ascii="Times New Roman" w:hAnsi="Times New Roman" w:cs="Times New Roman"/>
          <w:sz w:val="24"/>
          <w:szCs w:val="24"/>
        </w:rPr>
        <w:t>,</w:t>
      </w:r>
      <w:r w:rsidRPr="00C05B8E">
        <w:rPr>
          <w:rFonts w:ascii="Times New Roman" w:hAnsi="Times New Roman" w:cs="Times New Roman"/>
          <w:sz w:val="24"/>
          <w:szCs w:val="24"/>
        </w:rPr>
        <w:t xml:space="preserve"> he decided to register it in Plaintiff’s name. He disputed that he was not contributing to the expenses of the family. He stated that all the companies he worked for had a facility for school fees for two children. When he started a business in 2004 Plaintiff was a signatory to all company bank accounts and he would instruct her to pay school fees.</w:t>
      </w:r>
      <w:r w:rsidR="00517666" w:rsidRPr="00C05B8E">
        <w:rPr>
          <w:rFonts w:ascii="Times New Roman" w:hAnsi="Times New Roman" w:cs="Times New Roman"/>
          <w:sz w:val="24"/>
          <w:szCs w:val="24"/>
        </w:rPr>
        <w:t xml:space="preserve"> He has not been involved in his children’s tertiary education as he was kicked out of the house and there has not been any contact with the family.</w:t>
      </w:r>
    </w:p>
    <w:p w14:paraId="466F424D" w14:textId="77777777" w:rsidR="00300526" w:rsidRPr="00C05B8E" w:rsidRDefault="00C45D08"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He testified that although Plaintiff was not a partner to the main entity he founded, Percos Chartered Accountants, she had acc</w:t>
      </w:r>
      <w:r w:rsidR="007D7C5C" w:rsidRPr="00C05B8E">
        <w:rPr>
          <w:rFonts w:ascii="Times New Roman" w:hAnsi="Times New Roman" w:cs="Times New Roman"/>
          <w:sz w:val="24"/>
          <w:szCs w:val="24"/>
        </w:rPr>
        <w:t>ess to bank accounts. She</w:t>
      </w:r>
      <w:r w:rsidRPr="00C05B8E">
        <w:rPr>
          <w:rFonts w:ascii="Times New Roman" w:hAnsi="Times New Roman" w:cs="Times New Roman"/>
          <w:sz w:val="24"/>
          <w:szCs w:val="24"/>
        </w:rPr>
        <w:t xml:space="preserve"> is a shareholder and director in Percos Services (Private) Limited. He disputed getting funding from the Plaintiff for the running of the company. According to him the amount of resources required to run the enterprise which at one time had a staff compliment of 12 </w:t>
      </w:r>
      <w:r w:rsidR="00300526" w:rsidRPr="00C05B8E">
        <w:rPr>
          <w:rFonts w:ascii="Times New Roman" w:hAnsi="Times New Roman" w:cs="Times New Roman"/>
          <w:sz w:val="24"/>
          <w:szCs w:val="24"/>
        </w:rPr>
        <w:t>members came from the clientele the company had.</w:t>
      </w:r>
      <w:r w:rsidRPr="00C05B8E">
        <w:rPr>
          <w:rFonts w:ascii="Times New Roman" w:hAnsi="Times New Roman" w:cs="Times New Roman"/>
          <w:sz w:val="24"/>
          <w:szCs w:val="24"/>
        </w:rPr>
        <w:t xml:space="preserve"> </w:t>
      </w:r>
      <w:r w:rsidR="00300526" w:rsidRPr="00C05B8E">
        <w:rPr>
          <w:rFonts w:ascii="Times New Roman" w:hAnsi="Times New Roman" w:cs="Times New Roman"/>
          <w:sz w:val="24"/>
          <w:szCs w:val="24"/>
        </w:rPr>
        <w:t>He stated that Plaintiff took much more financially from the business than she could contribute. He disputed that Plaintiff funded the mandate from Time Bank.</w:t>
      </w:r>
    </w:p>
    <w:p w14:paraId="354F5A24" w14:textId="0DA81EB1" w:rsidR="007D7C5C" w:rsidRPr="00C05B8E" w:rsidRDefault="00300526"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 xml:space="preserve">Under cross examination he stated that the Borrowdale property is his whilst Stand 916 belongs to the Plaintiff.  </w:t>
      </w:r>
      <w:r w:rsidR="00513486" w:rsidRPr="00C05B8E">
        <w:rPr>
          <w:rFonts w:ascii="Times New Roman" w:hAnsi="Times New Roman" w:cs="Times New Roman"/>
          <w:sz w:val="24"/>
          <w:szCs w:val="24"/>
        </w:rPr>
        <w:t>He indicated that he did not remember writing an email in which he stated that everything belongs to the Plaintiff</w:t>
      </w:r>
      <w:r w:rsidR="007D7C5C" w:rsidRPr="00C05B8E">
        <w:rPr>
          <w:rFonts w:ascii="Times New Roman" w:hAnsi="Times New Roman" w:cs="Times New Roman"/>
          <w:sz w:val="24"/>
          <w:szCs w:val="24"/>
        </w:rPr>
        <w:t xml:space="preserve">. He disputed that the proceeds from the sale of the </w:t>
      </w:r>
      <w:r w:rsidR="000E49AD">
        <w:rPr>
          <w:rFonts w:ascii="Times New Roman" w:hAnsi="Times New Roman" w:cs="Times New Roman"/>
          <w:sz w:val="24"/>
          <w:szCs w:val="24"/>
        </w:rPr>
        <w:t xml:space="preserve">Bluff </w:t>
      </w:r>
      <w:r w:rsidR="00C77116">
        <w:rPr>
          <w:rFonts w:ascii="Times New Roman" w:hAnsi="Times New Roman" w:cs="Times New Roman"/>
          <w:sz w:val="24"/>
          <w:szCs w:val="24"/>
        </w:rPr>
        <w:t xml:space="preserve">Hill </w:t>
      </w:r>
      <w:r w:rsidR="00C77116" w:rsidRPr="00C05B8E">
        <w:rPr>
          <w:rFonts w:ascii="Times New Roman" w:hAnsi="Times New Roman" w:cs="Times New Roman"/>
          <w:sz w:val="24"/>
          <w:szCs w:val="24"/>
        </w:rPr>
        <w:t>property</w:t>
      </w:r>
      <w:r w:rsidR="007D7C5C" w:rsidRPr="00C05B8E">
        <w:rPr>
          <w:rFonts w:ascii="Times New Roman" w:hAnsi="Times New Roman" w:cs="Times New Roman"/>
          <w:sz w:val="24"/>
          <w:szCs w:val="24"/>
        </w:rPr>
        <w:t xml:space="preserve"> were invested in BankABC.</w:t>
      </w:r>
    </w:p>
    <w:p w14:paraId="4041EC92" w14:textId="77777777" w:rsidR="007D7C5C" w:rsidRPr="00BE1C42" w:rsidRDefault="007D7C5C" w:rsidP="00B57229">
      <w:pPr>
        <w:spacing w:after="0" w:line="360" w:lineRule="auto"/>
        <w:ind w:firstLine="720"/>
        <w:jc w:val="both"/>
        <w:rPr>
          <w:rFonts w:ascii="Times New Roman" w:hAnsi="Times New Roman" w:cs="Times New Roman"/>
          <w:b/>
          <w:bCs/>
          <w:sz w:val="24"/>
          <w:szCs w:val="24"/>
          <w:u w:val="single"/>
        </w:rPr>
      </w:pPr>
      <w:r w:rsidRPr="00BE1C42">
        <w:rPr>
          <w:rFonts w:ascii="Times New Roman" w:hAnsi="Times New Roman" w:cs="Times New Roman"/>
          <w:b/>
          <w:bCs/>
          <w:sz w:val="24"/>
          <w:szCs w:val="24"/>
          <w:u w:val="single"/>
        </w:rPr>
        <w:t>THE LAW</w:t>
      </w:r>
    </w:p>
    <w:p w14:paraId="3C1D808B" w14:textId="48A9281C" w:rsidR="007D7C5C" w:rsidRPr="00C05B8E" w:rsidRDefault="007D7C5C" w:rsidP="00B57229">
      <w:p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 xml:space="preserve">The law relating to the sharing of the assets of the spouses is set out in section 7 of the Matrimonial Causes Act [Chapter 5:13] (the Act). The assets subject to distribution are those that were acquired by the parties during the subsistence of the marriage which they consider to be belonging to the </w:t>
      </w:r>
      <w:r w:rsidRPr="00C05B8E">
        <w:rPr>
          <w:rFonts w:ascii="Times New Roman" w:hAnsi="Times New Roman" w:cs="Times New Roman"/>
          <w:sz w:val="24"/>
          <w:szCs w:val="24"/>
        </w:rPr>
        <w:lastRenderedPageBreak/>
        <w:t xml:space="preserve">family. </w:t>
      </w:r>
      <w:r w:rsidR="00830D9C" w:rsidRPr="00C05B8E">
        <w:rPr>
          <w:rFonts w:ascii="Times New Roman" w:hAnsi="Times New Roman" w:cs="Times New Roman"/>
          <w:sz w:val="24"/>
          <w:szCs w:val="24"/>
        </w:rPr>
        <w:t>In subsection 4 of</w:t>
      </w:r>
      <w:r w:rsidR="00774CB1" w:rsidRPr="00C05B8E">
        <w:rPr>
          <w:rFonts w:ascii="Times New Roman" w:hAnsi="Times New Roman" w:cs="Times New Roman"/>
          <w:sz w:val="24"/>
          <w:szCs w:val="24"/>
        </w:rPr>
        <w:t xml:space="preserve"> the same</w:t>
      </w:r>
      <w:r w:rsidR="00830D9C" w:rsidRPr="00C05B8E">
        <w:rPr>
          <w:rFonts w:ascii="Times New Roman" w:hAnsi="Times New Roman" w:cs="Times New Roman"/>
          <w:sz w:val="24"/>
          <w:szCs w:val="24"/>
        </w:rPr>
        <w:t xml:space="preserve"> </w:t>
      </w:r>
      <w:r w:rsidRPr="00C05B8E">
        <w:rPr>
          <w:rFonts w:ascii="Times New Roman" w:hAnsi="Times New Roman" w:cs="Times New Roman"/>
          <w:sz w:val="24"/>
          <w:szCs w:val="24"/>
        </w:rPr>
        <w:t>section the Court is enjoined to have regard to all the circumstances of the case, including the following</w:t>
      </w:r>
      <w:r w:rsidR="00C11621">
        <w:rPr>
          <w:rFonts w:ascii="Times New Roman" w:hAnsi="Times New Roman" w:cs="Times New Roman"/>
          <w:sz w:val="24"/>
          <w:szCs w:val="24"/>
        </w:rPr>
        <w:t>:</w:t>
      </w:r>
    </w:p>
    <w:p w14:paraId="52D936BA" w14:textId="77777777" w:rsidR="007D7C5C" w:rsidRPr="00C05B8E" w:rsidRDefault="007D7C5C" w:rsidP="00B57229">
      <w:pPr>
        <w:autoSpaceDE w:val="0"/>
        <w:autoSpaceDN w:val="0"/>
        <w:adjustRightInd w:val="0"/>
        <w:spacing w:after="0" w:line="240" w:lineRule="auto"/>
        <w:jc w:val="both"/>
        <w:rPr>
          <w:rFonts w:ascii="Times New Roman" w:hAnsi="Times New Roman" w:cs="Times New Roman"/>
          <w:sz w:val="24"/>
          <w:szCs w:val="24"/>
        </w:rPr>
      </w:pPr>
      <w:r w:rsidRPr="00C05B8E">
        <w:rPr>
          <w:rFonts w:ascii="Times New Roman" w:hAnsi="Times New Roman" w:cs="Times New Roman"/>
          <w:sz w:val="24"/>
          <w:szCs w:val="24"/>
        </w:rPr>
        <w:t xml:space="preserve">          “(</w:t>
      </w:r>
      <w:r w:rsidRPr="00C05B8E">
        <w:rPr>
          <w:rFonts w:ascii="Times New Roman" w:hAnsi="Times New Roman" w:cs="Times New Roman"/>
          <w:i/>
          <w:iCs/>
          <w:sz w:val="24"/>
          <w:szCs w:val="24"/>
        </w:rPr>
        <w:t>a</w:t>
      </w:r>
      <w:r w:rsidRPr="00C05B8E">
        <w:rPr>
          <w:rFonts w:ascii="Times New Roman" w:hAnsi="Times New Roman" w:cs="Times New Roman"/>
          <w:sz w:val="24"/>
          <w:szCs w:val="24"/>
        </w:rPr>
        <w:t xml:space="preserve">) the income-earning capacity, assets and other financial resources which each spouse </w:t>
      </w:r>
    </w:p>
    <w:p w14:paraId="72155C6D"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 xml:space="preserve">      and child has or is likely to have in the foreseeable future;</w:t>
      </w:r>
    </w:p>
    <w:p w14:paraId="3887C027"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w:t>
      </w:r>
      <w:r w:rsidRPr="00C05B8E">
        <w:rPr>
          <w:rFonts w:ascii="Times New Roman" w:hAnsi="Times New Roman" w:cs="Times New Roman"/>
          <w:i/>
          <w:iCs/>
          <w:sz w:val="24"/>
          <w:szCs w:val="24"/>
        </w:rPr>
        <w:t>b</w:t>
      </w:r>
      <w:r w:rsidRPr="00C05B8E">
        <w:rPr>
          <w:rFonts w:ascii="Times New Roman" w:hAnsi="Times New Roman" w:cs="Times New Roman"/>
          <w:sz w:val="24"/>
          <w:szCs w:val="24"/>
        </w:rPr>
        <w:t xml:space="preserve">) the financial needs, obligations and responsibilities which each spouse and child has or </w:t>
      </w:r>
    </w:p>
    <w:p w14:paraId="4AE36A10"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 xml:space="preserve">      is likely to have in the foreseeable future;</w:t>
      </w:r>
    </w:p>
    <w:p w14:paraId="1168D61C"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w:t>
      </w:r>
      <w:r w:rsidRPr="00C05B8E">
        <w:rPr>
          <w:rFonts w:ascii="Times New Roman" w:hAnsi="Times New Roman" w:cs="Times New Roman"/>
          <w:i/>
          <w:iCs/>
          <w:sz w:val="24"/>
          <w:szCs w:val="24"/>
        </w:rPr>
        <w:t>c</w:t>
      </w:r>
      <w:r w:rsidRPr="00C05B8E">
        <w:rPr>
          <w:rFonts w:ascii="Times New Roman" w:hAnsi="Times New Roman" w:cs="Times New Roman"/>
          <w:sz w:val="24"/>
          <w:szCs w:val="24"/>
        </w:rPr>
        <w:t xml:space="preserve">) the standard of living of the family, including the manner in which any child was being </w:t>
      </w:r>
    </w:p>
    <w:p w14:paraId="7DEAB208"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 xml:space="preserve">     educated or trained or expected to be educated or trained;</w:t>
      </w:r>
    </w:p>
    <w:p w14:paraId="2FBCD026"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w:t>
      </w:r>
      <w:r w:rsidRPr="00C05B8E">
        <w:rPr>
          <w:rFonts w:ascii="Times New Roman" w:hAnsi="Times New Roman" w:cs="Times New Roman"/>
          <w:i/>
          <w:iCs/>
          <w:sz w:val="24"/>
          <w:szCs w:val="24"/>
        </w:rPr>
        <w:t>d</w:t>
      </w:r>
      <w:r w:rsidRPr="00C05B8E">
        <w:rPr>
          <w:rFonts w:ascii="Times New Roman" w:hAnsi="Times New Roman" w:cs="Times New Roman"/>
          <w:sz w:val="24"/>
          <w:szCs w:val="24"/>
        </w:rPr>
        <w:t>) the age and physical and mental condition of each spouse and child;</w:t>
      </w:r>
    </w:p>
    <w:p w14:paraId="798A035D"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w:t>
      </w:r>
      <w:r w:rsidRPr="00C05B8E">
        <w:rPr>
          <w:rFonts w:ascii="Times New Roman" w:hAnsi="Times New Roman" w:cs="Times New Roman"/>
          <w:i/>
          <w:iCs/>
          <w:sz w:val="24"/>
          <w:szCs w:val="24"/>
        </w:rPr>
        <w:t>e</w:t>
      </w:r>
      <w:r w:rsidRPr="00C05B8E">
        <w:rPr>
          <w:rFonts w:ascii="Times New Roman" w:hAnsi="Times New Roman" w:cs="Times New Roman"/>
          <w:sz w:val="24"/>
          <w:szCs w:val="24"/>
        </w:rPr>
        <w:t>) the direct or indirect contribution made by each spouse to the family, including</w:t>
      </w:r>
    </w:p>
    <w:p w14:paraId="3EB00484"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 xml:space="preserve">     contributions made by looking after the home and caring for the family and any other </w:t>
      </w:r>
    </w:p>
    <w:p w14:paraId="01AA0E01"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 xml:space="preserve">     domestic duties;</w:t>
      </w:r>
    </w:p>
    <w:p w14:paraId="73E7EBDD"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w:t>
      </w:r>
      <w:r w:rsidRPr="00C05B8E">
        <w:rPr>
          <w:rFonts w:ascii="Times New Roman" w:hAnsi="Times New Roman" w:cs="Times New Roman"/>
          <w:i/>
          <w:iCs/>
          <w:sz w:val="24"/>
          <w:szCs w:val="24"/>
        </w:rPr>
        <w:t>f</w:t>
      </w:r>
      <w:r w:rsidRPr="00C05B8E">
        <w:rPr>
          <w:rFonts w:ascii="Times New Roman" w:hAnsi="Times New Roman" w:cs="Times New Roman"/>
          <w:sz w:val="24"/>
          <w:szCs w:val="24"/>
        </w:rPr>
        <w:t>)  the value to either of the spouses or to any child of any benefit, including a pension or</w:t>
      </w:r>
    </w:p>
    <w:p w14:paraId="235083A3"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 xml:space="preserve">     gratuity, which such spouse or child will lose as a result of the dissolution of the </w:t>
      </w:r>
    </w:p>
    <w:p w14:paraId="62D6B717"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 xml:space="preserve">     marriage;</w:t>
      </w:r>
    </w:p>
    <w:p w14:paraId="623AD401" w14:textId="77777777" w:rsidR="007D7C5C" w:rsidRPr="00C05B8E" w:rsidRDefault="007D7C5C"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w:t>
      </w:r>
      <w:r w:rsidRPr="00C05B8E">
        <w:rPr>
          <w:rFonts w:ascii="Times New Roman" w:hAnsi="Times New Roman" w:cs="Times New Roman"/>
          <w:i/>
          <w:iCs/>
          <w:sz w:val="24"/>
          <w:szCs w:val="24"/>
        </w:rPr>
        <w:t>g</w:t>
      </w:r>
      <w:r w:rsidRPr="00C05B8E">
        <w:rPr>
          <w:rFonts w:ascii="Times New Roman" w:hAnsi="Times New Roman" w:cs="Times New Roman"/>
          <w:sz w:val="24"/>
          <w:szCs w:val="24"/>
        </w:rPr>
        <w:t>) the duration of the marriage;…”</w:t>
      </w:r>
    </w:p>
    <w:p w14:paraId="05E424BA" w14:textId="77777777" w:rsidR="007D7C5C" w:rsidRPr="00C05B8E" w:rsidRDefault="007D7C5C" w:rsidP="00B57229">
      <w:pPr>
        <w:autoSpaceDE w:val="0"/>
        <w:autoSpaceDN w:val="0"/>
        <w:adjustRightInd w:val="0"/>
        <w:spacing w:after="0" w:line="360" w:lineRule="auto"/>
        <w:ind w:left="720"/>
        <w:jc w:val="both"/>
        <w:rPr>
          <w:rFonts w:ascii="Times New Roman" w:hAnsi="Times New Roman" w:cs="Times New Roman"/>
          <w:sz w:val="24"/>
          <w:szCs w:val="24"/>
        </w:rPr>
      </w:pPr>
    </w:p>
    <w:p w14:paraId="02837CBD" w14:textId="1C749031" w:rsidR="00B4368E" w:rsidRPr="00C05B8E" w:rsidRDefault="007D7C5C" w:rsidP="00C11621">
      <w:pPr>
        <w:autoSpaceDE w:val="0"/>
        <w:autoSpaceDN w:val="0"/>
        <w:adjustRightInd w:val="0"/>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The Act further directs that in distributing the assets, the court shall endeavor as far as is reasonable and practicable and, having regard to the conduct of the parties, where it is just to do so, place the spouses and child in the position they would have been in had a normal marriage relationship continued between the spouses. The distribution of the assets of the spouses will therefore be cons</w:t>
      </w:r>
      <w:r w:rsidR="00774CB1" w:rsidRPr="00C05B8E">
        <w:rPr>
          <w:rFonts w:ascii="Times New Roman" w:hAnsi="Times New Roman" w:cs="Times New Roman"/>
          <w:sz w:val="24"/>
          <w:szCs w:val="24"/>
        </w:rPr>
        <w:t>idered in that light</w:t>
      </w:r>
      <w:r w:rsidRPr="00C05B8E">
        <w:rPr>
          <w:rFonts w:ascii="Times New Roman" w:hAnsi="Times New Roman" w:cs="Times New Roman"/>
          <w:sz w:val="24"/>
          <w:szCs w:val="24"/>
        </w:rPr>
        <w:t>.</w:t>
      </w:r>
    </w:p>
    <w:p w14:paraId="1525E89F" w14:textId="77777777" w:rsidR="00703327" w:rsidRPr="00396644" w:rsidRDefault="00E15C3D" w:rsidP="000E49AD">
      <w:pPr>
        <w:spacing w:after="0" w:line="360" w:lineRule="auto"/>
        <w:ind w:firstLine="720"/>
        <w:jc w:val="both"/>
        <w:rPr>
          <w:rFonts w:ascii="Times New Roman" w:hAnsi="Times New Roman" w:cs="Times New Roman"/>
          <w:b/>
          <w:bCs/>
          <w:sz w:val="24"/>
          <w:szCs w:val="24"/>
          <w:u w:val="single"/>
        </w:rPr>
      </w:pPr>
      <w:r w:rsidRPr="00396644">
        <w:rPr>
          <w:rFonts w:ascii="Times New Roman" w:hAnsi="Times New Roman" w:cs="Times New Roman"/>
          <w:b/>
          <w:bCs/>
          <w:sz w:val="24"/>
          <w:szCs w:val="24"/>
          <w:u w:val="single"/>
        </w:rPr>
        <w:t xml:space="preserve">THE </w:t>
      </w:r>
      <w:r w:rsidR="00774CB1" w:rsidRPr="00396644">
        <w:rPr>
          <w:rFonts w:ascii="Times New Roman" w:hAnsi="Times New Roman" w:cs="Times New Roman"/>
          <w:b/>
          <w:bCs/>
          <w:sz w:val="24"/>
          <w:szCs w:val="24"/>
          <w:u w:val="single"/>
        </w:rPr>
        <w:t xml:space="preserve">PARTIES’ TESTIMONIES </w:t>
      </w:r>
    </w:p>
    <w:p w14:paraId="6A59C74B" w14:textId="77777777" w:rsidR="00830D9C" w:rsidRPr="00C05B8E" w:rsidRDefault="00774CB1" w:rsidP="000E49AD">
      <w:pPr>
        <w:pStyle w:val="NormalWeb"/>
        <w:spacing w:after="0" w:afterAutospacing="0" w:line="360" w:lineRule="auto"/>
        <w:ind w:firstLine="720"/>
        <w:jc w:val="both"/>
      </w:pPr>
      <w:r w:rsidRPr="00C05B8E">
        <w:t xml:space="preserve">The parties seemed to have </w:t>
      </w:r>
      <w:r w:rsidR="006E59BC" w:rsidRPr="00C05B8E">
        <w:t>a marriage that started with</w:t>
      </w:r>
      <w:r w:rsidRPr="00C05B8E">
        <w:t xml:space="preserve"> </w:t>
      </w:r>
      <w:r w:rsidR="0062497C" w:rsidRPr="00C05B8E">
        <w:t>their roles being complementary and</w:t>
      </w:r>
      <w:r w:rsidR="006E59BC" w:rsidRPr="00C05B8E">
        <w:t xml:space="preserve"> both parties contributing to the acquisition of the assets. </w:t>
      </w:r>
      <w:r w:rsidRPr="00C05B8E">
        <w:t>Plaintiff got disgruntled along the way and regretted having Defendant in her life. Throughout h</w:t>
      </w:r>
      <w:r w:rsidR="003635F7" w:rsidRPr="00C05B8E">
        <w:t>er testimony she referred to herself as having been stupid for agreeing on issues with the Defendant. The extent of what each of them contributed in the acquisition of the assets</w:t>
      </w:r>
      <w:r w:rsidR="006E59BC" w:rsidRPr="00C05B8E">
        <w:t xml:space="preserve"> is what is in dispute. </w:t>
      </w:r>
    </w:p>
    <w:p w14:paraId="113F768B" w14:textId="77777777" w:rsidR="00830D9C" w:rsidRPr="00396644" w:rsidRDefault="00830D9C" w:rsidP="00B57229">
      <w:pPr>
        <w:spacing w:after="0" w:line="360" w:lineRule="auto"/>
        <w:ind w:firstLine="720"/>
        <w:jc w:val="both"/>
        <w:rPr>
          <w:rFonts w:ascii="Times New Roman" w:hAnsi="Times New Roman" w:cs="Times New Roman"/>
          <w:b/>
          <w:bCs/>
          <w:sz w:val="24"/>
          <w:szCs w:val="24"/>
          <w:u w:val="single"/>
        </w:rPr>
      </w:pPr>
      <w:r w:rsidRPr="00396644">
        <w:rPr>
          <w:rFonts w:ascii="Times New Roman" w:hAnsi="Times New Roman" w:cs="Times New Roman"/>
          <w:b/>
          <w:bCs/>
          <w:sz w:val="24"/>
          <w:szCs w:val="24"/>
          <w:u w:val="single"/>
        </w:rPr>
        <w:t>MOVABLE ASSETS</w:t>
      </w:r>
    </w:p>
    <w:p w14:paraId="4AB3745C" w14:textId="77777777" w:rsidR="00830D9C" w:rsidRPr="00C05B8E" w:rsidRDefault="00830D9C" w:rsidP="00B57229">
      <w:pPr>
        <w:pStyle w:val="ListParagraph"/>
        <w:numPr>
          <w:ilvl w:val="0"/>
          <w:numId w:val="7"/>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Household Items</w:t>
      </w:r>
    </w:p>
    <w:p w14:paraId="6183BA4C" w14:textId="77777777" w:rsidR="006E59BC" w:rsidRPr="00C05B8E" w:rsidRDefault="00E15C3D" w:rsidP="00B57229">
      <w:p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 xml:space="preserve">Plaintiff’s attitude </w:t>
      </w:r>
      <w:r w:rsidR="00703327" w:rsidRPr="00C05B8E">
        <w:rPr>
          <w:rFonts w:ascii="Times New Roman" w:hAnsi="Times New Roman" w:cs="Times New Roman"/>
          <w:sz w:val="24"/>
          <w:szCs w:val="24"/>
        </w:rPr>
        <w:t xml:space="preserve">on household items </w:t>
      </w:r>
      <w:r w:rsidRPr="00C05B8E">
        <w:rPr>
          <w:rFonts w:ascii="Times New Roman" w:hAnsi="Times New Roman" w:cs="Times New Roman"/>
          <w:sz w:val="24"/>
          <w:szCs w:val="24"/>
        </w:rPr>
        <w:t xml:space="preserve">was that what </w:t>
      </w:r>
      <w:r w:rsidR="00830D9C" w:rsidRPr="00C05B8E">
        <w:rPr>
          <w:rFonts w:ascii="Times New Roman" w:hAnsi="Times New Roman" w:cs="Times New Roman"/>
          <w:sz w:val="24"/>
          <w:szCs w:val="24"/>
        </w:rPr>
        <w:t xml:space="preserve">the </w:t>
      </w:r>
      <w:r w:rsidRPr="00C05B8E">
        <w:rPr>
          <w:rFonts w:ascii="Times New Roman" w:hAnsi="Times New Roman" w:cs="Times New Roman"/>
          <w:sz w:val="24"/>
          <w:szCs w:val="24"/>
        </w:rPr>
        <w:t xml:space="preserve">Defendant bought and what </w:t>
      </w:r>
      <w:r w:rsidR="00830D9C" w:rsidRPr="00C05B8E">
        <w:rPr>
          <w:rFonts w:ascii="Times New Roman" w:hAnsi="Times New Roman" w:cs="Times New Roman"/>
          <w:sz w:val="24"/>
          <w:szCs w:val="24"/>
        </w:rPr>
        <w:t xml:space="preserve">was </w:t>
      </w:r>
      <w:r w:rsidRPr="00C05B8E">
        <w:rPr>
          <w:rFonts w:ascii="Times New Roman" w:hAnsi="Times New Roman" w:cs="Times New Roman"/>
          <w:sz w:val="24"/>
          <w:szCs w:val="24"/>
        </w:rPr>
        <w:t>jointly</w:t>
      </w:r>
      <w:r w:rsidR="00830D9C" w:rsidRPr="00C05B8E">
        <w:rPr>
          <w:rFonts w:ascii="Times New Roman" w:hAnsi="Times New Roman" w:cs="Times New Roman"/>
          <w:sz w:val="24"/>
          <w:szCs w:val="24"/>
        </w:rPr>
        <w:t xml:space="preserve"> acquired by the parties </w:t>
      </w:r>
      <w:r w:rsidRPr="00C05B8E">
        <w:rPr>
          <w:rFonts w:ascii="Times New Roman" w:hAnsi="Times New Roman" w:cs="Times New Roman"/>
          <w:sz w:val="24"/>
          <w:szCs w:val="24"/>
        </w:rPr>
        <w:t>can be awarded to the Defendant. Defendant address</w:t>
      </w:r>
      <w:r w:rsidR="00830D9C" w:rsidRPr="00C05B8E">
        <w:rPr>
          <w:rFonts w:ascii="Times New Roman" w:hAnsi="Times New Roman" w:cs="Times New Roman"/>
          <w:sz w:val="24"/>
          <w:szCs w:val="24"/>
        </w:rPr>
        <w:t>ed</w:t>
      </w:r>
      <w:r w:rsidRPr="00C05B8E">
        <w:rPr>
          <w:rFonts w:ascii="Times New Roman" w:hAnsi="Times New Roman" w:cs="Times New Roman"/>
          <w:sz w:val="24"/>
          <w:szCs w:val="24"/>
        </w:rPr>
        <w:t xml:space="preserve"> the issue of the household items in his </w:t>
      </w:r>
      <w:r w:rsidR="00830D9C" w:rsidRPr="00C05B8E">
        <w:rPr>
          <w:rFonts w:ascii="Times New Roman" w:hAnsi="Times New Roman" w:cs="Times New Roman"/>
          <w:sz w:val="24"/>
          <w:szCs w:val="24"/>
        </w:rPr>
        <w:t xml:space="preserve">pleadings but did not in oral </w:t>
      </w:r>
      <w:r w:rsidRPr="00C05B8E">
        <w:rPr>
          <w:rFonts w:ascii="Times New Roman" w:hAnsi="Times New Roman" w:cs="Times New Roman"/>
          <w:sz w:val="24"/>
          <w:szCs w:val="24"/>
        </w:rPr>
        <w:t>evidence</w:t>
      </w:r>
      <w:r w:rsidR="00E800B9" w:rsidRPr="00C05B8E">
        <w:rPr>
          <w:rFonts w:ascii="Times New Roman" w:hAnsi="Times New Roman" w:cs="Times New Roman"/>
          <w:sz w:val="24"/>
          <w:szCs w:val="24"/>
        </w:rPr>
        <w:t xml:space="preserve">. The distribution of the household </w:t>
      </w:r>
      <w:r w:rsidR="00E800B9" w:rsidRPr="00C05B8E">
        <w:rPr>
          <w:rFonts w:ascii="Times New Roman" w:hAnsi="Times New Roman" w:cs="Times New Roman"/>
          <w:sz w:val="24"/>
          <w:szCs w:val="24"/>
        </w:rPr>
        <w:lastRenderedPageBreak/>
        <w:t>items therefore was informed by the pleadings and what Plaintiff stated in evidence.</w:t>
      </w:r>
      <w:r w:rsidR="00A242A1" w:rsidRPr="00C05B8E">
        <w:rPr>
          <w:rFonts w:ascii="Times New Roman" w:hAnsi="Times New Roman" w:cs="Times New Roman"/>
          <w:sz w:val="24"/>
          <w:szCs w:val="24"/>
        </w:rPr>
        <w:t xml:space="preserve"> Accordingly, the household items will be awarded as follows: -</w:t>
      </w:r>
    </w:p>
    <w:tbl>
      <w:tblPr>
        <w:tblStyle w:val="TableGrid"/>
        <w:tblW w:w="0" w:type="auto"/>
        <w:tblLook w:val="04A0" w:firstRow="1" w:lastRow="0" w:firstColumn="1" w:lastColumn="0" w:noHBand="0" w:noVBand="1"/>
      </w:tblPr>
      <w:tblGrid>
        <w:gridCol w:w="985"/>
        <w:gridCol w:w="3960"/>
        <w:gridCol w:w="4405"/>
      </w:tblGrid>
      <w:tr w:rsidR="00A242A1" w:rsidRPr="00C05B8E" w14:paraId="19446690" w14:textId="77777777" w:rsidTr="00A242A1">
        <w:tc>
          <w:tcPr>
            <w:tcW w:w="985" w:type="dxa"/>
          </w:tcPr>
          <w:p w14:paraId="158EDD63" w14:textId="77777777" w:rsidR="00A242A1" w:rsidRPr="00C05B8E" w:rsidRDefault="00A242A1"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NO</w:t>
            </w:r>
          </w:p>
        </w:tc>
        <w:tc>
          <w:tcPr>
            <w:tcW w:w="3960" w:type="dxa"/>
          </w:tcPr>
          <w:p w14:paraId="24CFE866" w14:textId="77777777" w:rsidR="00A242A1" w:rsidRPr="00C05B8E" w:rsidRDefault="00A242A1"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FOR PLAINTIFF</w:t>
            </w:r>
          </w:p>
        </w:tc>
        <w:tc>
          <w:tcPr>
            <w:tcW w:w="4405" w:type="dxa"/>
          </w:tcPr>
          <w:p w14:paraId="571344D4" w14:textId="77777777" w:rsidR="00A242A1" w:rsidRPr="00C05B8E" w:rsidRDefault="00A242A1"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FOR DEFENDANT</w:t>
            </w:r>
          </w:p>
        </w:tc>
      </w:tr>
      <w:tr w:rsidR="00A242A1" w:rsidRPr="00C05B8E" w14:paraId="5E8F5289" w14:textId="77777777" w:rsidTr="00A242A1">
        <w:tc>
          <w:tcPr>
            <w:tcW w:w="985" w:type="dxa"/>
          </w:tcPr>
          <w:p w14:paraId="701F6B37" w14:textId="77777777" w:rsidR="00A242A1" w:rsidRPr="00C05B8E" w:rsidRDefault="00A242A1"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00611312" w14:textId="77777777" w:rsidR="00A242A1" w:rsidRPr="00C05B8E" w:rsidRDefault="00A242A1"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King bed</w:t>
            </w:r>
            <w:r w:rsidR="00F53796" w:rsidRPr="00C05B8E">
              <w:rPr>
                <w:rFonts w:ascii="Times New Roman" w:hAnsi="Times New Roman" w:cs="Times New Roman"/>
                <w:sz w:val="24"/>
                <w:szCs w:val="24"/>
              </w:rPr>
              <w:t>s x 2</w:t>
            </w:r>
          </w:p>
        </w:tc>
        <w:tc>
          <w:tcPr>
            <w:tcW w:w="4405" w:type="dxa"/>
          </w:tcPr>
          <w:p w14:paraId="27255735" w14:textId="77777777" w:rsidR="00A242A1"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Double/3 Quarter beds</w:t>
            </w:r>
          </w:p>
        </w:tc>
      </w:tr>
      <w:tr w:rsidR="00A242A1" w:rsidRPr="00C05B8E" w14:paraId="4BBAE3EA" w14:textId="77777777" w:rsidTr="00A242A1">
        <w:tc>
          <w:tcPr>
            <w:tcW w:w="985" w:type="dxa"/>
          </w:tcPr>
          <w:p w14:paraId="3B5E4888" w14:textId="77777777" w:rsidR="00A242A1" w:rsidRPr="00C05B8E" w:rsidRDefault="00A242A1"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2B115F6D" w14:textId="77777777" w:rsidR="00A242A1" w:rsidRPr="00C05B8E" w:rsidRDefault="00A242A1"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King Headboard</w:t>
            </w:r>
            <w:r w:rsidR="00F53796" w:rsidRPr="00C05B8E">
              <w:rPr>
                <w:rFonts w:ascii="Times New Roman" w:hAnsi="Times New Roman" w:cs="Times New Roman"/>
                <w:sz w:val="24"/>
                <w:szCs w:val="24"/>
              </w:rPr>
              <w:t>s x 2</w:t>
            </w:r>
          </w:p>
        </w:tc>
        <w:tc>
          <w:tcPr>
            <w:tcW w:w="4405" w:type="dxa"/>
          </w:tcPr>
          <w:p w14:paraId="5486A027" w14:textId="77777777" w:rsidR="00A242A1"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3 Quarter Headboard</w:t>
            </w:r>
          </w:p>
        </w:tc>
      </w:tr>
      <w:tr w:rsidR="00A242A1" w:rsidRPr="00C05B8E" w14:paraId="3FC1A185" w14:textId="77777777" w:rsidTr="00A242A1">
        <w:tc>
          <w:tcPr>
            <w:tcW w:w="985" w:type="dxa"/>
          </w:tcPr>
          <w:p w14:paraId="5BC6697D" w14:textId="77777777" w:rsidR="00A242A1" w:rsidRPr="00C05B8E" w:rsidRDefault="00A242A1"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65C9C650" w14:textId="77777777" w:rsidR="00A242A1" w:rsidRPr="00C05B8E" w:rsidRDefault="00E15C3D"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Upright Freezer</w:t>
            </w:r>
          </w:p>
        </w:tc>
        <w:tc>
          <w:tcPr>
            <w:tcW w:w="4405" w:type="dxa"/>
          </w:tcPr>
          <w:p w14:paraId="08C9C61B" w14:textId="77777777" w:rsidR="00A40DDC"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Sheets, Duvets, Pillows-half share</w:t>
            </w:r>
          </w:p>
        </w:tc>
      </w:tr>
      <w:tr w:rsidR="00C0466A" w:rsidRPr="00C05B8E" w14:paraId="2F27285E" w14:textId="77777777" w:rsidTr="00A242A1">
        <w:tc>
          <w:tcPr>
            <w:tcW w:w="985" w:type="dxa"/>
          </w:tcPr>
          <w:p w14:paraId="025E4F80"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771C8F5A"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Smart TV</w:t>
            </w:r>
          </w:p>
        </w:tc>
        <w:tc>
          <w:tcPr>
            <w:tcW w:w="4405" w:type="dxa"/>
          </w:tcPr>
          <w:p w14:paraId="1DB47632"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Flower Pots-half share</w:t>
            </w:r>
          </w:p>
        </w:tc>
      </w:tr>
      <w:tr w:rsidR="00C0466A" w:rsidRPr="00C05B8E" w14:paraId="0858AF5C" w14:textId="77777777" w:rsidTr="00A242A1">
        <w:tc>
          <w:tcPr>
            <w:tcW w:w="985" w:type="dxa"/>
          </w:tcPr>
          <w:p w14:paraId="0C446D93"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382C688F"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Sheets, Duvets, Pillows-half share</w:t>
            </w:r>
          </w:p>
        </w:tc>
        <w:tc>
          <w:tcPr>
            <w:tcW w:w="4405" w:type="dxa"/>
          </w:tcPr>
          <w:p w14:paraId="1AB40CB8"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Leather Sofas</w:t>
            </w:r>
          </w:p>
        </w:tc>
      </w:tr>
      <w:tr w:rsidR="00C0466A" w:rsidRPr="00C05B8E" w14:paraId="3E923400" w14:textId="77777777" w:rsidTr="00A242A1">
        <w:tc>
          <w:tcPr>
            <w:tcW w:w="985" w:type="dxa"/>
          </w:tcPr>
          <w:p w14:paraId="4D4C1EF5"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7C4C823B"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Flower Pots-half share</w:t>
            </w:r>
          </w:p>
        </w:tc>
        <w:tc>
          <w:tcPr>
            <w:tcW w:w="4405" w:type="dxa"/>
          </w:tcPr>
          <w:p w14:paraId="1E2CFA7C"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Television 45´</w:t>
            </w:r>
          </w:p>
        </w:tc>
      </w:tr>
      <w:tr w:rsidR="00C0466A" w:rsidRPr="00C05B8E" w14:paraId="6FA5E98D" w14:textId="77777777" w:rsidTr="00A242A1">
        <w:tc>
          <w:tcPr>
            <w:tcW w:w="985" w:type="dxa"/>
          </w:tcPr>
          <w:p w14:paraId="09E1AC62"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319EF0E9"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Fabric Sofas</w:t>
            </w:r>
          </w:p>
        </w:tc>
        <w:tc>
          <w:tcPr>
            <w:tcW w:w="4405" w:type="dxa"/>
          </w:tcPr>
          <w:p w14:paraId="398CF529"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1 Plate Gas Stove</w:t>
            </w:r>
          </w:p>
        </w:tc>
      </w:tr>
      <w:tr w:rsidR="00C0466A" w:rsidRPr="00C05B8E" w14:paraId="38D289BE" w14:textId="77777777" w:rsidTr="00A242A1">
        <w:tc>
          <w:tcPr>
            <w:tcW w:w="985" w:type="dxa"/>
          </w:tcPr>
          <w:p w14:paraId="4AFDC740"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04D1B400" w14:textId="5254FF85" w:rsidR="00C0466A" w:rsidRPr="00C05B8E" w:rsidRDefault="00D318D2"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Television 45</w:t>
            </w:r>
            <w:r w:rsidR="00C0466A" w:rsidRPr="00C05B8E">
              <w:rPr>
                <w:rFonts w:ascii="Times New Roman" w:hAnsi="Times New Roman" w:cs="Times New Roman"/>
                <w:sz w:val="24"/>
                <w:szCs w:val="24"/>
              </w:rPr>
              <w:t>´ and 55´</w:t>
            </w:r>
          </w:p>
        </w:tc>
        <w:tc>
          <w:tcPr>
            <w:tcW w:w="4405" w:type="dxa"/>
          </w:tcPr>
          <w:p w14:paraId="7BF31DFE"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4 Plate Electric Stove</w:t>
            </w:r>
          </w:p>
        </w:tc>
      </w:tr>
      <w:tr w:rsidR="00C0466A" w:rsidRPr="00C05B8E" w14:paraId="2F9F5604" w14:textId="77777777" w:rsidTr="00A242A1">
        <w:tc>
          <w:tcPr>
            <w:tcW w:w="985" w:type="dxa"/>
          </w:tcPr>
          <w:p w14:paraId="7FFB0A39"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5CC4227E"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Projector and Screen</w:t>
            </w:r>
          </w:p>
        </w:tc>
        <w:tc>
          <w:tcPr>
            <w:tcW w:w="4405" w:type="dxa"/>
          </w:tcPr>
          <w:p w14:paraId="6B6C2A4A"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Dishwasher</w:t>
            </w:r>
          </w:p>
        </w:tc>
      </w:tr>
      <w:tr w:rsidR="00C0466A" w:rsidRPr="00C05B8E" w14:paraId="52DA05EF" w14:textId="77777777" w:rsidTr="00A242A1">
        <w:tc>
          <w:tcPr>
            <w:tcW w:w="985" w:type="dxa"/>
          </w:tcPr>
          <w:p w14:paraId="0EB3981F"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1ADF8760"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Small Silver Fridges from Hirsches</w:t>
            </w:r>
          </w:p>
        </w:tc>
        <w:tc>
          <w:tcPr>
            <w:tcW w:w="4405" w:type="dxa"/>
          </w:tcPr>
          <w:p w14:paraId="0C592480"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Plates, Pots &amp; Utensils-half share</w:t>
            </w:r>
          </w:p>
        </w:tc>
      </w:tr>
      <w:tr w:rsidR="00C0466A" w:rsidRPr="00C05B8E" w14:paraId="2650E779" w14:textId="77777777" w:rsidTr="00A242A1">
        <w:tc>
          <w:tcPr>
            <w:tcW w:w="985" w:type="dxa"/>
          </w:tcPr>
          <w:p w14:paraId="11228DF3"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75AC5ADF"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5 Plate Gas Stove</w:t>
            </w:r>
          </w:p>
        </w:tc>
        <w:tc>
          <w:tcPr>
            <w:tcW w:w="4405" w:type="dxa"/>
          </w:tcPr>
          <w:p w14:paraId="702714AB"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Carpets and Rugs-half share</w:t>
            </w:r>
          </w:p>
        </w:tc>
      </w:tr>
      <w:tr w:rsidR="00C0466A" w:rsidRPr="00C05B8E" w14:paraId="09CBC12A" w14:textId="77777777" w:rsidTr="00A242A1">
        <w:tc>
          <w:tcPr>
            <w:tcW w:w="985" w:type="dxa"/>
          </w:tcPr>
          <w:p w14:paraId="08CCD079"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34665852"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Generator</w:t>
            </w:r>
          </w:p>
        </w:tc>
        <w:tc>
          <w:tcPr>
            <w:tcW w:w="4405" w:type="dxa"/>
          </w:tcPr>
          <w:p w14:paraId="55571BA1"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Coffee Table</w:t>
            </w:r>
          </w:p>
        </w:tc>
      </w:tr>
      <w:tr w:rsidR="00C0466A" w:rsidRPr="00C05B8E" w14:paraId="7FB8C50D" w14:textId="77777777" w:rsidTr="00A242A1">
        <w:tc>
          <w:tcPr>
            <w:tcW w:w="985" w:type="dxa"/>
          </w:tcPr>
          <w:p w14:paraId="68BE1B48"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60298DBE"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Invertor (lights &amp; Plugs)</w:t>
            </w:r>
          </w:p>
        </w:tc>
        <w:tc>
          <w:tcPr>
            <w:tcW w:w="4405" w:type="dxa"/>
          </w:tcPr>
          <w:p w14:paraId="352FA424"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Upright Freezer Combo</w:t>
            </w:r>
          </w:p>
        </w:tc>
      </w:tr>
      <w:tr w:rsidR="00C0466A" w:rsidRPr="00C05B8E" w14:paraId="4202B40D" w14:textId="77777777" w:rsidTr="00A242A1">
        <w:tc>
          <w:tcPr>
            <w:tcW w:w="985" w:type="dxa"/>
          </w:tcPr>
          <w:p w14:paraId="6E6C8AF7"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551C20B0"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6 Seater Dining Set</w:t>
            </w:r>
          </w:p>
        </w:tc>
        <w:tc>
          <w:tcPr>
            <w:tcW w:w="4405" w:type="dxa"/>
          </w:tcPr>
          <w:p w14:paraId="331EDCA0"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Deep Freezer</w:t>
            </w:r>
          </w:p>
        </w:tc>
      </w:tr>
      <w:tr w:rsidR="00C0466A" w:rsidRPr="00C05B8E" w14:paraId="244F646C" w14:textId="77777777" w:rsidTr="00A242A1">
        <w:tc>
          <w:tcPr>
            <w:tcW w:w="985" w:type="dxa"/>
          </w:tcPr>
          <w:p w14:paraId="7CC22CF6"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4043DC31"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Washing Machine</w:t>
            </w:r>
          </w:p>
        </w:tc>
        <w:tc>
          <w:tcPr>
            <w:tcW w:w="4405" w:type="dxa"/>
          </w:tcPr>
          <w:p w14:paraId="06632357"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Office Furniture under the shed</w:t>
            </w:r>
          </w:p>
        </w:tc>
      </w:tr>
      <w:tr w:rsidR="00C0466A" w:rsidRPr="00C05B8E" w14:paraId="58B6B2CC" w14:textId="77777777" w:rsidTr="00A242A1">
        <w:tc>
          <w:tcPr>
            <w:tcW w:w="985" w:type="dxa"/>
          </w:tcPr>
          <w:p w14:paraId="14CC5655"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7E18BF36"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Garden Furniture</w:t>
            </w:r>
          </w:p>
        </w:tc>
        <w:tc>
          <w:tcPr>
            <w:tcW w:w="4405" w:type="dxa"/>
          </w:tcPr>
          <w:p w14:paraId="166C6DA3"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Flower Pots-half share</w:t>
            </w:r>
          </w:p>
        </w:tc>
      </w:tr>
      <w:tr w:rsidR="00C0466A" w:rsidRPr="00C05B8E" w14:paraId="570D9920" w14:textId="77777777" w:rsidTr="00A242A1">
        <w:tc>
          <w:tcPr>
            <w:tcW w:w="985" w:type="dxa"/>
          </w:tcPr>
          <w:p w14:paraId="73F618DE"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4324F7E8"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Plates, Pots &amp; Utensils-half share</w:t>
            </w:r>
          </w:p>
        </w:tc>
        <w:tc>
          <w:tcPr>
            <w:tcW w:w="4405" w:type="dxa"/>
          </w:tcPr>
          <w:p w14:paraId="7C475179"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Leather Sofas</w:t>
            </w:r>
          </w:p>
        </w:tc>
      </w:tr>
      <w:tr w:rsidR="00C0466A" w:rsidRPr="00C05B8E" w14:paraId="6A2F923F" w14:textId="77777777" w:rsidTr="00A242A1">
        <w:tc>
          <w:tcPr>
            <w:tcW w:w="985" w:type="dxa"/>
          </w:tcPr>
          <w:p w14:paraId="3FB8385E"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19573C87"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Carpets and Rugs-half share</w:t>
            </w:r>
          </w:p>
        </w:tc>
        <w:tc>
          <w:tcPr>
            <w:tcW w:w="4405" w:type="dxa"/>
          </w:tcPr>
          <w:p w14:paraId="42B9BA5E"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Television 45´</w:t>
            </w:r>
          </w:p>
        </w:tc>
      </w:tr>
      <w:tr w:rsidR="00C0466A" w:rsidRPr="00C05B8E" w14:paraId="02E0C853" w14:textId="77777777" w:rsidTr="00A242A1">
        <w:tc>
          <w:tcPr>
            <w:tcW w:w="985" w:type="dxa"/>
          </w:tcPr>
          <w:p w14:paraId="3E0A5C85"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2E8C27CB"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Coffee Table</w:t>
            </w:r>
          </w:p>
        </w:tc>
        <w:tc>
          <w:tcPr>
            <w:tcW w:w="4405" w:type="dxa"/>
          </w:tcPr>
          <w:p w14:paraId="51DF698B"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1 Plate Gas Stove</w:t>
            </w:r>
          </w:p>
        </w:tc>
      </w:tr>
      <w:tr w:rsidR="00C0466A" w:rsidRPr="00C05B8E" w14:paraId="49BEE2FD" w14:textId="77777777" w:rsidTr="00A242A1">
        <w:tc>
          <w:tcPr>
            <w:tcW w:w="985" w:type="dxa"/>
          </w:tcPr>
          <w:p w14:paraId="0471CEEE"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1D1C2B79" w14:textId="77777777" w:rsidR="00C0466A" w:rsidRPr="00C05B8E" w:rsidRDefault="003635F7"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Tool Shed contents</w:t>
            </w:r>
          </w:p>
        </w:tc>
        <w:tc>
          <w:tcPr>
            <w:tcW w:w="4405" w:type="dxa"/>
          </w:tcPr>
          <w:p w14:paraId="5CBC9577" w14:textId="77777777" w:rsidR="00C0466A" w:rsidRPr="00C05B8E" w:rsidRDefault="00C0466A" w:rsidP="00B57229">
            <w:pPr>
              <w:spacing w:line="360" w:lineRule="auto"/>
              <w:jc w:val="both"/>
              <w:rPr>
                <w:rFonts w:ascii="Times New Roman" w:hAnsi="Times New Roman" w:cs="Times New Roman"/>
                <w:sz w:val="24"/>
                <w:szCs w:val="24"/>
              </w:rPr>
            </w:pPr>
          </w:p>
        </w:tc>
      </w:tr>
      <w:tr w:rsidR="00C0466A" w:rsidRPr="00C05B8E" w14:paraId="1E11B01E" w14:textId="77777777" w:rsidTr="00C0466A">
        <w:trPr>
          <w:trHeight w:val="70"/>
        </w:trPr>
        <w:tc>
          <w:tcPr>
            <w:tcW w:w="985" w:type="dxa"/>
          </w:tcPr>
          <w:p w14:paraId="3B16E385" w14:textId="77777777" w:rsidR="00C0466A" w:rsidRPr="00C05B8E" w:rsidRDefault="00C0466A" w:rsidP="00B57229">
            <w:pPr>
              <w:pStyle w:val="ListParagraph"/>
              <w:numPr>
                <w:ilvl w:val="0"/>
                <w:numId w:val="4"/>
              </w:numPr>
              <w:spacing w:line="360" w:lineRule="auto"/>
              <w:jc w:val="both"/>
              <w:rPr>
                <w:rFonts w:ascii="Times New Roman" w:hAnsi="Times New Roman" w:cs="Times New Roman"/>
                <w:sz w:val="24"/>
                <w:szCs w:val="24"/>
              </w:rPr>
            </w:pPr>
          </w:p>
        </w:tc>
        <w:tc>
          <w:tcPr>
            <w:tcW w:w="3960" w:type="dxa"/>
          </w:tcPr>
          <w:p w14:paraId="78233676" w14:textId="77777777" w:rsidR="00C0466A" w:rsidRPr="00C05B8E" w:rsidRDefault="003635F7"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Building materials</w:t>
            </w:r>
          </w:p>
        </w:tc>
        <w:tc>
          <w:tcPr>
            <w:tcW w:w="4405" w:type="dxa"/>
          </w:tcPr>
          <w:p w14:paraId="79ED4234" w14:textId="77777777" w:rsidR="00C0466A" w:rsidRPr="00C05B8E" w:rsidRDefault="00C0466A" w:rsidP="00B57229">
            <w:pPr>
              <w:spacing w:line="360" w:lineRule="auto"/>
              <w:jc w:val="both"/>
              <w:rPr>
                <w:rFonts w:ascii="Times New Roman" w:hAnsi="Times New Roman" w:cs="Times New Roman"/>
                <w:sz w:val="24"/>
                <w:szCs w:val="24"/>
              </w:rPr>
            </w:pPr>
          </w:p>
        </w:tc>
      </w:tr>
    </w:tbl>
    <w:p w14:paraId="279E1FAE" w14:textId="77777777" w:rsidR="00A242A1" w:rsidRPr="00C05B8E" w:rsidRDefault="00A242A1" w:rsidP="00B57229">
      <w:pPr>
        <w:spacing w:after="0" w:line="360" w:lineRule="auto"/>
        <w:jc w:val="both"/>
        <w:rPr>
          <w:rFonts w:ascii="Times New Roman" w:hAnsi="Times New Roman" w:cs="Times New Roman"/>
          <w:sz w:val="24"/>
          <w:szCs w:val="24"/>
        </w:rPr>
      </w:pPr>
    </w:p>
    <w:p w14:paraId="78321333" w14:textId="77777777" w:rsidR="00830D9C" w:rsidRPr="00C05B8E" w:rsidRDefault="00830D9C" w:rsidP="00B57229">
      <w:pPr>
        <w:pStyle w:val="ListParagraph"/>
        <w:numPr>
          <w:ilvl w:val="0"/>
          <w:numId w:val="7"/>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Motor Vehicles</w:t>
      </w:r>
    </w:p>
    <w:p w14:paraId="34178630" w14:textId="77777777" w:rsidR="0035735F" w:rsidRPr="00C05B8E" w:rsidRDefault="003635F7" w:rsidP="00B57229">
      <w:p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There are four motor vehicles</w:t>
      </w:r>
      <w:r w:rsidR="00DA4E89" w:rsidRPr="00C05B8E">
        <w:rPr>
          <w:rFonts w:ascii="Times New Roman" w:hAnsi="Times New Roman" w:cs="Times New Roman"/>
          <w:sz w:val="24"/>
          <w:szCs w:val="24"/>
        </w:rPr>
        <w:t xml:space="preserve"> which were purchased during the subsistence of the marriage. Three are registered in the name of the Plaintiff and one in Defendant’s. The dispute is on the Toyota Ipsum registration number AGC 2454 registered in Plaintiff’s name. Plaintiff submitted that the vehicle should be awarded to her as it was purchased in exchange for the Nissan Prairie which </w:t>
      </w:r>
      <w:r w:rsidR="00DA4E89" w:rsidRPr="00C05B8E">
        <w:rPr>
          <w:rFonts w:ascii="Times New Roman" w:hAnsi="Times New Roman" w:cs="Times New Roman"/>
          <w:sz w:val="24"/>
          <w:szCs w:val="24"/>
        </w:rPr>
        <w:lastRenderedPageBreak/>
        <w:t>belonged to her. Defendant testified that this vehicle should be awarded to him as he bought it using funds obtained from the sale of his Mitsubishi Colt vehicle.</w:t>
      </w:r>
      <w:r w:rsidR="006C45C5" w:rsidRPr="00C05B8E">
        <w:rPr>
          <w:rFonts w:ascii="Times New Roman" w:hAnsi="Times New Roman" w:cs="Times New Roman"/>
          <w:sz w:val="24"/>
          <w:szCs w:val="24"/>
        </w:rPr>
        <w:t xml:space="preserve"> He however confirmed having decided to have the vehicle registered in Plaintiff’s name. I do not find any reason to justify changing ownership of the vehicle. It will accordingly be awarded to the Plaintiff.</w:t>
      </w:r>
    </w:p>
    <w:p w14:paraId="0583A041" w14:textId="77777777" w:rsidR="00A44F6D" w:rsidRPr="00396644" w:rsidRDefault="0035735F" w:rsidP="00B57229">
      <w:pPr>
        <w:spacing w:after="0" w:line="360" w:lineRule="auto"/>
        <w:ind w:firstLine="720"/>
        <w:jc w:val="both"/>
        <w:rPr>
          <w:rFonts w:ascii="Times New Roman" w:hAnsi="Times New Roman" w:cs="Times New Roman"/>
          <w:b/>
          <w:bCs/>
          <w:sz w:val="24"/>
          <w:szCs w:val="24"/>
          <w:u w:val="single"/>
        </w:rPr>
      </w:pPr>
      <w:r w:rsidRPr="00396644">
        <w:rPr>
          <w:rFonts w:ascii="Times New Roman" w:hAnsi="Times New Roman" w:cs="Times New Roman"/>
          <w:b/>
          <w:bCs/>
          <w:sz w:val="24"/>
          <w:szCs w:val="24"/>
          <w:u w:val="single"/>
        </w:rPr>
        <w:t>IMMOVABLE PROPERTY</w:t>
      </w:r>
    </w:p>
    <w:p w14:paraId="25A795A9" w14:textId="270560AA" w:rsidR="006C45C5" w:rsidRPr="00C05B8E" w:rsidRDefault="006C45C5" w:rsidP="00B57229">
      <w:pPr>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 xml:space="preserve">The Borrowdale property is an asset registered in the </w:t>
      </w:r>
      <w:r w:rsidR="00951887" w:rsidRPr="00C05B8E">
        <w:rPr>
          <w:rFonts w:ascii="Times New Roman" w:hAnsi="Times New Roman" w:cs="Times New Roman"/>
          <w:sz w:val="24"/>
          <w:szCs w:val="24"/>
        </w:rPr>
        <w:t>Defendant’s</w:t>
      </w:r>
      <w:r w:rsidRPr="00C05B8E">
        <w:rPr>
          <w:rFonts w:ascii="Times New Roman" w:hAnsi="Times New Roman" w:cs="Times New Roman"/>
          <w:sz w:val="24"/>
          <w:szCs w:val="24"/>
        </w:rPr>
        <w:t xml:space="preserve"> name </w:t>
      </w:r>
      <w:r w:rsidR="00951887" w:rsidRPr="00C05B8E">
        <w:rPr>
          <w:rFonts w:ascii="Times New Roman" w:hAnsi="Times New Roman" w:cs="Times New Roman"/>
          <w:sz w:val="24"/>
          <w:szCs w:val="24"/>
        </w:rPr>
        <w:t>and Stand 916 is an asset registered in the Plaintiff’s name. W</w:t>
      </w:r>
      <w:r w:rsidRPr="00C05B8E">
        <w:rPr>
          <w:rFonts w:ascii="Times New Roman" w:hAnsi="Times New Roman" w:cs="Times New Roman"/>
          <w:sz w:val="24"/>
          <w:szCs w:val="24"/>
        </w:rPr>
        <w:t xml:space="preserve">hat this court is enjoined to do by the </w:t>
      </w:r>
      <w:r w:rsidR="00251EFA" w:rsidRPr="00C05B8E">
        <w:rPr>
          <w:rFonts w:ascii="Times New Roman" w:hAnsi="Times New Roman" w:cs="Times New Roman"/>
          <w:sz w:val="24"/>
          <w:szCs w:val="24"/>
        </w:rPr>
        <w:t>Act</w:t>
      </w:r>
      <w:r w:rsidRPr="00C05B8E">
        <w:rPr>
          <w:rFonts w:ascii="Times New Roman" w:hAnsi="Times New Roman" w:cs="Times New Roman"/>
          <w:sz w:val="24"/>
          <w:szCs w:val="24"/>
        </w:rPr>
        <w:t xml:space="preserve"> is to consider all assets of the spouses. As explained in the case of </w:t>
      </w:r>
      <w:r w:rsidRPr="00C05B8E">
        <w:rPr>
          <w:rFonts w:ascii="Times New Roman" w:hAnsi="Times New Roman" w:cs="Times New Roman"/>
          <w:i/>
          <w:sz w:val="24"/>
          <w:szCs w:val="24"/>
        </w:rPr>
        <w:t xml:space="preserve">Takafuma </w:t>
      </w:r>
      <w:r w:rsidRPr="00C05B8E">
        <w:rPr>
          <w:rFonts w:ascii="Times New Roman" w:hAnsi="Times New Roman" w:cs="Times New Roman"/>
          <w:sz w:val="24"/>
          <w:szCs w:val="24"/>
        </w:rPr>
        <w:t>v</w:t>
      </w:r>
      <w:r w:rsidRPr="00C05B8E">
        <w:rPr>
          <w:rFonts w:ascii="Times New Roman" w:hAnsi="Times New Roman" w:cs="Times New Roman"/>
          <w:i/>
          <w:sz w:val="24"/>
          <w:szCs w:val="24"/>
        </w:rPr>
        <w:t xml:space="preserve"> Takafuma </w:t>
      </w:r>
      <w:r w:rsidRPr="00C05B8E">
        <w:rPr>
          <w:rFonts w:ascii="Times New Roman" w:hAnsi="Times New Roman" w:cs="Times New Roman"/>
          <w:sz w:val="24"/>
          <w:szCs w:val="24"/>
        </w:rPr>
        <w:t xml:space="preserve">1994 (2) ZLR 103 </w:t>
      </w:r>
      <w:r w:rsidR="00D318D2">
        <w:rPr>
          <w:rFonts w:ascii="Times New Roman" w:hAnsi="Times New Roman" w:cs="Times New Roman"/>
          <w:sz w:val="24"/>
          <w:szCs w:val="24"/>
        </w:rPr>
        <w:t>(</w:t>
      </w:r>
      <w:r w:rsidRPr="00C05B8E">
        <w:rPr>
          <w:rFonts w:ascii="Times New Roman" w:hAnsi="Times New Roman" w:cs="Times New Roman"/>
          <w:sz w:val="24"/>
          <w:szCs w:val="24"/>
        </w:rPr>
        <w:t>S</w:t>
      </w:r>
      <w:r w:rsidR="00D318D2">
        <w:rPr>
          <w:rFonts w:ascii="Times New Roman" w:hAnsi="Times New Roman" w:cs="Times New Roman"/>
          <w:sz w:val="24"/>
          <w:szCs w:val="24"/>
        </w:rPr>
        <w:t xml:space="preserve">) </w:t>
      </w:r>
      <w:r w:rsidRPr="00C05B8E">
        <w:rPr>
          <w:rFonts w:ascii="Times New Roman" w:hAnsi="Times New Roman" w:cs="Times New Roman"/>
          <w:sz w:val="24"/>
          <w:szCs w:val="24"/>
        </w:rPr>
        <w:t>the court then sorts out those assets into “his”, “hers” and “theirs” and uses these categories to make adjustments where deemed necessary once the category of property marked “theirs” has been distributed. The objective is to place the parties in the position they would have been in had the marriage continued.</w:t>
      </w:r>
      <w:r w:rsidR="00A40CF7" w:rsidRPr="00C05B8E">
        <w:rPr>
          <w:rFonts w:ascii="Times New Roman" w:hAnsi="Times New Roman" w:cs="Times New Roman"/>
          <w:sz w:val="24"/>
          <w:szCs w:val="24"/>
        </w:rPr>
        <w:t xml:space="preserve"> In </w:t>
      </w:r>
      <w:r w:rsidR="00A40CF7" w:rsidRPr="00526B46">
        <w:rPr>
          <w:rFonts w:ascii="Times New Roman" w:hAnsi="Times New Roman" w:cs="Times New Roman"/>
          <w:bCs/>
          <w:i/>
          <w:iCs/>
          <w:sz w:val="24"/>
          <w:szCs w:val="24"/>
        </w:rPr>
        <w:t xml:space="preserve">Shenje </w:t>
      </w:r>
      <w:r w:rsidR="00A40CF7" w:rsidRPr="00526B46">
        <w:rPr>
          <w:rFonts w:ascii="Times New Roman" w:hAnsi="Times New Roman" w:cs="Times New Roman"/>
          <w:bCs/>
          <w:sz w:val="24"/>
          <w:szCs w:val="24"/>
        </w:rPr>
        <w:t xml:space="preserve">v </w:t>
      </w:r>
      <w:r w:rsidR="00A40CF7" w:rsidRPr="00526B46">
        <w:rPr>
          <w:rFonts w:ascii="Times New Roman" w:hAnsi="Times New Roman" w:cs="Times New Roman"/>
          <w:bCs/>
          <w:i/>
          <w:iCs/>
          <w:sz w:val="24"/>
          <w:szCs w:val="24"/>
        </w:rPr>
        <w:t xml:space="preserve">Shenje </w:t>
      </w:r>
      <w:r w:rsidR="00A40CF7" w:rsidRPr="00C05B8E">
        <w:rPr>
          <w:rFonts w:ascii="Times New Roman" w:hAnsi="Times New Roman" w:cs="Times New Roman"/>
          <w:sz w:val="24"/>
          <w:szCs w:val="24"/>
        </w:rPr>
        <w:t>2001 (1) ZLR 160 the point is made that the legislative intent and the objective of the courts is more weighted in favour of ensuring that the parties’ needs are met rather than that their contributions are recouped.</w:t>
      </w:r>
    </w:p>
    <w:p w14:paraId="1673AE44" w14:textId="3FDFB622" w:rsidR="00347077" w:rsidRPr="00B4368E" w:rsidRDefault="00526B46" w:rsidP="00B57229">
      <w:pPr>
        <w:tabs>
          <w:tab w:val="left" w:pos="85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40CF7" w:rsidRPr="00C05B8E">
        <w:rPr>
          <w:rFonts w:ascii="Times New Roman" w:hAnsi="Times New Roman" w:cs="Times New Roman"/>
          <w:sz w:val="24"/>
          <w:szCs w:val="24"/>
        </w:rPr>
        <w:t>A</w:t>
      </w:r>
      <w:r w:rsidR="00703327" w:rsidRPr="00C05B8E">
        <w:rPr>
          <w:rFonts w:ascii="Times New Roman" w:hAnsi="Times New Roman" w:cs="Times New Roman"/>
          <w:sz w:val="24"/>
          <w:szCs w:val="24"/>
        </w:rPr>
        <w:t>t</w:t>
      </w:r>
      <w:r w:rsidR="00DA7A63" w:rsidRPr="00C05B8E">
        <w:rPr>
          <w:rFonts w:ascii="Times New Roman" w:hAnsi="Times New Roman" w:cs="Times New Roman"/>
          <w:sz w:val="24"/>
          <w:szCs w:val="24"/>
        </w:rPr>
        <w:t xml:space="preserve"> the end of the evidence of both parties, the Court was left w</w:t>
      </w:r>
      <w:r w:rsidR="00251EFA" w:rsidRPr="00C05B8E">
        <w:rPr>
          <w:rFonts w:ascii="Times New Roman" w:hAnsi="Times New Roman" w:cs="Times New Roman"/>
          <w:sz w:val="24"/>
          <w:szCs w:val="24"/>
        </w:rPr>
        <w:t xml:space="preserve">ith no clear answer as to the extent of each party’s contribution. </w:t>
      </w:r>
      <w:r w:rsidR="002057FD" w:rsidRPr="00C05B8E">
        <w:rPr>
          <w:rFonts w:ascii="Times New Roman" w:hAnsi="Times New Roman" w:cs="Times New Roman"/>
          <w:sz w:val="24"/>
          <w:szCs w:val="24"/>
        </w:rPr>
        <w:t>Either party claimed responsibility for the acquisition of the immovable property.</w:t>
      </w:r>
      <w:r w:rsidR="00DA7A63" w:rsidRPr="00C05B8E">
        <w:rPr>
          <w:rFonts w:ascii="Times New Roman" w:hAnsi="Times New Roman" w:cs="Times New Roman"/>
          <w:sz w:val="24"/>
          <w:szCs w:val="24"/>
        </w:rPr>
        <w:t xml:space="preserve"> </w:t>
      </w:r>
      <w:r w:rsidR="00703327" w:rsidRPr="00C05B8E">
        <w:rPr>
          <w:rFonts w:ascii="Times New Roman" w:hAnsi="Times New Roman" w:cs="Times New Roman"/>
          <w:sz w:val="24"/>
          <w:szCs w:val="24"/>
        </w:rPr>
        <w:t xml:space="preserve">It is settled in our jurisdiction that the standard of proof in civil matters is “a balance of probabilities.” </w:t>
      </w:r>
      <w:r w:rsidR="00951887" w:rsidRPr="00C05B8E">
        <w:rPr>
          <w:rFonts w:ascii="Times New Roman" w:hAnsi="Times New Roman" w:cs="Times New Roman"/>
          <w:sz w:val="24"/>
          <w:szCs w:val="24"/>
        </w:rPr>
        <w:t xml:space="preserve"> See </w:t>
      </w:r>
      <w:r w:rsidR="00703327" w:rsidRPr="00526B46">
        <w:rPr>
          <w:rFonts w:ascii="Times New Roman" w:hAnsi="Times New Roman" w:cs="Times New Roman"/>
          <w:bCs/>
          <w:i/>
          <w:iCs/>
          <w:sz w:val="24"/>
          <w:szCs w:val="24"/>
        </w:rPr>
        <w:t>ZESA</w:t>
      </w:r>
      <w:r w:rsidR="00703327" w:rsidRPr="00526B46">
        <w:rPr>
          <w:rFonts w:ascii="Times New Roman" w:hAnsi="Times New Roman" w:cs="Times New Roman"/>
          <w:bCs/>
          <w:sz w:val="24"/>
          <w:szCs w:val="24"/>
        </w:rPr>
        <w:t xml:space="preserve"> v </w:t>
      </w:r>
      <w:r w:rsidR="00703327" w:rsidRPr="00526B46">
        <w:rPr>
          <w:rFonts w:ascii="Times New Roman" w:hAnsi="Times New Roman" w:cs="Times New Roman"/>
          <w:bCs/>
          <w:i/>
          <w:iCs/>
          <w:sz w:val="24"/>
          <w:szCs w:val="24"/>
        </w:rPr>
        <w:t>Dera</w:t>
      </w:r>
      <w:r w:rsidR="00703327" w:rsidRPr="00526B46">
        <w:rPr>
          <w:rFonts w:ascii="Times New Roman" w:hAnsi="Times New Roman" w:cs="Times New Roman"/>
          <w:i/>
          <w:iCs/>
          <w:sz w:val="24"/>
          <w:szCs w:val="24"/>
        </w:rPr>
        <w:t xml:space="preserve"> </w:t>
      </w:r>
      <w:r w:rsidR="00703327" w:rsidRPr="00C05B8E">
        <w:rPr>
          <w:rFonts w:ascii="Times New Roman" w:hAnsi="Times New Roman" w:cs="Times New Roman"/>
          <w:sz w:val="24"/>
          <w:szCs w:val="24"/>
          <w:lang w:val="en-ZW"/>
        </w:rPr>
        <w:t xml:space="preserve">1998(1) ZLR 500, </w:t>
      </w:r>
      <w:r w:rsidR="00951887" w:rsidRPr="00C05B8E">
        <w:rPr>
          <w:rFonts w:ascii="Times New Roman" w:hAnsi="Times New Roman" w:cs="Times New Roman"/>
          <w:sz w:val="24"/>
          <w:szCs w:val="24"/>
          <w:lang w:val="en-ZW"/>
        </w:rPr>
        <w:t xml:space="preserve">wherein </w:t>
      </w:r>
      <w:r w:rsidR="00703327" w:rsidRPr="00C05B8E">
        <w:rPr>
          <w:rFonts w:ascii="Times New Roman" w:hAnsi="Times New Roman" w:cs="Times New Roman"/>
          <w:sz w:val="24"/>
          <w:szCs w:val="24"/>
          <w:lang w:val="en-ZW"/>
        </w:rPr>
        <w:t xml:space="preserve">the court </w:t>
      </w:r>
      <w:r w:rsidR="00703327" w:rsidRPr="00C05B8E">
        <w:rPr>
          <w:rFonts w:ascii="Times New Roman" w:hAnsi="Times New Roman" w:cs="Times New Roman"/>
          <w:sz w:val="24"/>
          <w:szCs w:val="24"/>
        </w:rPr>
        <w:t>stated that in civil cases the dispu</w:t>
      </w:r>
      <w:r w:rsidR="00251EFA" w:rsidRPr="00C05B8E">
        <w:rPr>
          <w:rFonts w:ascii="Times New Roman" w:hAnsi="Times New Roman" w:cs="Times New Roman"/>
          <w:sz w:val="24"/>
          <w:szCs w:val="24"/>
        </w:rPr>
        <w:t xml:space="preserve">te is between individuals who </w:t>
      </w:r>
      <w:r w:rsidR="00703327" w:rsidRPr="00C05B8E">
        <w:rPr>
          <w:rFonts w:ascii="Times New Roman" w:hAnsi="Times New Roman" w:cs="Times New Roman"/>
          <w:sz w:val="24"/>
          <w:szCs w:val="24"/>
        </w:rPr>
        <w:t xml:space="preserve">are equally interested parties.  The primary concern is to do justice to each party, and the test for that justice is to balance their competing claims. </w:t>
      </w:r>
    </w:p>
    <w:p w14:paraId="343554FC" w14:textId="7F3429A7" w:rsidR="00180C6E" w:rsidRPr="00C05B8E" w:rsidRDefault="00B7561E" w:rsidP="00C11621">
      <w:pPr>
        <w:autoSpaceDE w:val="0"/>
        <w:autoSpaceDN w:val="0"/>
        <w:adjustRightInd w:val="0"/>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 xml:space="preserve">The evidence on the contributions of the parties to the acquisition </w:t>
      </w:r>
      <w:r w:rsidR="00DC5746" w:rsidRPr="00C05B8E">
        <w:rPr>
          <w:rFonts w:ascii="Times New Roman" w:hAnsi="Times New Roman" w:cs="Times New Roman"/>
          <w:sz w:val="24"/>
          <w:szCs w:val="24"/>
        </w:rPr>
        <w:t>of the immovable property</w:t>
      </w:r>
      <w:r w:rsidR="0026147B" w:rsidRPr="00C05B8E">
        <w:rPr>
          <w:rFonts w:ascii="Times New Roman" w:hAnsi="Times New Roman" w:cs="Times New Roman"/>
          <w:sz w:val="24"/>
          <w:szCs w:val="24"/>
        </w:rPr>
        <w:t xml:space="preserve"> will be considered in the light of that standard. </w:t>
      </w:r>
      <w:r w:rsidR="00506656" w:rsidRPr="00C05B8E">
        <w:rPr>
          <w:rFonts w:ascii="Times New Roman" w:hAnsi="Times New Roman" w:cs="Times New Roman"/>
          <w:sz w:val="24"/>
          <w:szCs w:val="24"/>
        </w:rPr>
        <w:t>Plaintiff</w:t>
      </w:r>
      <w:r w:rsidR="00E04DC3" w:rsidRPr="00C05B8E">
        <w:rPr>
          <w:rFonts w:ascii="Times New Roman" w:hAnsi="Times New Roman" w:cs="Times New Roman"/>
          <w:sz w:val="24"/>
          <w:szCs w:val="24"/>
        </w:rPr>
        <w:t xml:space="preserve"> stated in her synopsis of evidence that the Defendant acquired a mortgage of about $50 million from Trust Bank in 2002 which he used to purchase </w:t>
      </w:r>
      <w:r w:rsidR="00506656" w:rsidRPr="00C05B8E">
        <w:rPr>
          <w:rFonts w:ascii="Times New Roman" w:hAnsi="Times New Roman" w:cs="Times New Roman"/>
          <w:sz w:val="24"/>
          <w:szCs w:val="24"/>
        </w:rPr>
        <w:t>the Borrowdale Property</w:t>
      </w:r>
      <w:r w:rsidR="00E04DC3" w:rsidRPr="00C05B8E">
        <w:rPr>
          <w:rFonts w:ascii="Times New Roman" w:hAnsi="Times New Roman" w:cs="Times New Roman"/>
          <w:sz w:val="24"/>
          <w:szCs w:val="24"/>
        </w:rPr>
        <w:t>. In 2003 the</w:t>
      </w:r>
      <w:r w:rsidR="00506656" w:rsidRPr="00C05B8E">
        <w:rPr>
          <w:rFonts w:ascii="Times New Roman" w:hAnsi="Times New Roman" w:cs="Times New Roman"/>
          <w:sz w:val="24"/>
          <w:szCs w:val="24"/>
        </w:rPr>
        <w:t xml:space="preserve"> </w:t>
      </w:r>
      <w:r w:rsidR="00941EFF">
        <w:rPr>
          <w:rFonts w:ascii="Times New Roman" w:hAnsi="Times New Roman" w:cs="Times New Roman"/>
          <w:sz w:val="24"/>
          <w:szCs w:val="24"/>
        </w:rPr>
        <w:t>Bluff Hill</w:t>
      </w:r>
      <w:r w:rsidR="00506656" w:rsidRPr="00C05B8E">
        <w:rPr>
          <w:rFonts w:ascii="Times New Roman" w:hAnsi="Times New Roman" w:cs="Times New Roman"/>
          <w:sz w:val="24"/>
          <w:szCs w:val="24"/>
        </w:rPr>
        <w:t xml:space="preserve"> Property was sold for $32 million which was deposited into several high interest investments accounts at Bank ABC. The interest from the investments was utilized to extinguish the Defendant’s loan for the Borrowdale property.</w:t>
      </w:r>
      <w:r w:rsidR="00B656F2" w:rsidRPr="00C05B8E">
        <w:rPr>
          <w:rFonts w:ascii="Times New Roman" w:hAnsi="Times New Roman" w:cs="Times New Roman"/>
          <w:sz w:val="24"/>
          <w:szCs w:val="24"/>
        </w:rPr>
        <w:t xml:space="preserve"> On being asked where the difference between $32 million and $50 million came from, Plaintiff’s response was that it came partly from investments and partly from Trust Bank.</w:t>
      </w:r>
      <w:r w:rsidR="00506656" w:rsidRPr="00C05B8E">
        <w:rPr>
          <w:rFonts w:ascii="Times New Roman" w:hAnsi="Times New Roman" w:cs="Times New Roman"/>
          <w:sz w:val="24"/>
          <w:szCs w:val="24"/>
        </w:rPr>
        <w:t xml:space="preserve"> Defendant </w:t>
      </w:r>
      <w:r w:rsidR="00C456EE" w:rsidRPr="00C05B8E">
        <w:rPr>
          <w:rFonts w:ascii="Times New Roman" w:hAnsi="Times New Roman" w:cs="Times New Roman"/>
          <w:sz w:val="24"/>
          <w:szCs w:val="24"/>
        </w:rPr>
        <w:t xml:space="preserve">on the other hand testified that he bought the Borrowdale Property and effected improvements thereon </w:t>
      </w:r>
      <w:r w:rsidR="00C456EE" w:rsidRPr="00C05B8E">
        <w:rPr>
          <w:rFonts w:ascii="Times New Roman" w:hAnsi="Times New Roman" w:cs="Times New Roman"/>
          <w:sz w:val="24"/>
          <w:szCs w:val="24"/>
        </w:rPr>
        <w:lastRenderedPageBreak/>
        <w:t>using funds from a loan advanced to him by Trust Bank, his former employer. Counsel for Plaintiff emphasized the fact that Defendant did not</w:t>
      </w:r>
      <w:r w:rsidR="00DC5746" w:rsidRPr="00C05B8E">
        <w:rPr>
          <w:rFonts w:ascii="Times New Roman" w:hAnsi="Times New Roman" w:cs="Times New Roman"/>
          <w:sz w:val="24"/>
          <w:szCs w:val="24"/>
        </w:rPr>
        <w:t xml:space="preserve"> produce any documents confirming the expenses he incurred on the properties. Defendant’s response was that he was forcibly removed from the property and was not able to retrieve any documents. He further stated that at one time he went with his legal counsel but was not successful.</w:t>
      </w:r>
      <w:r w:rsidR="0026147B" w:rsidRPr="00C05B8E">
        <w:rPr>
          <w:rFonts w:ascii="Times New Roman" w:hAnsi="Times New Roman" w:cs="Times New Roman"/>
          <w:sz w:val="24"/>
          <w:szCs w:val="24"/>
        </w:rPr>
        <w:t xml:space="preserve"> That Defendant was forcibly removed from the property was not challenged. </w:t>
      </w:r>
      <w:r w:rsidR="00DC5746" w:rsidRPr="00C05B8E">
        <w:rPr>
          <w:rFonts w:ascii="Times New Roman" w:hAnsi="Times New Roman" w:cs="Times New Roman"/>
          <w:sz w:val="24"/>
          <w:szCs w:val="24"/>
        </w:rPr>
        <w:t xml:space="preserve"> In the circumstances the failure to produce documents will not be held against him. I find that both parties confirmed their contribution to the acquisition of the Borrowdale property. Plaintiff produced letters from her employer confirming the various financial facilities availed to her. </w:t>
      </w:r>
      <w:r w:rsidR="009A696B" w:rsidRPr="00C05B8E">
        <w:rPr>
          <w:rFonts w:ascii="Times New Roman" w:hAnsi="Times New Roman" w:cs="Times New Roman"/>
          <w:sz w:val="24"/>
          <w:szCs w:val="24"/>
        </w:rPr>
        <w:t>Both parties confirmed the investment of funds with Bank ABC at the Defendant’</w:t>
      </w:r>
      <w:r w:rsidR="00347077" w:rsidRPr="00C05B8E">
        <w:rPr>
          <w:rFonts w:ascii="Times New Roman" w:hAnsi="Times New Roman" w:cs="Times New Roman"/>
          <w:sz w:val="24"/>
          <w:szCs w:val="24"/>
        </w:rPr>
        <w:t>s initiative.</w:t>
      </w:r>
      <w:r w:rsidR="006C32E5" w:rsidRPr="00C05B8E">
        <w:rPr>
          <w:rFonts w:ascii="Times New Roman" w:hAnsi="Times New Roman" w:cs="Times New Roman"/>
          <w:sz w:val="24"/>
          <w:szCs w:val="24"/>
        </w:rPr>
        <w:t xml:space="preserve"> The source of </w:t>
      </w:r>
      <w:r w:rsidR="008106DB" w:rsidRPr="00C05B8E">
        <w:rPr>
          <w:rFonts w:ascii="Times New Roman" w:hAnsi="Times New Roman" w:cs="Times New Roman"/>
          <w:sz w:val="24"/>
          <w:szCs w:val="24"/>
        </w:rPr>
        <w:t xml:space="preserve">the invested </w:t>
      </w:r>
      <w:r w:rsidR="006C32E5" w:rsidRPr="00C05B8E">
        <w:rPr>
          <w:rFonts w:ascii="Times New Roman" w:hAnsi="Times New Roman" w:cs="Times New Roman"/>
          <w:sz w:val="24"/>
          <w:szCs w:val="24"/>
        </w:rPr>
        <w:t xml:space="preserve">funds remained in dispute. Plaintiff said they were the proceeds from the sale of the </w:t>
      </w:r>
      <w:r w:rsidR="00941EFF">
        <w:rPr>
          <w:rFonts w:ascii="Times New Roman" w:hAnsi="Times New Roman" w:cs="Times New Roman"/>
          <w:sz w:val="24"/>
          <w:szCs w:val="24"/>
        </w:rPr>
        <w:t>Bluff Hill</w:t>
      </w:r>
      <w:r w:rsidR="00941EFF" w:rsidRPr="00C05B8E">
        <w:rPr>
          <w:rFonts w:ascii="Times New Roman" w:hAnsi="Times New Roman" w:cs="Times New Roman"/>
          <w:sz w:val="24"/>
          <w:szCs w:val="24"/>
        </w:rPr>
        <w:t xml:space="preserve"> </w:t>
      </w:r>
      <w:r w:rsidR="006C32E5" w:rsidRPr="00C05B8E">
        <w:rPr>
          <w:rFonts w:ascii="Times New Roman" w:hAnsi="Times New Roman" w:cs="Times New Roman"/>
          <w:sz w:val="24"/>
          <w:szCs w:val="24"/>
        </w:rPr>
        <w:t xml:space="preserve">Property. </w:t>
      </w:r>
      <w:r w:rsidR="00B656F2" w:rsidRPr="00C05B8E">
        <w:rPr>
          <w:rFonts w:ascii="Times New Roman" w:hAnsi="Times New Roman" w:cs="Times New Roman"/>
          <w:sz w:val="24"/>
          <w:szCs w:val="24"/>
        </w:rPr>
        <w:t xml:space="preserve">Under cross examination she conceded that there was no evidence that the proceeds of the sale of the </w:t>
      </w:r>
      <w:r w:rsidR="00941EFF">
        <w:rPr>
          <w:rFonts w:ascii="Times New Roman" w:hAnsi="Times New Roman" w:cs="Times New Roman"/>
          <w:sz w:val="24"/>
          <w:szCs w:val="24"/>
        </w:rPr>
        <w:t>Bluff Hill</w:t>
      </w:r>
      <w:r w:rsidR="00941EFF" w:rsidRPr="00C05B8E">
        <w:rPr>
          <w:rFonts w:ascii="Times New Roman" w:hAnsi="Times New Roman" w:cs="Times New Roman"/>
          <w:sz w:val="24"/>
          <w:szCs w:val="24"/>
        </w:rPr>
        <w:t xml:space="preserve"> </w:t>
      </w:r>
      <w:r w:rsidR="00B656F2" w:rsidRPr="00C05B8E">
        <w:rPr>
          <w:rFonts w:ascii="Times New Roman" w:hAnsi="Times New Roman" w:cs="Times New Roman"/>
          <w:sz w:val="24"/>
          <w:szCs w:val="24"/>
        </w:rPr>
        <w:t xml:space="preserve">Property were invested. </w:t>
      </w:r>
      <w:r w:rsidR="006C32E5" w:rsidRPr="00C05B8E">
        <w:rPr>
          <w:rFonts w:ascii="Times New Roman" w:hAnsi="Times New Roman" w:cs="Times New Roman"/>
          <w:sz w:val="24"/>
          <w:szCs w:val="24"/>
        </w:rPr>
        <w:t xml:space="preserve">Defendant </w:t>
      </w:r>
      <w:r w:rsidR="00592DA4" w:rsidRPr="00C05B8E">
        <w:rPr>
          <w:rFonts w:ascii="Times New Roman" w:hAnsi="Times New Roman" w:cs="Times New Roman"/>
          <w:sz w:val="24"/>
          <w:szCs w:val="24"/>
        </w:rPr>
        <w:t xml:space="preserve">stated that the invested funds </w:t>
      </w:r>
      <w:r w:rsidR="006C32E5" w:rsidRPr="00C05B8E">
        <w:rPr>
          <w:rFonts w:ascii="Times New Roman" w:hAnsi="Times New Roman" w:cs="Times New Roman"/>
          <w:sz w:val="24"/>
          <w:szCs w:val="24"/>
        </w:rPr>
        <w:t>were from</w:t>
      </w:r>
      <w:r w:rsidR="008106DB" w:rsidRPr="00C05B8E">
        <w:rPr>
          <w:rFonts w:ascii="Times New Roman" w:hAnsi="Times New Roman" w:cs="Times New Roman"/>
          <w:sz w:val="24"/>
          <w:szCs w:val="24"/>
        </w:rPr>
        <w:t xml:space="preserve"> his </w:t>
      </w:r>
      <w:r w:rsidR="006C32E5" w:rsidRPr="00C05B8E">
        <w:rPr>
          <w:rFonts w:ascii="Times New Roman" w:hAnsi="Times New Roman" w:cs="Times New Roman"/>
          <w:sz w:val="24"/>
          <w:szCs w:val="24"/>
        </w:rPr>
        <w:t>salary, overdraft facilities and personal loans. The letter accepting his resignation stated an outstanding personal loan.</w:t>
      </w:r>
      <w:r w:rsidR="00347077" w:rsidRPr="00C05B8E">
        <w:rPr>
          <w:rFonts w:ascii="Times New Roman" w:hAnsi="Times New Roman" w:cs="Times New Roman"/>
          <w:sz w:val="24"/>
          <w:szCs w:val="24"/>
        </w:rPr>
        <w:t xml:space="preserve"> </w:t>
      </w:r>
      <w:r w:rsidR="006C32E5" w:rsidRPr="00C05B8E">
        <w:rPr>
          <w:rFonts w:ascii="Times New Roman" w:hAnsi="Times New Roman" w:cs="Times New Roman"/>
          <w:sz w:val="24"/>
          <w:szCs w:val="24"/>
        </w:rPr>
        <w:t xml:space="preserve">Defendant stated in his summary of evidence that the funds from the sale of the </w:t>
      </w:r>
      <w:r w:rsidR="00941EFF">
        <w:rPr>
          <w:rFonts w:ascii="Times New Roman" w:hAnsi="Times New Roman" w:cs="Times New Roman"/>
          <w:sz w:val="24"/>
          <w:szCs w:val="24"/>
        </w:rPr>
        <w:t>Bluff Hill</w:t>
      </w:r>
      <w:r w:rsidR="006C32E5" w:rsidRPr="00C05B8E">
        <w:rPr>
          <w:rFonts w:ascii="Times New Roman" w:hAnsi="Times New Roman" w:cs="Times New Roman"/>
          <w:sz w:val="24"/>
          <w:szCs w:val="24"/>
        </w:rPr>
        <w:t xml:space="preserve"> Property were personally used by the Plaintiff and were never used to clear any mortgages. </w:t>
      </w:r>
      <w:r w:rsidR="00592DA4" w:rsidRPr="00C05B8E">
        <w:rPr>
          <w:rFonts w:ascii="Times New Roman" w:hAnsi="Times New Roman" w:cs="Times New Roman"/>
          <w:sz w:val="24"/>
          <w:szCs w:val="24"/>
        </w:rPr>
        <w:t>In his evidence-in-</w:t>
      </w:r>
      <w:r w:rsidR="007F2282" w:rsidRPr="00C05B8E">
        <w:rPr>
          <w:rFonts w:ascii="Times New Roman" w:hAnsi="Times New Roman" w:cs="Times New Roman"/>
          <w:sz w:val="24"/>
          <w:szCs w:val="24"/>
        </w:rPr>
        <w:t xml:space="preserve">chief he stated that Plaintiff advised him that she had made investments in Zambia. That averment was not challenged in cross-examination. </w:t>
      </w:r>
      <w:r w:rsidR="00DC5746" w:rsidRPr="00C05B8E">
        <w:rPr>
          <w:rFonts w:ascii="Times New Roman" w:hAnsi="Times New Roman" w:cs="Times New Roman"/>
          <w:sz w:val="24"/>
          <w:szCs w:val="24"/>
        </w:rPr>
        <w:t xml:space="preserve">Defendant produced a letter from his former employer showing that as at 8 January 2004, </w:t>
      </w:r>
      <w:r w:rsidR="0026147B" w:rsidRPr="00C05B8E">
        <w:rPr>
          <w:rFonts w:ascii="Times New Roman" w:hAnsi="Times New Roman" w:cs="Times New Roman"/>
          <w:sz w:val="24"/>
          <w:szCs w:val="24"/>
        </w:rPr>
        <w:t xml:space="preserve">on resignation, </w:t>
      </w:r>
      <w:r w:rsidR="00DC5746" w:rsidRPr="00C05B8E">
        <w:rPr>
          <w:rFonts w:ascii="Times New Roman" w:hAnsi="Times New Roman" w:cs="Times New Roman"/>
          <w:sz w:val="24"/>
          <w:szCs w:val="24"/>
        </w:rPr>
        <w:t>he had an outstanding</w:t>
      </w:r>
      <w:r w:rsidR="009A696B" w:rsidRPr="00C05B8E">
        <w:rPr>
          <w:rFonts w:ascii="Times New Roman" w:hAnsi="Times New Roman" w:cs="Times New Roman"/>
          <w:sz w:val="24"/>
          <w:szCs w:val="24"/>
        </w:rPr>
        <w:t xml:space="preserve"> housing loan</w:t>
      </w:r>
      <w:r w:rsidR="00DC5746" w:rsidRPr="00C05B8E">
        <w:rPr>
          <w:rFonts w:ascii="Times New Roman" w:hAnsi="Times New Roman" w:cs="Times New Roman"/>
          <w:sz w:val="24"/>
          <w:szCs w:val="24"/>
        </w:rPr>
        <w:t>.</w:t>
      </w:r>
      <w:r w:rsidR="009A696B" w:rsidRPr="00C05B8E">
        <w:rPr>
          <w:rFonts w:ascii="Times New Roman" w:hAnsi="Times New Roman" w:cs="Times New Roman"/>
          <w:sz w:val="24"/>
          <w:szCs w:val="24"/>
        </w:rPr>
        <w:t xml:space="preserve"> The agreement of sale for the Borrowdale property was signed in February 2003</w:t>
      </w:r>
      <w:r w:rsidR="00E04DC3" w:rsidRPr="00C05B8E">
        <w:rPr>
          <w:rFonts w:ascii="Times New Roman" w:hAnsi="Times New Roman" w:cs="Times New Roman"/>
          <w:sz w:val="24"/>
          <w:szCs w:val="24"/>
        </w:rPr>
        <w:t>.</w:t>
      </w:r>
      <w:r w:rsidR="009A696B" w:rsidRPr="00C05B8E">
        <w:rPr>
          <w:rFonts w:ascii="Times New Roman" w:hAnsi="Times New Roman" w:cs="Times New Roman"/>
          <w:sz w:val="24"/>
          <w:szCs w:val="24"/>
        </w:rPr>
        <w:t xml:space="preserve"> </w:t>
      </w:r>
      <w:r w:rsidR="00347077" w:rsidRPr="00C05B8E">
        <w:rPr>
          <w:rFonts w:ascii="Times New Roman" w:hAnsi="Times New Roman" w:cs="Times New Roman"/>
          <w:sz w:val="24"/>
          <w:szCs w:val="24"/>
        </w:rPr>
        <w:t>I find that the</w:t>
      </w:r>
      <w:r w:rsidR="00592DA4" w:rsidRPr="00C05B8E">
        <w:rPr>
          <w:rFonts w:ascii="Times New Roman" w:hAnsi="Times New Roman" w:cs="Times New Roman"/>
          <w:sz w:val="24"/>
          <w:szCs w:val="24"/>
        </w:rPr>
        <w:t xml:space="preserve"> source of the invested funds was not established but the</w:t>
      </w:r>
      <w:r w:rsidR="00347077" w:rsidRPr="00C05B8E">
        <w:rPr>
          <w:rFonts w:ascii="Times New Roman" w:hAnsi="Times New Roman" w:cs="Times New Roman"/>
          <w:sz w:val="24"/>
          <w:szCs w:val="24"/>
        </w:rPr>
        <w:t xml:space="preserve"> </w:t>
      </w:r>
      <w:r w:rsidR="007F2282" w:rsidRPr="00C05B8E">
        <w:rPr>
          <w:rFonts w:ascii="Times New Roman" w:hAnsi="Times New Roman" w:cs="Times New Roman"/>
          <w:sz w:val="24"/>
          <w:szCs w:val="24"/>
        </w:rPr>
        <w:t>interest</w:t>
      </w:r>
      <w:r w:rsidR="00347077" w:rsidRPr="00C05B8E">
        <w:rPr>
          <w:rFonts w:ascii="Times New Roman" w:hAnsi="Times New Roman" w:cs="Times New Roman"/>
          <w:sz w:val="24"/>
          <w:szCs w:val="24"/>
        </w:rPr>
        <w:t xml:space="preserve"> from the investment </w:t>
      </w:r>
      <w:r w:rsidR="007F2282" w:rsidRPr="00C05B8E">
        <w:rPr>
          <w:rFonts w:ascii="Times New Roman" w:hAnsi="Times New Roman" w:cs="Times New Roman"/>
          <w:sz w:val="24"/>
          <w:szCs w:val="24"/>
        </w:rPr>
        <w:t>is</w:t>
      </w:r>
      <w:r w:rsidR="00E04DC3" w:rsidRPr="00C05B8E">
        <w:rPr>
          <w:rFonts w:ascii="Times New Roman" w:hAnsi="Times New Roman" w:cs="Times New Roman"/>
          <w:sz w:val="24"/>
          <w:szCs w:val="24"/>
        </w:rPr>
        <w:t xml:space="preserve"> attributable to the Defendant in whose name the investment was made. Moreover</w:t>
      </w:r>
      <w:r w:rsidR="002C64E5">
        <w:rPr>
          <w:rFonts w:ascii="Times New Roman" w:hAnsi="Times New Roman" w:cs="Times New Roman"/>
          <w:sz w:val="24"/>
          <w:szCs w:val="24"/>
        </w:rPr>
        <w:t>,</w:t>
      </w:r>
      <w:r w:rsidR="00E04DC3" w:rsidRPr="00C05B8E">
        <w:rPr>
          <w:rFonts w:ascii="Times New Roman" w:hAnsi="Times New Roman" w:cs="Times New Roman"/>
          <w:sz w:val="24"/>
          <w:szCs w:val="24"/>
        </w:rPr>
        <w:t xml:space="preserve"> the initial </w:t>
      </w:r>
      <w:r w:rsidR="0026147B" w:rsidRPr="00C05B8E">
        <w:rPr>
          <w:rFonts w:ascii="Times New Roman" w:hAnsi="Times New Roman" w:cs="Times New Roman"/>
          <w:sz w:val="24"/>
          <w:szCs w:val="24"/>
        </w:rPr>
        <w:t xml:space="preserve">payment for the property </w:t>
      </w:r>
      <w:r w:rsidR="00E04DC3" w:rsidRPr="00C05B8E">
        <w:rPr>
          <w:rFonts w:ascii="Times New Roman" w:hAnsi="Times New Roman" w:cs="Times New Roman"/>
          <w:sz w:val="24"/>
          <w:szCs w:val="24"/>
        </w:rPr>
        <w:t xml:space="preserve">was from Trust Bank as acknowledged by Plaintiff. </w:t>
      </w:r>
    </w:p>
    <w:p w14:paraId="07F7ACEB" w14:textId="045B152D" w:rsidR="00180C6E" w:rsidRPr="00C05B8E" w:rsidRDefault="002057FD" w:rsidP="00B57229">
      <w:pPr>
        <w:autoSpaceDE w:val="0"/>
        <w:autoSpaceDN w:val="0"/>
        <w:adjustRightInd w:val="0"/>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The same is true of the subdivision resulting in Stand 916. Plaintiff said</w:t>
      </w:r>
      <w:r w:rsidR="009E1BEA" w:rsidRPr="00C05B8E">
        <w:rPr>
          <w:rFonts w:ascii="Times New Roman" w:hAnsi="Times New Roman" w:cs="Times New Roman"/>
          <w:sz w:val="24"/>
          <w:szCs w:val="24"/>
        </w:rPr>
        <w:t xml:space="preserve"> the subdivision was created through her efforts</w:t>
      </w:r>
      <w:r w:rsidR="0026147B" w:rsidRPr="00C05B8E">
        <w:rPr>
          <w:rFonts w:ascii="Times New Roman" w:hAnsi="Times New Roman" w:cs="Times New Roman"/>
          <w:sz w:val="24"/>
          <w:szCs w:val="24"/>
        </w:rPr>
        <w:t>,</w:t>
      </w:r>
      <w:r w:rsidR="009E1BEA" w:rsidRPr="00C05B8E">
        <w:rPr>
          <w:rFonts w:ascii="Times New Roman" w:hAnsi="Times New Roman" w:cs="Times New Roman"/>
          <w:sz w:val="24"/>
          <w:szCs w:val="24"/>
        </w:rPr>
        <w:t xml:space="preserve"> securing loans to finance the subdivision, construction and development of the property without the assistance of Defendant. </w:t>
      </w:r>
      <w:r w:rsidR="00592DA4" w:rsidRPr="00C05B8E">
        <w:rPr>
          <w:rFonts w:ascii="Times New Roman" w:hAnsi="Times New Roman" w:cs="Times New Roman"/>
          <w:sz w:val="24"/>
          <w:szCs w:val="24"/>
        </w:rPr>
        <w:t xml:space="preserve">What she alleged to have expended on the subdivision was not proved. </w:t>
      </w:r>
      <w:r w:rsidR="009E1BEA" w:rsidRPr="00C05B8E">
        <w:rPr>
          <w:rFonts w:ascii="Times New Roman" w:hAnsi="Times New Roman" w:cs="Times New Roman"/>
          <w:sz w:val="24"/>
          <w:szCs w:val="24"/>
        </w:rPr>
        <w:t>She stated that around 2016 she was struggling to pay fees for the children as there was nothing much coming from companies operated by Defendant. She paid for the subdivision and surveyor’s compliance certificate. She obtained a personal loan with which she built a habitable stru</w:t>
      </w:r>
      <w:r w:rsidR="00F81968" w:rsidRPr="00C05B8E">
        <w:rPr>
          <w:rFonts w:ascii="Times New Roman" w:hAnsi="Times New Roman" w:cs="Times New Roman"/>
          <w:sz w:val="24"/>
          <w:szCs w:val="24"/>
        </w:rPr>
        <w:t xml:space="preserve">cture which enabled her to get several mortgages. </w:t>
      </w:r>
      <w:r w:rsidR="00F81968" w:rsidRPr="00C05B8E">
        <w:rPr>
          <w:rFonts w:ascii="Times New Roman" w:hAnsi="Times New Roman" w:cs="Times New Roman"/>
          <w:sz w:val="24"/>
          <w:szCs w:val="24"/>
        </w:rPr>
        <w:lastRenderedPageBreak/>
        <w:t>She decided to renovate the guest room so as to run an accommodation business and in 2019 she opened the guest room to the first guest.</w:t>
      </w:r>
      <w:r w:rsidR="00BB5A48" w:rsidRPr="00C05B8E">
        <w:rPr>
          <w:rFonts w:ascii="Times New Roman" w:hAnsi="Times New Roman" w:cs="Times New Roman"/>
          <w:sz w:val="24"/>
          <w:szCs w:val="24"/>
        </w:rPr>
        <w:t xml:space="preserve"> On the other hand</w:t>
      </w:r>
      <w:r w:rsidR="002C64E5">
        <w:rPr>
          <w:rFonts w:ascii="Times New Roman" w:hAnsi="Times New Roman" w:cs="Times New Roman"/>
          <w:sz w:val="24"/>
          <w:szCs w:val="24"/>
        </w:rPr>
        <w:t>,</w:t>
      </w:r>
      <w:r w:rsidR="00BB5A48" w:rsidRPr="00C05B8E">
        <w:rPr>
          <w:rFonts w:ascii="Times New Roman" w:hAnsi="Times New Roman" w:cs="Times New Roman"/>
          <w:sz w:val="24"/>
          <w:szCs w:val="24"/>
        </w:rPr>
        <w:t xml:space="preserve"> Defendant testified that he </w:t>
      </w:r>
      <w:r w:rsidR="0026147B" w:rsidRPr="00C05B8E">
        <w:rPr>
          <w:rFonts w:ascii="Times New Roman" w:hAnsi="Times New Roman" w:cs="Times New Roman"/>
          <w:sz w:val="24"/>
          <w:szCs w:val="24"/>
        </w:rPr>
        <w:t>would instruct Plaintiff to pay school fees from</w:t>
      </w:r>
      <w:r w:rsidR="00D8326C" w:rsidRPr="00C05B8E">
        <w:rPr>
          <w:rFonts w:ascii="Times New Roman" w:hAnsi="Times New Roman" w:cs="Times New Roman"/>
          <w:sz w:val="24"/>
          <w:szCs w:val="24"/>
        </w:rPr>
        <w:t xml:space="preserve"> the accounts of the company he started in 2004 as she was a signatory to all company accounts. Further that he </w:t>
      </w:r>
      <w:r w:rsidR="00BB5A48" w:rsidRPr="00C05B8E">
        <w:rPr>
          <w:rFonts w:ascii="Times New Roman" w:hAnsi="Times New Roman" w:cs="Times New Roman"/>
          <w:sz w:val="24"/>
          <w:szCs w:val="24"/>
        </w:rPr>
        <w:t xml:space="preserve">paid for the subdivision and conveyancing and that the </w:t>
      </w:r>
      <w:r w:rsidR="00D8326C" w:rsidRPr="00C05B8E">
        <w:rPr>
          <w:rFonts w:ascii="Times New Roman" w:hAnsi="Times New Roman" w:cs="Times New Roman"/>
          <w:sz w:val="24"/>
          <w:szCs w:val="24"/>
        </w:rPr>
        <w:t xml:space="preserve">improvements on the subdivision. </w:t>
      </w:r>
      <w:r w:rsidR="00BB5A48" w:rsidRPr="00C05B8E">
        <w:rPr>
          <w:rFonts w:ascii="Times New Roman" w:hAnsi="Times New Roman" w:cs="Times New Roman"/>
          <w:sz w:val="24"/>
          <w:szCs w:val="24"/>
        </w:rPr>
        <w:t>He stated that the improvements were two hotel quality guest suites each with a bathroom, kitchenette and bedroom. He said he could not produce receipts showing purchase of building material or labour as he was forcibly evicted from the matrimonial property.</w:t>
      </w:r>
    </w:p>
    <w:p w14:paraId="43B161C0" w14:textId="435E198A" w:rsidR="00DA7A63" w:rsidRPr="00C05B8E" w:rsidRDefault="00180C6E" w:rsidP="00B57229">
      <w:pPr>
        <w:autoSpaceDE w:val="0"/>
        <w:autoSpaceDN w:val="0"/>
        <w:adjustRightInd w:val="0"/>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 xml:space="preserve">I find that </w:t>
      </w:r>
      <w:r w:rsidR="00D8326C" w:rsidRPr="00C05B8E">
        <w:rPr>
          <w:rFonts w:ascii="Times New Roman" w:hAnsi="Times New Roman" w:cs="Times New Roman"/>
          <w:sz w:val="24"/>
          <w:szCs w:val="24"/>
        </w:rPr>
        <w:t xml:space="preserve">none of the parties discharged </w:t>
      </w:r>
      <w:r w:rsidRPr="00C05B8E">
        <w:rPr>
          <w:rFonts w:ascii="Times New Roman" w:hAnsi="Times New Roman" w:cs="Times New Roman"/>
          <w:sz w:val="24"/>
          <w:szCs w:val="24"/>
        </w:rPr>
        <w:t>the burden of proof on a balance of probabilities</w:t>
      </w:r>
      <w:r w:rsidR="00D8326C" w:rsidRPr="00C05B8E">
        <w:rPr>
          <w:rFonts w:ascii="Times New Roman" w:hAnsi="Times New Roman" w:cs="Times New Roman"/>
          <w:sz w:val="24"/>
          <w:szCs w:val="24"/>
        </w:rPr>
        <w:t xml:space="preserve">. The probabilities are evenly balanced. A consideration of </w:t>
      </w:r>
      <w:r w:rsidR="00DA7A63" w:rsidRPr="00C05B8E">
        <w:rPr>
          <w:rFonts w:ascii="Times New Roman" w:hAnsi="Times New Roman" w:cs="Times New Roman"/>
          <w:sz w:val="24"/>
          <w:szCs w:val="24"/>
        </w:rPr>
        <w:t xml:space="preserve">the credibility of </w:t>
      </w:r>
      <w:r w:rsidR="00634661" w:rsidRPr="00C05B8E">
        <w:rPr>
          <w:rFonts w:ascii="Times New Roman" w:hAnsi="Times New Roman" w:cs="Times New Roman"/>
          <w:sz w:val="24"/>
          <w:szCs w:val="24"/>
        </w:rPr>
        <w:t xml:space="preserve">the </w:t>
      </w:r>
      <w:r w:rsidR="00DA7A63" w:rsidRPr="00C05B8E">
        <w:rPr>
          <w:rFonts w:ascii="Times New Roman" w:hAnsi="Times New Roman" w:cs="Times New Roman"/>
          <w:sz w:val="24"/>
          <w:szCs w:val="24"/>
        </w:rPr>
        <w:t xml:space="preserve">witnesses </w:t>
      </w:r>
      <w:r w:rsidR="00653B59" w:rsidRPr="00C05B8E">
        <w:rPr>
          <w:rFonts w:ascii="Times New Roman" w:hAnsi="Times New Roman" w:cs="Times New Roman"/>
          <w:sz w:val="24"/>
          <w:szCs w:val="24"/>
        </w:rPr>
        <w:t xml:space="preserve">in this case </w:t>
      </w:r>
      <w:r w:rsidR="00634661" w:rsidRPr="00C05B8E">
        <w:rPr>
          <w:rFonts w:ascii="Times New Roman" w:hAnsi="Times New Roman" w:cs="Times New Roman"/>
          <w:sz w:val="24"/>
          <w:szCs w:val="24"/>
        </w:rPr>
        <w:t>does not help.</w:t>
      </w:r>
      <w:r w:rsidR="00E762E3" w:rsidRPr="00C05B8E">
        <w:rPr>
          <w:rFonts w:ascii="Times New Roman" w:hAnsi="Times New Roman" w:cs="Times New Roman"/>
          <w:sz w:val="24"/>
          <w:szCs w:val="24"/>
        </w:rPr>
        <w:t xml:space="preserve"> </w:t>
      </w:r>
      <w:r w:rsidR="00634661" w:rsidRPr="00C05B8E">
        <w:rPr>
          <w:rFonts w:ascii="Times New Roman" w:hAnsi="Times New Roman" w:cs="Times New Roman"/>
          <w:sz w:val="24"/>
          <w:szCs w:val="24"/>
        </w:rPr>
        <w:t xml:space="preserve"> T</w:t>
      </w:r>
      <w:r w:rsidR="00DA7A63" w:rsidRPr="00C05B8E">
        <w:rPr>
          <w:rFonts w:ascii="Times New Roman" w:hAnsi="Times New Roman" w:cs="Times New Roman"/>
          <w:sz w:val="24"/>
          <w:szCs w:val="24"/>
        </w:rPr>
        <w:t>he court generally is guided by several factors</w:t>
      </w:r>
      <w:r w:rsidR="00634661" w:rsidRPr="00C05B8E">
        <w:rPr>
          <w:rFonts w:ascii="Times New Roman" w:hAnsi="Times New Roman" w:cs="Times New Roman"/>
          <w:sz w:val="24"/>
          <w:szCs w:val="24"/>
        </w:rPr>
        <w:t xml:space="preserve"> in assessing credibility</w:t>
      </w:r>
      <w:r w:rsidR="00DA7A63" w:rsidRPr="00C05B8E">
        <w:rPr>
          <w:rFonts w:ascii="Times New Roman" w:hAnsi="Times New Roman" w:cs="Times New Roman"/>
          <w:sz w:val="24"/>
          <w:szCs w:val="24"/>
        </w:rPr>
        <w:t xml:space="preserve">. In </w:t>
      </w:r>
      <w:r w:rsidR="00DA7A63" w:rsidRPr="002C64E5">
        <w:rPr>
          <w:rFonts w:ascii="Times New Roman" w:hAnsi="Times New Roman" w:cs="Times New Roman"/>
          <w:bCs/>
          <w:i/>
          <w:iCs/>
          <w:sz w:val="24"/>
          <w:szCs w:val="24"/>
        </w:rPr>
        <w:t xml:space="preserve">Nicoz Diamond Insurance Ltd </w:t>
      </w:r>
      <w:r w:rsidR="00DA7A63" w:rsidRPr="002C64E5">
        <w:rPr>
          <w:rFonts w:ascii="Times New Roman" w:hAnsi="Times New Roman" w:cs="Times New Roman"/>
          <w:bCs/>
          <w:sz w:val="24"/>
          <w:szCs w:val="24"/>
        </w:rPr>
        <w:t>v</w:t>
      </w:r>
      <w:r w:rsidR="00DA7A63" w:rsidRPr="002C64E5">
        <w:rPr>
          <w:rFonts w:ascii="Times New Roman" w:hAnsi="Times New Roman" w:cs="Times New Roman"/>
          <w:bCs/>
          <w:i/>
          <w:iCs/>
          <w:sz w:val="24"/>
          <w:szCs w:val="24"/>
        </w:rPr>
        <w:t xml:space="preserve"> Clovgate Elevator Co (Pvt) Ltd:</w:t>
      </w:r>
      <w:r w:rsidR="00DA7A63" w:rsidRPr="00C05B8E">
        <w:rPr>
          <w:rFonts w:ascii="Times New Roman" w:hAnsi="Times New Roman" w:cs="Times New Roman"/>
          <w:b/>
          <w:sz w:val="24"/>
          <w:szCs w:val="24"/>
        </w:rPr>
        <w:t xml:space="preserve">  </w:t>
      </w:r>
      <w:r w:rsidR="00DA7A63" w:rsidRPr="00452285">
        <w:rPr>
          <w:rFonts w:ascii="Times New Roman" w:hAnsi="Times New Roman" w:cs="Times New Roman"/>
          <w:bCs/>
          <w:i/>
          <w:iCs/>
          <w:sz w:val="24"/>
          <w:szCs w:val="24"/>
        </w:rPr>
        <w:t>Clovgate Elevator Co (Pvt) Ltd</w:t>
      </w:r>
      <w:r w:rsidR="00DA7A63" w:rsidRPr="00452285">
        <w:rPr>
          <w:rFonts w:ascii="Times New Roman" w:hAnsi="Times New Roman" w:cs="Times New Roman"/>
          <w:bCs/>
          <w:sz w:val="24"/>
          <w:szCs w:val="24"/>
        </w:rPr>
        <w:t xml:space="preserve"> </w:t>
      </w:r>
      <w:r w:rsidR="00DA7A63" w:rsidRPr="006C2F9D">
        <w:rPr>
          <w:rFonts w:ascii="Times New Roman" w:hAnsi="Times New Roman" w:cs="Times New Roman"/>
          <w:bCs/>
          <w:sz w:val="24"/>
          <w:szCs w:val="24"/>
        </w:rPr>
        <w:t xml:space="preserve">v </w:t>
      </w:r>
      <w:r w:rsidR="00DA7A63" w:rsidRPr="006C2F9D">
        <w:rPr>
          <w:rFonts w:ascii="Times New Roman" w:hAnsi="Times New Roman" w:cs="Times New Roman"/>
          <w:bCs/>
          <w:i/>
          <w:iCs/>
          <w:sz w:val="24"/>
          <w:szCs w:val="24"/>
        </w:rPr>
        <w:t>Nicoz Diamond Insurance Ltd</w:t>
      </w:r>
      <w:r w:rsidR="00DA7A63" w:rsidRPr="00C05B8E">
        <w:rPr>
          <w:rFonts w:ascii="Times New Roman" w:hAnsi="Times New Roman" w:cs="Times New Roman"/>
          <w:b/>
          <w:sz w:val="24"/>
          <w:szCs w:val="24"/>
        </w:rPr>
        <w:t xml:space="preserve"> </w:t>
      </w:r>
      <w:r w:rsidR="00DA7A63" w:rsidRPr="00C05B8E">
        <w:rPr>
          <w:rFonts w:ascii="Times New Roman" w:hAnsi="Times New Roman" w:cs="Times New Roman"/>
          <w:sz w:val="24"/>
          <w:szCs w:val="24"/>
        </w:rPr>
        <w:t>2018 (1) ZLR 50 @ 55 reference is made to the case of</w:t>
      </w:r>
      <w:r w:rsidR="00DA7A63" w:rsidRPr="00C05B8E">
        <w:rPr>
          <w:rFonts w:ascii="Times New Roman" w:hAnsi="Times New Roman" w:cs="Times New Roman"/>
          <w:b/>
          <w:sz w:val="24"/>
          <w:szCs w:val="24"/>
        </w:rPr>
        <w:t xml:space="preserve"> </w:t>
      </w:r>
      <w:r w:rsidR="00DA7A63" w:rsidRPr="00452285">
        <w:rPr>
          <w:rStyle w:val="Emphasis"/>
          <w:rFonts w:ascii="Times New Roman" w:hAnsi="Times New Roman" w:cs="Times New Roman"/>
          <w:bCs/>
          <w:sz w:val="24"/>
          <w:szCs w:val="24"/>
        </w:rPr>
        <w:t xml:space="preserve">Hees </w:t>
      </w:r>
      <w:r w:rsidR="00DA7A63" w:rsidRPr="00452285">
        <w:rPr>
          <w:rFonts w:ascii="Times New Roman" w:hAnsi="Times New Roman" w:cs="Times New Roman"/>
          <w:bCs/>
          <w:iCs/>
          <w:sz w:val="24"/>
          <w:szCs w:val="24"/>
        </w:rPr>
        <w:t>v</w:t>
      </w:r>
      <w:r w:rsidR="00DA7A63" w:rsidRPr="006C2F9D">
        <w:rPr>
          <w:rStyle w:val="Emphasis"/>
          <w:rFonts w:ascii="Times New Roman" w:hAnsi="Times New Roman" w:cs="Times New Roman"/>
          <w:b/>
          <w:iCs w:val="0"/>
          <w:sz w:val="24"/>
          <w:szCs w:val="24"/>
        </w:rPr>
        <w:t xml:space="preserve"> </w:t>
      </w:r>
      <w:r w:rsidR="00DA7A63" w:rsidRPr="007B28DF">
        <w:rPr>
          <w:rStyle w:val="Emphasis"/>
          <w:rFonts w:ascii="Times New Roman" w:hAnsi="Times New Roman" w:cs="Times New Roman"/>
          <w:bCs/>
          <w:sz w:val="24"/>
          <w:szCs w:val="24"/>
        </w:rPr>
        <w:t xml:space="preserve">Nel </w:t>
      </w:r>
      <w:r w:rsidR="00DA7A63" w:rsidRPr="00C05B8E">
        <w:rPr>
          <w:rFonts w:ascii="Times New Roman" w:hAnsi="Times New Roman" w:cs="Times New Roman"/>
          <w:sz w:val="24"/>
          <w:szCs w:val="24"/>
        </w:rPr>
        <w:t xml:space="preserve">1994 PH F11 in which </w:t>
      </w:r>
      <w:r w:rsidR="00DA7A63" w:rsidRPr="006C2F9D">
        <w:rPr>
          <w:rFonts w:ascii="Times New Roman" w:hAnsi="Times New Roman" w:cs="Times New Roman"/>
          <w:smallCaps/>
          <w:sz w:val="24"/>
          <w:szCs w:val="24"/>
        </w:rPr>
        <w:t>Mahomed J</w:t>
      </w:r>
      <w:r w:rsidR="00DA7A63" w:rsidRPr="006C2F9D">
        <w:rPr>
          <w:rStyle w:val="Emphasis"/>
          <w:rFonts w:ascii="Times New Roman" w:hAnsi="Times New Roman" w:cs="Times New Roman"/>
          <w:smallCaps/>
          <w:sz w:val="24"/>
          <w:szCs w:val="24"/>
        </w:rPr>
        <w:t>,</w:t>
      </w:r>
      <w:r w:rsidR="00DA7A63" w:rsidRPr="00C05B8E">
        <w:rPr>
          <w:rFonts w:ascii="Times New Roman" w:hAnsi="Times New Roman" w:cs="Times New Roman"/>
          <w:sz w:val="24"/>
          <w:szCs w:val="24"/>
        </w:rPr>
        <w:t xml:space="preserve"> had this to say on the subject of assessment of credibility:</w:t>
      </w:r>
    </w:p>
    <w:p w14:paraId="06FFED4D" w14:textId="77777777" w:rsidR="00DA7A63" w:rsidRPr="006C2F9D" w:rsidRDefault="00DA7A63" w:rsidP="002141E8">
      <w:pPr>
        <w:pStyle w:val="NormalWeb"/>
        <w:spacing w:before="0" w:beforeAutospacing="0" w:after="0" w:afterAutospacing="0"/>
        <w:ind w:left="720"/>
        <w:jc w:val="both"/>
        <w:rPr>
          <w:sz w:val="22"/>
          <w:szCs w:val="22"/>
        </w:rPr>
      </w:pPr>
      <w:r w:rsidRPr="006C2F9D">
        <w:rPr>
          <w:sz w:val="22"/>
          <w:szCs w:val="22"/>
        </w:rPr>
        <w:t>“Included in the factors which a court would look at in examining the credibility or veracity of any witnesses, are matters such as the general quality of his testimony which often is a relative condition to be compared with the quality of the evidence of the conflicting witness. His consistency both within the context and structure of his own evidence and with the objective facts, his integrity, his candour, his age, his capacities and opportunities to be able to depose to the events he claims to have knowledge of. His personal interest in the outcome of the litigation, his temperament and personality, his intellect, his objectivity, his ability to effectively communicate what he intends to say and the weight to be attached and the relevance of his version against the background of the pleadings</w:t>
      </w:r>
      <w:r w:rsidRPr="006C2F9D">
        <w:rPr>
          <w:rStyle w:val="Emphasis"/>
          <w:sz w:val="22"/>
          <w:szCs w:val="22"/>
        </w:rPr>
        <w:t>.</w:t>
      </w:r>
      <w:r w:rsidRPr="006C2F9D">
        <w:rPr>
          <w:sz w:val="22"/>
          <w:szCs w:val="22"/>
        </w:rPr>
        <w:t>”</w:t>
      </w:r>
    </w:p>
    <w:p w14:paraId="233F61B1" w14:textId="6FE4A4A9" w:rsidR="00634661" w:rsidRPr="00C05B8E" w:rsidRDefault="00E762E3" w:rsidP="00B57229">
      <w:pPr>
        <w:pStyle w:val="NormalWeb"/>
        <w:spacing w:after="0" w:afterAutospacing="0" w:line="360" w:lineRule="auto"/>
        <w:ind w:firstLine="720"/>
        <w:jc w:val="both"/>
      </w:pPr>
      <w:r w:rsidRPr="00C05B8E">
        <w:t>As stated above, Plaintiff’s evidence is supported by documentary exhibits. Defendant on the other hand indicated that the circumstances leading to his forcible removal from the property caused him to fail to secure the necessary d</w:t>
      </w:r>
      <w:r w:rsidR="00D8326C" w:rsidRPr="00C05B8E">
        <w:t>ocuments he would have needed. As stated above, t</w:t>
      </w:r>
      <w:r w:rsidRPr="00C05B8E">
        <w:t xml:space="preserve">he fact of </w:t>
      </w:r>
      <w:r w:rsidR="00D8326C" w:rsidRPr="00C05B8E">
        <w:t xml:space="preserve">his </w:t>
      </w:r>
      <w:r w:rsidRPr="00C05B8E">
        <w:t xml:space="preserve">forcible removal was not disputed. </w:t>
      </w:r>
      <w:r w:rsidR="00634661" w:rsidRPr="00C05B8E">
        <w:t>Defendant was taken to task on an email dated 14 August 2013 in which he had stated that everything belongs to Plaintiff and that he did not want to co-own anything with her. He stated that he had no recollection of it</w:t>
      </w:r>
      <w:r w:rsidR="009055CD" w:rsidRPr="00C05B8E">
        <w:t>. He obviously had a change of mind by the time divorce proceedings were instituted. Plaintiff demonstrated that a change of mind is not unusual. In her declaration she had claimed all the movable property in the matrimonial home</w:t>
      </w:r>
      <w:r w:rsidR="00653B59" w:rsidRPr="00C05B8E">
        <w:t xml:space="preserve"> save for Defendant’s personal effects. Defendant in his plea pointed out that both parties contributed to the acquisition of the movable property and proposed a distribution. In her </w:t>
      </w:r>
      <w:r w:rsidR="00653B59" w:rsidRPr="00C05B8E">
        <w:lastRenderedPageBreak/>
        <w:t>replication, Plaintiff counter-proposed a distribution. In her evidence in chief</w:t>
      </w:r>
      <w:r w:rsidR="00C11621">
        <w:t>,</w:t>
      </w:r>
      <w:r w:rsidR="00653B59" w:rsidRPr="00C05B8E">
        <w:t xml:space="preserve"> she stated that on hindsight she would let Defendant have what he paid for, leather sofas, upright freezer and three</w:t>
      </w:r>
      <w:r w:rsidR="00C11621">
        <w:t>-</w:t>
      </w:r>
      <w:r w:rsidR="00653B59" w:rsidRPr="00C05B8E">
        <w:t>quarter beds.</w:t>
      </w:r>
      <w:r w:rsidRPr="00C05B8E">
        <w:t xml:space="preserve"> </w:t>
      </w:r>
      <w:r w:rsidR="008106DB" w:rsidRPr="00C05B8E">
        <w:t xml:space="preserve">At some point </w:t>
      </w:r>
      <w:r w:rsidR="00180C6E" w:rsidRPr="00C05B8E">
        <w:t>both parties</w:t>
      </w:r>
      <w:r w:rsidR="008106DB" w:rsidRPr="00C05B8E">
        <w:t xml:space="preserve"> changed their minds.</w:t>
      </w:r>
    </w:p>
    <w:p w14:paraId="21715FC5" w14:textId="5EF13356" w:rsidR="000E7C3E" w:rsidRPr="00C05B8E" w:rsidRDefault="000E7C3E" w:rsidP="00B57229">
      <w:pPr>
        <w:autoSpaceDE w:val="0"/>
        <w:autoSpaceDN w:val="0"/>
        <w:adjustRightInd w:val="0"/>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The parties’ circumstances obviate the need to refer</w:t>
      </w:r>
      <w:r w:rsidR="00A40CF7" w:rsidRPr="00C05B8E">
        <w:rPr>
          <w:rFonts w:ascii="Times New Roman" w:hAnsi="Times New Roman" w:cs="Times New Roman"/>
          <w:sz w:val="24"/>
          <w:szCs w:val="24"/>
        </w:rPr>
        <w:t xml:space="preserve"> to</w:t>
      </w:r>
      <w:r w:rsidRPr="00C05B8E">
        <w:rPr>
          <w:rFonts w:ascii="Times New Roman" w:hAnsi="Times New Roman" w:cs="Times New Roman"/>
          <w:sz w:val="24"/>
          <w:szCs w:val="24"/>
        </w:rPr>
        <w:t xml:space="preserve"> s</w:t>
      </w:r>
      <w:r w:rsidR="006C2F9D">
        <w:rPr>
          <w:rFonts w:ascii="Times New Roman" w:hAnsi="Times New Roman" w:cs="Times New Roman"/>
          <w:sz w:val="24"/>
          <w:szCs w:val="24"/>
        </w:rPr>
        <w:t xml:space="preserve"> </w:t>
      </w:r>
      <w:r w:rsidRPr="00C05B8E">
        <w:rPr>
          <w:rFonts w:ascii="Times New Roman" w:hAnsi="Times New Roman" w:cs="Times New Roman"/>
          <w:sz w:val="24"/>
          <w:szCs w:val="24"/>
        </w:rPr>
        <w:t xml:space="preserve">7 (4)  </w:t>
      </w:r>
      <w:r w:rsidR="00A40CF7" w:rsidRPr="00C05B8E">
        <w:rPr>
          <w:rFonts w:ascii="Times New Roman" w:hAnsi="Times New Roman" w:cs="Times New Roman"/>
          <w:sz w:val="24"/>
          <w:szCs w:val="24"/>
        </w:rPr>
        <w:t xml:space="preserve"> </w:t>
      </w:r>
      <w:r w:rsidR="0062497C" w:rsidRPr="00C05B8E">
        <w:rPr>
          <w:rFonts w:ascii="Times New Roman" w:hAnsi="Times New Roman" w:cs="Times New Roman"/>
          <w:sz w:val="24"/>
          <w:szCs w:val="24"/>
        </w:rPr>
        <w:t>the Matrimonial Causes Act [</w:t>
      </w:r>
      <w:r w:rsidR="0062497C" w:rsidRPr="006C2F9D">
        <w:rPr>
          <w:rFonts w:ascii="Times New Roman" w:hAnsi="Times New Roman" w:cs="Times New Roman"/>
          <w:i/>
          <w:iCs/>
          <w:sz w:val="24"/>
          <w:szCs w:val="24"/>
        </w:rPr>
        <w:t>Chapter 5:13</w:t>
      </w:r>
      <w:r w:rsidR="0062497C" w:rsidRPr="00C05B8E">
        <w:rPr>
          <w:rFonts w:ascii="Times New Roman" w:hAnsi="Times New Roman" w:cs="Times New Roman"/>
          <w:sz w:val="24"/>
          <w:szCs w:val="24"/>
        </w:rPr>
        <w:t xml:space="preserve">] which </w:t>
      </w:r>
      <w:r w:rsidRPr="00C05B8E">
        <w:rPr>
          <w:rFonts w:ascii="Times New Roman" w:hAnsi="Times New Roman" w:cs="Times New Roman"/>
          <w:sz w:val="24"/>
          <w:szCs w:val="24"/>
        </w:rPr>
        <w:t>enjoins the court to</w:t>
      </w:r>
      <w:r w:rsidR="006C2F9D">
        <w:rPr>
          <w:rFonts w:ascii="Times New Roman" w:hAnsi="Times New Roman" w:cs="Times New Roman"/>
          <w:sz w:val="24"/>
          <w:szCs w:val="24"/>
        </w:rPr>
        <w:t>:</w:t>
      </w:r>
      <w:r w:rsidR="0062497C" w:rsidRPr="00C05B8E">
        <w:rPr>
          <w:rFonts w:ascii="Times New Roman" w:hAnsi="Times New Roman" w:cs="Times New Roman"/>
          <w:sz w:val="24"/>
          <w:szCs w:val="24"/>
        </w:rPr>
        <w:t xml:space="preserve"> </w:t>
      </w:r>
    </w:p>
    <w:p w14:paraId="1573C244" w14:textId="55761FC4" w:rsidR="0062497C" w:rsidRPr="00C05B8E" w:rsidRDefault="000E7C3E" w:rsidP="00B57229">
      <w:pPr>
        <w:autoSpaceDE w:val="0"/>
        <w:autoSpaceDN w:val="0"/>
        <w:adjustRightInd w:val="0"/>
        <w:spacing w:after="0" w:line="240" w:lineRule="auto"/>
        <w:ind w:left="720"/>
        <w:jc w:val="both"/>
        <w:rPr>
          <w:rFonts w:ascii="Times New Roman" w:hAnsi="Times New Roman" w:cs="Times New Roman"/>
          <w:sz w:val="24"/>
          <w:szCs w:val="24"/>
        </w:rPr>
      </w:pPr>
      <w:r w:rsidRPr="00C05B8E">
        <w:rPr>
          <w:rFonts w:ascii="Times New Roman" w:hAnsi="Times New Roman" w:cs="Times New Roman"/>
          <w:sz w:val="24"/>
          <w:szCs w:val="24"/>
        </w:rPr>
        <w:t>“</w:t>
      </w:r>
      <w:r w:rsidR="006C2F9D">
        <w:rPr>
          <w:rFonts w:ascii="Times New Roman" w:hAnsi="Times New Roman" w:cs="Times New Roman"/>
          <w:sz w:val="24"/>
          <w:szCs w:val="24"/>
        </w:rPr>
        <w:t>E</w:t>
      </w:r>
      <w:r w:rsidR="0062497C" w:rsidRPr="00C05B8E">
        <w:rPr>
          <w:rFonts w:ascii="Times New Roman" w:hAnsi="Times New Roman" w:cs="Times New Roman"/>
          <w:sz w:val="24"/>
          <w:szCs w:val="24"/>
        </w:rPr>
        <w:t>ndeavour as far as is reasonable and practicable and, having regard to their conduct, is just to do so, to place the spouses and children in the position they would have been in had a normal marriage relationship continued between the spouses.”</w:t>
      </w:r>
    </w:p>
    <w:p w14:paraId="14F058F0" w14:textId="4420A373" w:rsidR="00DF6358" w:rsidRPr="00C05B8E" w:rsidRDefault="0062497C" w:rsidP="00B57229">
      <w:pPr>
        <w:pStyle w:val="NormalWeb"/>
        <w:spacing w:after="0" w:afterAutospacing="0" w:line="360" w:lineRule="auto"/>
        <w:ind w:firstLine="720"/>
        <w:jc w:val="both"/>
      </w:pPr>
      <w:r w:rsidRPr="00C05B8E">
        <w:t xml:space="preserve">In my view, had a normal marriage relationship continued between the spouses, none would be homeless. </w:t>
      </w:r>
      <w:r w:rsidR="00E87399" w:rsidRPr="00C05B8E">
        <w:t xml:space="preserve">Section 26 of </w:t>
      </w:r>
      <w:r w:rsidR="000E7C3E" w:rsidRPr="00C05B8E">
        <w:t>the</w:t>
      </w:r>
      <w:r w:rsidR="00E87399" w:rsidRPr="00C05B8E">
        <w:t xml:space="preserve"> Constitution of </w:t>
      </w:r>
      <w:r w:rsidRPr="00C05B8E">
        <w:t xml:space="preserve">Zimbabwe </w:t>
      </w:r>
      <w:r w:rsidR="002478B2" w:rsidRPr="00C05B8E">
        <w:t>in dealing</w:t>
      </w:r>
      <w:r w:rsidR="00E87399" w:rsidRPr="00C05B8E">
        <w:t xml:space="preserve"> with marriage espouses the principle of “equality of rights and obligations of spouses during marriage and at its dissolution”.</w:t>
      </w:r>
      <w:r w:rsidRPr="00C05B8E">
        <w:t xml:space="preserve"> P</w:t>
      </w:r>
      <w:r w:rsidR="00E87399" w:rsidRPr="00C05B8E">
        <w:t xml:space="preserve">rinciples of fairness and justice in terms of the law </w:t>
      </w:r>
      <w:r w:rsidRPr="00C05B8E">
        <w:t xml:space="preserve">are </w:t>
      </w:r>
      <w:r w:rsidR="00E87399" w:rsidRPr="00C05B8E">
        <w:t>central considerations</w:t>
      </w:r>
      <w:r w:rsidR="000E7C3E" w:rsidRPr="00C05B8E">
        <w:t>. I</w:t>
      </w:r>
      <w:r w:rsidR="002478B2" w:rsidRPr="00C05B8E">
        <w:t>t has not been pr</w:t>
      </w:r>
      <w:r w:rsidR="000E7C3E" w:rsidRPr="00C05B8E">
        <w:t>oved on a balance of probabilities</w:t>
      </w:r>
      <w:r w:rsidR="002478B2" w:rsidRPr="00C05B8E">
        <w:t xml:space="preserve"> that </w:t>
      </w:r>
      <w:r w:rsidR="000E7C3E" w:rsidRPr="00C05B8E">
        <w:t>Defendant</w:t>
      </w:r>
      <w:r w:rsidR="002478B2" w:rsidRPr="00C05B8E">
        <w:t xml:space="preserve"> did not contribute to the acquisition of </w:t>
      </w:r>
      <w:r w:rsidR="000E7C3E" w:rsidRPr="00C05B8E">
        <w:t xml:space="preserve">the </w:t>
      </w:r>
      <w:r w:rsidR="002478B2" w:rsidRPr="00C05B8E">
        <w:t>two properties in issue</w:t>
      </w:r>
      <w:r w:rsidR="000E7C3E" w:rsidRPr="00C05B8E">
        <w:t xml:space="preserve">.  To award both properties </w:t>
      </w:r>
      <w:r w:rsidR="00C05B8E" w:rsidRPr="00C05B8E">
        <w:t xml:space="preserve">to the Plaintiff as prayed for </w:t>
      </w:r>
      <w:r w:rsidR="000E7C3E" w:rsidRPr="00C05B8E">
        <w:t>would be unfair.</w:t>
      </w:r>
      <w:r w:rsidR="00C05B8E" w:rsidRPr="00C05B8E">
        <w:t xml:space="preserve"> Even though Plaintiff stated that</w:t>
      </w:r>
      <w:r w:rsidR="002478B2" w:rsidRPr="00C05B8E">
        <w:rPr>
          <w:lang w:val="en-ZW"/>
        </w:rPr>
        <w:t xml:space="preserve"> the children consider the Borrowdale Property as home</w:t>
      </w:r>
      <w:r w:rsidR="00C05B8E" w:rsidRPr="00C05B8E">
        <w:rPr>
          <w:lang w:val="en-ZW"/>
        </w:rPr>
        <w:t>, that</w:t>
      </w:r>
      <w:r w:rsidR="002478B2" w:rsidRPr="00C05B8E">
        <w:rPr>
          <w:lang w:val="en-ZW"/>
        </w:rPr>
        <w:t xml:space="preserve"> is immaterial considering that they are both majors now</w:t>
      </w:r>
      <w:r w:rsidR="00272B2E" w:rsidRPr="00C05B8E">
        <w:rPr>
          <w:lang w:val="en-ZW"/>
        </w:rPr>
        <w:t xml:space="preserve"> </w:t>
      </w:r>
      <w:r w:rsidR="00272B2E" w:rsidRPr="00C05B8E">
        <w:t>and can chart their own paths in life.</w:t>
      </w:r>
      <w:r w:rsidR="00DF6358" w:rsidRPr="00C05B8E">
        <w:rPr>
          <w:lang w:val="en-ZW"/>
        </w:rPr>
        <w:t xml:space="preserve"> If the parties had wanted to giv</w:t>
      </w:r>
      <w:r w:rsidR="002478B2" w:rsidRPr="00C05B8E">
        <w:rPr>
          <w:lang w:val="en-ZW"/>
        </w:rPr>
        <w:t xml:space="preserve">e </w:t>
      </w:r>
      <w:r w:rsidR="00DF6358" w:rsidRPr="00C05B8E">
        <w:rPr>
          <w:lang w:val="en-ZW"/>
        </w:rPr>
        <w:t xml:space="preserve">the property to their children they could have done so by consent. </w:t>
      </w:r>
      <w:r w:rsidR="00C05B8E" w:rsidRPr="00C05B8E">
        <w:rPr>
          <w:lang w:val="en-ZW"/>
        </w:rPr>
        <w:t>Alternatively</w:t>
      </w:r>
      <w:r w:rsidR="006C2F9D">
        <w:rPr>
          <w:lang w:val="en-ZW"/>
        </w:rPr>
        <w:t>,</w:t>
      </w:r>
      <w:r w:rsidR="00C05B8E" w:rsidRPr="00C05B8E">
        <w:rPr>
          <w:lang w:val="en-ZW"/>
        </w:rPr>
        <w:t xml:space="preserve"> they could also have put the properties in a Trust for the benefit of the children.</w:t>
      </w:r>
      <w:r w:rsidR="006C2F9D">
        <w:rPr>
          <w:lang w:val="en-ZW"/>
        </w:rPr>
        <w:t xml:space="preserve">  </w:t>
      </w:r>
      <w:r w:rsidR="00C05B8E" w:rsidRPr="00C05B8E">
        <w:rPr>
          <w:lang w:val="en-ZW"/>
        </w:rPr>
        <w:t xml:space="preserve">The Matrimonial Causes Act in s </w:t>
      </w:r>
      <w:r w:rsidR="00DF6358" w:rsidRPr="00C05B8E">
        <w:rPr>
          <w:lang w:val="en-ZW"/>
        </w:rPr>
        <w:t>7</w:t>
      </w:r>
      <w:r w:rsidR="006C2F9D">
        <w:rPr>
          <w:lang w:val="en-ZW"/>
        </w:rPr>
        <w:t xml:space="preserve"> </w:t>
      </w:r>
      <w:r w:rsidR="00DF6358" w:rsidRPr="00C05B8E">
        <w:rPr>
          <w:lang w:val="en-ZW"/>
        </w:rPr>
        <w:t>(5) recognises written agreements by consent in the resolution of property distribution on divorce</w:t>
      </w:r>
      <w:r w:rsidR="006C2F9D">
        <w:rPr>
          <w:lang w:val="en-ZW"/>
        </w:rPr>
        <w:t>:</w:t>
      </w:r>
    </w:p>
    <w:p w14:paraId="6390A56F" w14:textId="77777777" w:rsidR="00DF6358" w:rsidRPr="006C2F9D" w:rsidRDefault="00DF6358" w:rsidP="00B57229">
      <w:pPr>
        <w:autoSpaceDE w:val="0"/>
        <w:autoSpaceDN w:val="0"/>
        <w:adjustRightInd w:val="0"/>
        <w:spacing w:after="0" w:line="240" w:lineRule="auto"/>
        <w:ind w:left="720"/>
        <w:jc w:val="both"/>
        <w:rPr>
          <w:rFonts w:ascii="Times New Roman" w:hAnsi="Times New Roman" w:cs="Times New Roman"/>
        </w:rPr>
      </w:pPr>
      <w:r w:rsidRPr="006C2F9D">
        <w:rPr>
          <w:rFonts w:ascii="Times New Roman" w:hAnsi="Times New Roman" w:cs="Times New Roman"/>
        </w:rPr>
        <w:t xml:space="preserve">“In granting a decree of divorce, judicial separation or nullity of marriage an appropriate court may, </w:t>
      </w:r>
      <w:r w:rsidRPr="006C2F9D">
        <w:rPr>
          <w:rFonts w:ascii="Times New Roman" w:hAnsi="Times New Roman" w:cs="Times New Roman"/>
          <w:b/>
        </w:rPr>
        <w:t>in accordance with a written agreement</w:t>
      </w:r>
      <w:r w:rsidRPr="006C2F9D">
        <w:rPr>
          <w:rFonts w:ascii="Times New Roman" w:hAnsi="Times New Roman" w:cs="Times New Roman"/>
        </w:rPr>
        <w:t xml:space="preserve"> </w:t>
      </w:r>
      <w:r w:rsidRPr="006C2F9D">
        <w:rPr>
          <w:rFonts w:ascii="Times New Roman" w:hAnsi="Times New Roman" w:cs="Times New Roman"/>
          <w:b/>
        </w:rPr>
        <w:t>between the parties</w:t>
      </w:r>
      <w:r w:rsidRPr="006C2F9D">
        <w:rPr>
          <w:rFonts w:ascii="Times New Roman" w:hAnsi="Times New Roman" w:cs="Times New Roman"/>
        </w:rPr>
        <w:t>, make an order with regard to the matters referred to in paragraphs (</w:t>
      </w:r>
      <w:r w:rsidRPr="006C2F9D">
        <w:rPr>
          <w:rFonts w:ascii="Times New Roman" w:hAnsi="Times New Roman" w:cs="Times New Roman"/>
          <w:i/>
          <w:iCs/>
        </w:rPr>
        <w:t>a</w:t>
      </w:r>
      <w:r w:rsidRPr="006C2F9D">
        <w:rPr>
          <w:rFonts w:ascii="Times New Roman" w:hAnsi="Times New Roman" w:cs="Times New Roman"/>
        </w:rPr>
        <w:t>) and (</w:t>
      </w:r>
      <w:r w:rsidRPr="006C2F9D">
        <w:rPr>
          <w:rFonts w:ascii="Times New Roman" w:hAnsi="Times New Roman" w:cs="Times New Roman"/>
          <w:i/>
          <w:iCs/>
        </w:rPr>
        <w:t>b</w:t>
      </w:r>
      <w:r w:rsidRPr="006C2F9D">
        <w:rPr>
          <w:rFonts w:ascii="Times New Roman" w:hAnsi="Times New Roman" w:cs="Times New Roman"/>
        </w:rPr>
        <w:t>) of subsection (1).”</w:t>
      </w:r>
    </w:p>
    <w:p w14:paraId="3F2780A5" w14:textId="77777777" w:rsidR="00DF6358" w:rsidRPr="006C2F9D" w:rsidRDefault="00DF6358" w:rsidP="00B57229">
      <w:pPr>
        <w:autoSpaceDE w:val="0"/>
        <w:autoSpaceDN w:val="0"/>
        <w:adjustRightInd w:val="0"/>
        <w:spacing w:after="0" w:line="360" w:lineRule="auto"/>
        <w:jc w:val="both"/>
        <w:rPr>
          <w:rFonts w:ascii="Times New Roman" w:hAnsi="Times New Roman" w:cs="Times New Roman"/>
        </w:rPr>
      </w:pPr>
    </w:p>
    <w:p w14:paraId="4B3AD06C" w14:textId="429FE0BF" w:rsidR="00F53796" w:rsidRPr="00C05B8E" w:rsidRDefault="00DF6358" w:rsidP="00B57229">
      <w:pPr>
        <w:autoSpaceDE w:val="0"/>
        <w:autoSpaceDN w:val="0"/>
        <w:adjustRightInd w:val="0"/>
        <w:spacing w:after="0" w:line="360" w:lineRule="auto"/>
        <w:ind w:firstLine="720"/>
        <w:jc w:val="both"/>
        <w:rPr>
          <w:rFonts w:ascii="Times New Roman" w:hAnsi="Times New Roman" w:cs="Times New Roman"/>
          <w:sz w:val="24"/>
          <w:szCs w:val="24"/>
        </w:rPr>
      </w:pPr>
      <w:r w:rsidRPr="00C05B8E">
        <w:rPr>
          <w:rFonts w:ascii="Times New Roman" w:hAnsi="Times New Roman" w:cs="Times New Roman"/>
          <w:sz w:val="24"/>
          <w:szCs w:val="24"/>
        </w:rPr>
        <w:t>Divorce, of necessity, brings about fundamental changes in the parties’ lives</w:t>
      </w:r>
      <w:r w:rsidR="00272B2E" w:rsidRPr="00C05B8E">
        <w:rPr>
          <w:rFonts w:ascii="Times New Roman" w:hAnsi="Times New Roman" w:cs="Times New Roman"/>
          <w:sz w:val="24"/>
          <w:szCs w:val="24"/>
        </w:rPr>
        <w:t xml:space="preserve"> and </w:t>
      </w:r>
      <w:r w:rsidRPr="00C05B8E">
        <w:rPr>
          <w:rFonts w:ascii="Times New Roman" w:hAnsi="Times New Roman" w:cs="Times New Roman"/>
          <w:sz w:val="24"/>
          <w:szCs w:val="24"/>
        </w:rPr>
        <w:t>comes with the consequences of property sharing.</w:t>
      </w:r>
      <w:r w:rsidR="00272B2E" w:rsidRPr="00C05B8E">
        <w:rPr>
          <w:rFonts w:ascii="Times New Roman" w:hAnsi="Times New Roman" w:cs="Times New Roman"/>
          <w:sz w:val="24"/>
          <w:szCs w:val="24"/>
        </w:rPr>
        <w:t xml:space="preserve"> In </w:t>
      </w:r>
      <w:r w:rsidR="00272B2E" w:rsidRPr="00C05B8E">
        <w:rPr>
          <w:rFonts w:ascii="Times New Roman" w:hAnsi="Times New Roman" w:cs="Times New Roman"/>
          <w:i/>
          <w:sz w:val="24"/>
          <w:szCs w:val="24"/>
        </w:rPr>
        <w:t>casu</w:t>
      </w:r>
      <w:r w:rsidR="00272B2E" w:rsidRPr="00C05B8E">
        <w:rPr>
          <w:rFonts w:ascii="Times New Roman" w:hAnsi="Times New Roman" w:cs="Times New Roman"/>
          <w:sz w:val="24"/>
          <w:szCs w:val="24"/>
        </w:rPr>
        <w:t xml:space="preserve">, there are two properties registered in each of the spouses’ names. The registration of rights in immovable property in terms of the Deeds Registries Act [Chapter </w:t>
      </w:r>
      <w:r w:rsidR="00B41267" w:rsidRPr="00C05B8E">
        <w:rPr>
          <w:rFonts w:ascii="Times New Roman" w:hAnsi="Times New Roman" w:cs="Times New Roman"/>
          <w:sz w:val="24"/>
          <w:szCs w:val="24"/>
        </w:rPr>
        <w:t>20:05] is not a mere matter of form. It conveys real rights upon those in whose name the property is registered</w:t>
      </w:r>
      <w:r w:rsidR="00F53796" w:rsidRPr="00C05B8E">
        <w:rPr>
          <w:rFonts w:ascii="Times New Roman" w:hAnsi="Times New Roman" w:cs="Times New Roman"/>
          <w:sz w:val="24"/>
          <w:szCs w:val="24"/>
        </w:rPr>
        <w:t xml:space="preserve">. See </w:t>
      </w:r>
      <w:r w:rsidR="00F53796" w:rsidRPr="003C4ABC">
        <w:rPr>
          <w:rFonts w:ascii="Times New Roman" w:hAnsi="Times New Roman" w:cs="Times New Roman"/>
          <w:bCs/>
          <w:i/>
          <w:iCs/>
          <w:sz w:val="24"/>
          <w:szCs w:val="24"/>
        </w:rPr>
        <w:t xml:space="preserve">Takafuma </w:t>
      </w:r>
      <w:r w:rsidR="00F53796" w:rsidRPr="003C4ABC">
        <w:rPr>
          <w:rFonts w:ascii="Times New Roman" w:hAnsi="Times New Roman" w:cs="Times New Roman"/>
          <w:bCs/>
          <w:sz w:val="24"/>
          <w:szCs w:val="24"/>
        </w:rPr>
        <w:t>v</w:t>
      </w:r>
      <w:r w:rsidR="00F53796" w:rsidRPr="003C4ABC">
        <w:rPr>
          <w:rFonts w:ascii="Times New Roman" w:hAnsi="Times New Roman" w:cs="Times New Roman"/>
          <w:bCs/>
          <w:i/>
          <w:iCs/>
          <w:sz w:val="24"/>
          <w:szCs w:val="24"/>
        </w:rPr>
        <w:t xml:space="preserve"> Takafuma</w:t>
      </w:r>
      <w:r w:rsidR="00F53796" w:rsidRPr="00C05B8E">
        <w:rPr>
          <w:rFonts w:ascii="Times New Roman" w:hAnsi="Times New Roman" w:cs="Times New Roman"/>
          <w:sz w:val="24"/>
          <w:szCs w:val="24"/>
        </w:rPr>
        <w:t xml:space="preserve"> (</w:t>
      </w:r>
      <w:r w:rsidR="00F53796" w:rsidRPr="003C4ABC">
        <w:rPr>
          <w:rFonts w:ascii="Times New Roman" w:hAnsi="Times New Roman" w:cs="Times New Roman"/>
          <w:i/>
          <w:iCs/>
          <w:sz w:val="24"/>
          <w:szCs w:val="24"/>
        </w:rPr>
        <w:t>supra</w:t>
      </w:r>
      <w:r w:rsidR="00F53796" w:rsidRPr="00C05B8E">
        <w:rPr>
          <w:rFonts w:ascii="Times New Roman" w:hAnsi="Times New Roman" w:cs="Times New Roman"/>
          <w:sz w:val="24"/>
          <w:szCs w:val="24"/>
        </w:rPr>
        <w:t>). The properties therefore fall into the category of “his” and “hers” by virtue of registration. From the above analysis, there is no justification for taking any portion away from one and give to the other. Accordingly, each spouse retains the immovable property registered in his or her name.</w:t>
      </w:r>
    </w:p>
    <w:p w14:paraId="2A5AA224" w14:textId="77777777" w:rsidR="00F53796" w:rsidRPr="00B4368E" w:rsidRDefault="00F53796" w:rsidP="00B57229">
      <w:pPr>
        <w:autoSpaceDE w:val="0"/>
        <w:autoSpaceDN w:val="0"/>
        <w:adjustRightInd w:val="0"/>
        <w:spacing w:after="0" w:line="360" w:lineRule="auto"/>
        <w:ind w:firstLine="720"/>
        <w:jc w:val="both"/>
        <w:rPr>
          <w:rFonts w:ascii="Times New Roman" w:hAnsi="Times New Roman" w:cs="Times New Roman"/>
          <w:b/>
          <w:bCs/>
          <w:sz w:val="24"/>
          <w:szCs w:val="24"/>
          <w:u w:val="single"/>
        </w:rPr>
      </w:pPr>
      <w:r w:rsidRPr="00B4368E">
        <w:rPr>
          <w:rFonts w:ascii="Times New Roman" w:hAnsi="Times New Roman" w:cs="Times New Roman"/>
          <w:b/>
          <w:bCs/>
          <w:sz w:val="24"/>
          <w:szCs w:val="24"/>
          <w:u w:val="single"/>
        </w:rPr>
        <w:lastRenderedPageBreak/>
        <w:t>DISPOSITION</w:t>
      </w:r>
    </w:p>
    <w:p w14:paraId="720B0FEC" w14:textId="77777777" w:rsidR="00DF6358" w:rsidRPr="00C05B8E" w:rsidRDefault="00F53796" w:rsidP="00B57229">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A decree of divorce be and is hereby granted.</w:t>
      </w:r>
    </w:p>
    <w:p w14:paraId="2D6ED090" w14:textId="77777777" w:rsidR="00F53796" w:rsidRPr="00C05B8E" w:rsidRDefault="00C0466A" w:rsidP="00B57229">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The household items be and are hereby awarded as follows; -</w:t>
      </w:r>
    </w:p>
    <w:tbl>
      <w:tblPr>
        <w:tblStyle w:val="TableGrid"/>
        <w:tblW w:w="0" w:type="auto"/>
        <w:tblLook w:val="04A0" w:firstRow="1" w:lastRow="0" w:firstColumn="1" w:lastColumn="0" w:noHBand="0" w:noVBand="1"/>
      </w:tblPr>
      <w:tblGrid>
        <w:gridCol w:w="985"/>
        <w:gridCol w:w="3960"/>
        <w:gridCol w:w="4405"/>
      </w:tblGrid>
      <w:tr w:rsidR="00C0466A" w:rsidRPr="00C05B8E" w14:paraId="4951DE32" w14:textId="77777777" w:rsidTr="001B518C">
        <w:tc>
          <w:tcPr>
            <w:tcW w:w="985" w:type="dxa"/>
          </w:tcPr>
          <w:p w14:paraId="0F43F9A9"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NO</w:t>
            </w:r>
          </w:p>
        </w:tc>
        <w:tc>
          <w:tcPr>
            <w:tcW w:w="3960" w:type="dxa"/>
          </w:tcPr>
          <w:p w14:paraId="3DCD779A"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FOR PLAINTIFF</w:t>
            </w:r>
          </w:p>
        </w:tc>
        <w:tc>
          <w:tcPr>
            <w:tcW w:w="4405" w:type="dxa"/>
          </w:tcPr>
          <w:p w14:paraId="0E72130F"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FOR DEFENDANT</w:t>
            </w:r>
          </w:p>
        </w:tc>
      </w:tr>
      <w:tr w:rsidR="00C0466A" w:rsidRPr="00C05B8E" w14:paraId="50C58838" w14:textId="77777777" w:rsidTr="001B518C">
        <w:tc>
          <w:tcPr>
            <w:tcW w:w="985" w:type="dxa"/>
          </w:tcPr>
          <w:p w14:paraId="64C60365"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1B7D34BA"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King beds x 2</w:t>
            </w:r>
          </w:p>
        </w:tc>
        <w:tc>
          <w:tcPr>
            <w:tcW w:w="4405" w:type="dxa"/>
          </w:tcPr>
          <w:p w14:paraId="2D5C80CA"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Double/3 Quarter beds</w:t>
            </w:r>
          </w:p>
        </w:tc>
      </w:tr>
      <w:tr w:rsidR="00C0466A" w:rsidRPr="00C05B8E" w14:paraId="7D78F4F3" w14:textId="77777777" w:rsidTr="001B518C">
        <w:tc>
          <w:tcPr>
            <w:tcW w:w="985" w:type="dxa"/>
          </w:tcPr>
          <w:p w14:paraId="4507A715"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51A1A932"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King Headboards x 2</w:t>
            </w:r>
          </w:p>
        </w:tc>
        <w:tc>
          <w:tcPr>
            <w:tcW w:w="4405" w:type="dxa"/>
          </w:tcPr>
          <w:p w14:paraId="41E4B177"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3 Quarter Headboard</w:t>
            </w:r>
          </w:p>
        </w:tc>
      </w:tr>
      <w:tr w:rsidR="00C0466A" w:rsidRPr="00C05B8E" w14:paraId="715BD53A" w14:textId="77777777" w:rsidTr="001B518C">
        <w:tc>
          <w:tcPr>
            <w:tcW w:w="985" w:type="dxa"/>
          </w:tcPr>
          <w:p w14:paraId="2459FC80"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2B387578"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Upright Freezer</w:t>
            </w:r>
          </w:p>
        </w:tc>
        <w:tc>
          <w:tcPr>
            <w:tcW w:w="4405" w:type="dxa"/>
          </w:tcPr>
          <w:p w14:paraId="2FFF5490"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Sheets, Duvets, Pillows-half share</w:t>
            </w:r>
          </w:p>
        </w:tc>
      </w:tr>
      <w:tr w:rsidR="00C0466A" w:rsidRPr="00C05B8E" w14:paraId="2CB0D4FA" w14:textId="77777777" w:rsidTr="001B518C">
        <w:tc>
          <w:tcPr>
            <w:tcW w:w="985" w:type="dxa"/>
          </w:tcPr>
          <w:p w14:paraId="6B1005C2"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60B9CEB3"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Smart TV</w:t>
            </w:r>
          </w:p>
        </w:tc>
        <w:tc>
          <w:tcPr>
            <w:tcW w:w="4405" w:type="dxa"/>
          </w:tcPr>
          <w:p w14:paraId="533B802B"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Flower Pots-half share</w:t>
            </w:r>
          </w:p>
        </w:tc>
      </w:tr>
      <w:tr w:rsidR="00C0466A" w:rsidRPr="00C05B8E" w14:paraId="4211BBE5" w14:textId="77777777" w:rsidTr="001B518C">
        <w:tc>
          <w:tcPr>
            <w:tcW w:w="985" w:type="dxa"/>
          </w:tcPr>
          <w:p w14:paraId="16E74F1E"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42D2F2A3"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Sheets, Duvets, Pillows-half share</w:t>
            </w:r>
          </w:p>
        </w:tc>
        <w:tc>
          <w:tcPr>
            <w:tcW w:w="4405" w:type="dxa"/>
          </w:tcPr>
          <w:p w14:paraId="31B32EA8"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Leather Sofas</w:t>
            </w:r>
          </w:p>
        </w:tc>
      </w:tr>
      <w:tr w:rsidR="00C0466A" w:rsidRPr="00C05B8E" w14:paraId="51024A09" w14:textId="77777777" w:rsidTr="001B518C">
        <w:tc>
          <w:tcPr>
            <w:tcW w:w="985" w:type="dxa"/>
          </w:tcPr>
          <w:p w14:paraId="3D622A5E"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7A001A62"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Flower Pots-half share</w:t>
            </w:r>
          </w:p>
        </w:tc>
        <w:tc>
          <w:tcPr>
            <w:tcW w:w="4405" w:type="dxa"/>
          </w:tcPr>
          <w:p w14:paraId="71011151"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Television 45´</w:t>
            </w:r>
          </w:p>
        </w:tc>
      </w:tr>
      <w:tr w:rsidR="00C0466A" w:rsidRPr="00C05B8E" w14:paraId="6A4B30DE" w14:textId="77777777" w:rsidTr="001B518C">
        <w:tc>
          <w:tcPr>
            <w:tcW w:w="985" w:type="dxa"/>
          </w:tcPr>
          <w:p w14:paraId="5FDF0D9D"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0B1A31C8"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Fabric Sofas</w:t>
            </w:r>
          </w:p>
        </w:tc>
        <w:tc>
          <w:tcPr>
            <w:tcW w:w="4405" w:type="dxa"/>
          </w:tcPr>
          <w:p w14:paraId="06F46ECC"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1 Plate Gas Stove</w:t>
            </w:r>
          </w:p>
        </w:tc>
      </w:tr>
      <w:tr w:rsidR="00C0466A" w:rsidRPr="00C05B8E" w14:paraId="46A10064" w14:textId="77777777" w:rsidTr="001B518C">
        <w:tc>
          <w:tcPr>
            <w:tcW w:w="985" w:type="dxa"/>
          </w:tcPr>
          <w:p w14:paraId="619EADA8"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1F78ED49" w14:textId="0A7DC872"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Television 45´ and 55´</w:t>
            </w:r>
          </w:p>
        </w:tc>
        <w:tc>
          <w:tcPr>
            <w:tcW w:w="4405" w:type="dxa"/>
          </w:tcPr>
          <w:p w14:paraId="7D33C888"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4 Plate Electric Stove</w:t>
            </w:r>
          </w:p>
        </w:tc>
      </w:tr>
      <w:tr w:rsidR="00C0466A" w:rsidRPr="00C05B8E" w14:paraId="06E370AD" w14:textId="77777777" w:rsidTr="001B518C">
        <w:tc>
          <w:tcPr>
            <w:tcW w:w="985" w:type="dxa"/>
          </w:tcPr>
          <w:p w14:paraId="2998E741"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69EC63CE"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Projector and Screen</w:t>
            </w:r>
          </w:p>
        </w:tc>
        <w:tc>
          <w:tcPr>
            <w:tcW w:w="4405" w:type="dxa"/>
          </w:tcPr>
          <w:p w14:paraId="2CBDC2B5"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Dishwasher</w:t>
            </w:r>
          </w:p>
        </w:tc>
      </w:tr>
      <w:tr w:rsidR="00C0466A" w:rsidRPr="00C05B8E" w14:paraId="40070667" w14:textId="77777777" w:rsidTr="001B518C">
        <w:tc>
          <w:tcPr>
            <w:tcW w:w="985" w:type="dxa"/>
          </w:tcPr>
          <w:p w14:paraId="5E6644EF"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146F657C"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Small Silver Fridges from Hirsches</w:t>
            </w:r>
          </w:p>
        </w:tc>
        <w:tc>
          <w:tcPr>
            <w:tcW w:w="4405" w:type="dxa"/>
          </w:tcPr>
          <w:p w14:paraId="109505AA"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Plates, Pots &amp; Utensils-half share</w:t>
            </w:r>
          </w:p>
        </w:tc>
      </w:tr>
      <w:tr w:rsidR="00C0466A" w:rsidRPr="00C05B8E" w14:paraId="0E4FB4E8" w14:textId="77777777" w:rsidTr="001B518C">
        <w:tc>
          <w:tcPr>
            <w:tcW w:w="985" w:type="dxa"/>
          </w:tcPr>
          <w:p w14:paraId="688D675F"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13C38C12"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5 Plate Gas Stove</w:t>
            </w:r>
          </w:p>
        </w:tc>
        <w:tc>
          <w:tcPr>
            <w:tcW w:w="4405" w:type="dxa"/>
          </w:tcPr>
          <w:p w14:paraId="4FE138DF"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Carpets and Rugs-half share</w:t>
            </w:r>
          </w:p>
        </w:tc>
      </w:tr>
      <w:tr w:rsidR="00C0466A" w:rsidRPr="00C05B8E" w14:paraId="1F5D2020" w14:textId="77777777" w:rsidTr="001B518C">
        <w:tc>
          <w:tcPr>
            <w:tcW w:w="985" w:type="dxa"/>
          </w:tcPr>
          <w:p w14:paraId="22DBDF5B"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68146CF0"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Generator</w:t>
            </w:r>
          </w:p>
        </w:tc>
        <w:tc>
          <w:tcPr>
            <w:tcW w:w="4405" w:type="dxa"/>
          </w:tcPr>
          <w:p w14:paraId="72A42CF1"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Coffee Table</w:t>
            </w:r>
          </w:p>
        </w:tc>
      </w:tr>
      <w:tr w:rsidR="00C0466A" w:rsidRPr="00C05B8E" w14:paraId="14BA7EA2" w14:textId="77777777" w:rsidTr="001B518C">
        <w:tc>
          <w:tcPr>
            <w:tcW w:w="985" w:type="dxa"/>
          </w:tcPr>
          <w:p w14:paraId="52A627CB"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4B516B1D"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Invertor (lights &amp; Plugs)</w:t>
            </w:r>
          </w:p>
        </w:tc>
        <w:tc>
          <w:tcPr>
            <w:tcW w:w="4405" w:type="dxa"/>
          </w:tcPr>
          <w:p w14:paraId="0D87259C"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Upright Freezer Combo</w:t>
            </w:r>
          </w:p>
        </w:tc>
      </w:tr>
      <w:tr w:rsidR="00C0466A" w:rsidRPr="00C05B8E" w14:paraId="1F441BB2" w14:textId="77777777" w:rsidTr="001B518C">
        <w:tc>
          <w:tcPr>
            <w:tcW w:w="985" w:type="dxa"/>
          </w:tcPr>
          <w:p w14:paraId="5198BFBA"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6C002938" w14:textId="3AFC8A65"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6</w:t>
            </w:r>
            <w:r w:rsidR="003C4ABC">
              <w:rPr>
                <w:rFonts w:ascii="Times New Roman" w:hAnsi="Times New Roman" w:cs="Times New Roman"/>
                <w:sz w:val="24"/>
                <w:szCs w:val="24"/>
              </w:rPr>
              <w:t>-</w:t>
            </w:r>
            <w:r w:rsidRPr="00C05B8E">
              <w:rPr>
                <w:rFonts w:ascii="Times New Roman" w:hAnsi="Times New Roman" w:cs="Times New Roman"/>
                <w:sz w:val="24"/>
                <w:szCs w:val="24"/>
              </w:rPr>
              <w:t>Seater Dining Set</w:t>
            </w:r>
          </w:p>
        </w:tc>
        <w:tc>
          <w:tcPr>
            <w:tcW w:w="4405" w:type="dxa"/>
          </w:tcPr>
          <w:p w14:paraId="5D3A43B3"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Deep Freezer</w:t>
            </w:r>
          </w:p>
        </w:tc>
      </w:tr>
      <w:tr w:rsidR="00C0466A" w:rsidRPr="00C05B8E" w14:paraId="7AF55047" w14:textId="77777777" w:rsidTr="001B518C">
        <w:tc>
          <w:tcPr>
            <w:tcW w:w="985" w:type="dxa"/>
          </w:tcPr>
          <w:p w14:paraId="12E74433"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4D300569"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Washing Machine</w:t>
            </w:r>
          </w:p>
        </w:tc>
        <w:tc>
          <w:tcPr>
            <w:tcW w:w="4405" w:type="dxa"/>
          </w:tcPr>
          <w:p w14:paraId="464C5F6A"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Office Furniture under the shed</w:t>
            </w:r>
          </w:p>
        </w:tc>
      </w:tr>
      <w:tr w:rsidR="00C0466A" w:rsidRPr="00C05B8E" w14:paraId="78A7F6BF" w14:textId="77777777" w:rsidTr="001B518C">
        <w:tc>
          <w:tcPr>
            <w:tcW w:w="985" w:type="dxa"/>
          </w:tcPr>
          <w:p w14:paraId="3015ADC7"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4AB87A0B"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Garden Furniture</w:t>
            </w:r>
          </w:p>
        </w:tc>
        <w:tc>
          <w:tcPr>
            <w:tcW w:w="4405" w:type="dxa"/>
          </w:tcPr>
          <w:p w14:paraId="222ECE2A"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Flower Pots-half share</w:t>
            </w:r>
          </w:p>
        </w:tc>
      </w:tr>
      <w:tr w:rsidR="00C0466A" w:rsidRPr="00C05B8E" w14:paraId="7EAE91DA" w14:textId="77777777" w:rsidTr="001B518C">
        <w:tc>
          <w:tcPr>
            <w:tcW w:w="985" w:type="dxa"/>
          </w:tcPr>
          <w:p w14:paraId="5EB20741"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6ECD2AD7"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Plates, Pots &amp; Utensils-half share</w:t>
            </w:r>
          </w:p>
        </w:tc>
        <w:tc>
          <w:tcPr>
            <w:tcW w:w="4405" w:type="dxa"/>
          </w:tcPr>
          <w:p w14:paraId="4FF17F54"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Leather Sofas</w:t>
            </w:r>
          </w:p>
        </w:tc>
      </w:tr>
      <w:tr w:rsidR="00C0466A" w:rsidRPr="00C05B8E" w14:paraId="43003964" w14:textId="77777777" w:rsidTr="001B518C">
        <w:tc>
          <w:tcPr>
            <w:tcW w:w="985" w:type="dxa"/>
          </w:tcPr>
          <w:p w14:paraId="0A1E5E52"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4A1528A9"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Carpets and Rugs-half share</w:t>
            </w:r>
          </w:p>
        </w:tc>
        <w:tc>
          <w:tcPr>
            <w:tcW w:w="4405" w:type="dxa"/>
          </w:tcPr>
          <w:p w14:paraId="28C5B011"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Television 45´</w:t>
            </w:r>
          </w:p>
        </w:tc>
      </w:tr>
      <w:tr w:rsidR="00C0466A" w:rsidRPr="00C05B8E" w14:paraId="34B7A4E1" w14:textId="77777777" w:rsidTr="001B518C">
        <w:tc>
          <w:tcPr>
            <w:tcW w:w="985" w:type="dxa"/>
          </w:tcPr>
          <w:p w14:paraId="7AA69A86"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648307C7"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Coffee Table</w:t>
            </w:r>
          </w:p>
        </w:tc>
        <w:tc>
          <w:tcPr>
            <w:tcW w:w="4405" w:type="dxa"/>
          </w:tcPr>
          <w:p w14:paraId="11CE5C4D"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1 Plate Gas Stove</w:t>
            </w:r>
          </w:p>
        </w:tc>
      </w:tr>
      <w:tr w:rsidR="00C0466A" w:rsidRPr="00C05B8E" w14:paraId="2AFF9914" w14:textId="77777777" w:rsidTr="001B518C">
        <w:tc>
          <w:tcPr>
            <w:tcW w:w="985" w:type="dxa"/>
          </w:tcPr>
          <w:p w14:paraId="043D1A58"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372843D6"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Tool Shed contents- half share</w:t>
            </w:r>
          </w:p>
        </w:tc>
        <w:tc>
          <w:tcPr>
            <w:tcW w:w="4405" w:type="dxa"/>
          </w:tcPr>
          <w:p w14:paraId="1EBF467B" w14:textId="77777777" w:rsidR="00C0466A" w:rsidRPr="00C05B8E" w:rsidRDefault="00C0466A" w:rsidP="00B57229">
            <w:pPr>
              <w:spacing w:line="360" w:lineRule="auto"/>
              <w:jc w:val="both"/>
              <w:rPr>
                <w:rFonts w:ascii="Times New Roman" w:hAnsi="Times New Roman" w:cs="Times New Roman"/>
                <w:sz w:val="24"/>
                <w:szCs w:val="24"/>
              </w:rPr>
            </w:pPr>
          </w:p>
        </w:tc>
      </w:tr>
      <w:tr w:rsidR="00C0466A" w:rsidRPr="00C05B8E" w14:paraId="145D9C15" w14:textId="77777777" w:rsidTr="001B518C">
        <w:trPr>
          <w:trHeight w:val="70"/>
        </w:trPr>
        <w:tc>
          <w:tcPr>
            <w:tcW w:w="985" w:type="dxa"/>
          </w:tcPr>
          <w:p w14:paraId="2AA0572E" w14:textId="77777777" w:rsidR="00C0466A" w:rsidRPr="00C05B8E" w:rsidRDefault="00C0466A" w:rsidP="00B57229">
            <w:pPr>
              <w:pStyle w:val="ListParagraph"/>
              <w:numPr>
                <w:ilvl w:val="0"/>
                <w:numId w:val="10"/>
              </w:numPr>
              <w:spacing w:line="360" w:lineRule="auto"/>
              <w:jc w:val="both"/>
              <w:rPr>
                <w:rFonts w:ascii="Times New Roman" w:hAnsi="Times New Roman" w:cs="Times New Roman"/>
                <w:sz w:val="24"/>
                <w:szCs w:val="24"/>
              </w:rPr>
            </w:pPr>
          </w:p>
        </w:tc>
        <w:tc>
          <w:tcPr>
            <w:tcW w:w="3960" w:type="dxa"/>
          </w:tcPr>
          <w:p w14:paraId="643D3B0D" w14:textId="77777777" w:rsidR="00C0466A" w:rsidRPr="00C05B8E" w:rsidRDefault="00C0466A" w:rsidP="00B57229">
            <w:pPr>
              <w:spacing w:line="360" w:lineRule="auto"/>
              <w:jc w:val="both"/>
              <w:rPr>
                <w:rFonts w:ascii="Times New Roman" w:hAnsi="Times New Roman" w:cs="Times New Roman"/>
                <w:sz w:val="24"/>
                <w:szCs w:val="24"/>
              </w:rPr>
            </w:pPr>
            <w:r w:rsidRPr="00C05B8E">
              <w:rPr>
                <w:rFonts w:ascii="Times New Roman" w:hAnsi="Times New Roman" w:cs="Times New Roman"/>
                <w:sz w:val="24"/>
                <w:szCs w:val="24"/>
              </w:rPr>
              <w:t>Building materials-half share</w:t>
            </w:r>
          </w:p>
        </w:tc>
        <w:tc>
          <w:tcPr>
            <w:tcW w:w="4405" w:type="dxa"/>
          </w:tcPr>
          <w:p w14:paraId="1C0F5C88" w14:textId="77777777" w:rsidR="00C0466A" w:rsidRPr="00C05B8E" w:rsidRDefault="00C0466A" w:rsidP="00B57229">
            <w:pPr>
              <w:spacing w:line="360" w:lineRule="auto"/>
              <w:jc w:val="both"/>
              <w:rPr>
                <w:rFonts w:ascii="Times New Roman" w:hAnsi="Times New Roman" w:cs="Times New Roman"/>
                <w:sz w:val="24"/>
                <w:szCs w:val="24"/>
              </w:rPr>
            </w:pPr>
          </w:p>
        </w:tc>
      </w:tr>
    </w:tbl>
    <w:p w14:paraId="6639A0D3" w14:textId="77777777" w:rsidR="00C0466A" w:rsidRPr="00C05B8E" w:rsidRDefault="00C0466A" w:rsidP="00B57229">
      <w:pPr>
        <w:autoSpaceDE w:val="0"/>
        <w:autoSpaceDN w:val="0"/>
        <w:adjustRightInd w:val="0"/>
        <w:spacing w:after="0" w:line="360" w:lineRule="auto"/>
        <w:jc w:val="both"/>
        <w:rPr>
          <w:rFonts w:ascii="Times New Roman" w:hAnsi="Times New Roman" w:cs="Times New Roman"/>
          <w:sz w:val="24"/>
          <w:szCs w:val="24"/>
        </w:rPr>
      </w:pPr>
    </w:p>
    <w:p w14:paraId="482D099E" w14:textId="6179BD47" w:rsidR="00C0466A" w:rsidRPr="003C4ABC" w:rsidRDefault="00C0466A" w:rsidP="00B57229">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The Plaintiff be and is hereby awarded the following motor vehicles; -</w:t>
      </w:r>
    </w:p>
    <w:p w14:paraId="02D6D828" w14:textId="77777777" w:rsidR="00C0466A" w:rsidRPr="00C05B8E" w:rsidRDefault="00C0466A" w:rsidP="00B57229">
      <w:pPr>
        <w:pStyle w:val="ListParagraph"/>
        <w:numPr>
          <w:ilvl w:val="0"/>
          <w:numId w:val="1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Toyota Ipsum registration number AFC 2454,</w:t>
      </w:r>
    </w:p>
    <w:p w14:paraId="072F1D46" w14:textId="165F2489" w:rsidR="00C0466A" w:rsidRPr="00C05B8E" w:rsidRDefault="00C0466A" w:rsidP="00B57229">
      <w:pPr>
        <w:pStyle w:val="ListParagraph"/>
        <w:numPr>
          <w:ilvl w:val="0"/>
          <w:numId w:val="1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Honda Fit registration number AFC 2455,</w:t>
      </w:r>
      <w:r w:rsidR="003C4ABC">
        <w:rPr>
          <w:rFonts w:ascii="Times New Roman" w:hAnsi="Times New Roman" w:cs="Times New Roman"/>
          <w:sz w:val="24"/>
          <w:szCs w:val="24"/>
        </w:rPr>
        <w:t xml:space="preserve"> </w:t>
      </w:r>
      <w:r w:rsidRPr="00C05B8E">
        <w:rPr>
          <w:rFonts w:ascii="Times New Roman" w:hAnsi="Times New Roman" w:cs="Times New Roman"/>
          <w:sz w:val="24"/>
          <w:szCs w:val="24"/>
        </w:rPr>
        <w:t>and</w:t>
      </w:r>
    </w:p>
    <w:p w14:paraId="3582B663" w14:textId="77777777" w:rsidR="00C0466A" w:rsidRPr="00C05B8E" w:rsidRDefault="00C0466A" w:rsidP="00B57229">
      <w:pPr>
        <w:pStyle w:val="ListParagraph"/>
        <w:numPr>
          <w:ilvl w:val="0"/>
          <w:numId w:val="13"/>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Honda Fit registration number AFC 2456.</w:t>
      </w:r>
    </w:p>
    <w:p w14:paraId="729BC806" w14:textId="77777777" w:rsidR="00C0466A" w:rsidRPr="00C05B8E" w:rsidRDefault="00C0466A" w:rsidP="00B57229">
      <w:pPr>
        <w:pStyle w:val="ListParagraph"/>
        <w:numPr>
          <w:ilvl w:val="0"/>
          <w:numId w:val="9"/>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lastRenderedPageBreak/>
        <w:t>The Defendant be and is hereby awarded a VW Polo registration number</w:t>
      </w:r>
      <w:r w:rsidR="00B925F2" w:rsidRPr="00C05B8E">
        <w:rPr>
          <w:rFonts w:ascii="Times New Roman" w:hAnsi="Times New Roman" w:cs="Times New Roman"/>
          <w:sz w:val="24"/>
          <w:szCs w:val="24"/>
        </w:rPr>
        <w:t xml:space="preserve"> AEI 9308.</w:t>
      </w:r>
    </w:p>
    <w:p w14:paraId="5D557774" w14:textId="77777777" w:rsidR="00B925F2" w:rsidRPr="00C05B8E" w:rsidRDefault="00B925F2" w:rsidP="00B57229">
      <w:pPr>
        <w:pStyle w:val="ListParagraph"/>
        <w:numPr>
          <w:ilvl w:val="0"/>
          <w:numId w:val="9"/>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The Plaintiff be and is hereby awarded Stand No. 916 Borrowdale Township of Lot 4 of Chimwemwe of Subdivision A of Kingsmead Extension of Borrowdale Estate measuring 2000 square metres.</w:t>
      </w:r>
    </w:p>
    <w:p w14:paraId="32D47EEC" w14:textId="0D6A9031" w:rsidR="00B925F2" w:rsidRPr="00C05B8E" w:rsidRDefault="00B925F2" w:rsidP="00B57229">
      <w:pPr>
        <w:pStyle w:val="ListParagraph"/>
        <w:numPr>
          <w:ilvl w:val="0"/>
          <w:numId w:val="9"/>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 xml:space="preserve">The </w:t>
      </w:r>
      <w:r w:rsidR="00EF15E4">
        <w:rPr>
          <w:rFonts w:ascii="Times New Roman" w:hAnsi="Times New Roman" w:cs="Times New Roman"/>
          <w:sz w:val="24"/>
          <w:szCs w:val="24"/>
        </w:rPr>
        <w:t>defendant be and is hereby awarded the R</w:t>
      </w:r>
      <w:r w:rsidRPr="00C05B8E">
        <w:rPr>
          <w:rFonts w:ascii="Times New Roman" w:hAnsi="Times New Roman" w:cs="Times New Roman"/>
          <w:sz w:val="24"/>
          <w:szCs w:val="24"/>
        </w:rPr>
        <w:t>emaining extent of Lot 4 of Chimwemwe of Subdivision A of Kingsmead Extension of Borrowdale Estate measuring 2212 square metres.</w:t>
      </w:r>
    </w:p>
    <w:p w14:paraId="1D15FF26" w14:textId="77777777" w:rsidR="00B925F2" w:rsidRPr="00C05B8E" w:rsidRDefault="00B925F2" w:rsidP="00B57229">
      <w:pPr>
        <w:pStyle w:val="ListParagraph"/>
        <w:numPr>
          <w:ilvl w:val="0"/>
          <w:numId w:val="9"/>
        </w:numPr>
        <w:spacing w:after="0" w:line="360" w:lineRule="auto"/>
        <w:jc w:val="both"/>
        <w:rPr>
          <w:rFonts w:ascii="Times New Roman" w:hAnsi="Times New Roman" w:cs="Times New Roman"/>
          <w:sz w:val="24"/>
          <w:szCs w:val="24"/>
        </w:rPr>
      </w:pPr>
      <w:r w:rsidRPr="00C05B8E">
        <w:rPr>
          <w:rFonts w:ascii="Times New Roman" w:hAnsi="Times New Roman" w:cs="Times New Roman"/>
          <w:sz w:val="24"/>
          <w:szCs w:val="24"/>
        </w:rPr>
        <w:t>Each party bears its own costs.</w:t>
      </w:r>
    </w:p>
    <w:p w14:paraId="6FEA1F5B" w14:textId="77777777" w:rsidR="00C0466A" w:rsidRPr="00C05B8E" w:rsidRDefault="00C0466A" w:rsidP="00B57229">
      <w:pPr>
        <w:pStyle w:val="ListParagraph"/>
        <w:autoSpaceDE w:val="0"/>
        <w:autoSpaceDN w:val="0"/>
        <w:adjustRightInd w:val="0"/>
        <w:spacing w:after="0" w:line="360" w:lineRule="auto"/>
        <w:ind w:left="420"/>
        <w:jc w:val="both"/>
        <w:rPr>
          <w:rFonts w:ascii="Times New Roman" w:hAnsi="Times New Roman" w:cs="Times New Roman"/>
          <w:sz w:val="24"/>
          <w:szCs w:val="24"/>
        </w:rPr>
      </w:pPr>
    </w:p>
    <w:p w14:paraId="03C1DC00" w14:textId="77777777" w:rsidR="00DF6358" w:rsidRDefault="00DF6358" w:rsidP="00B57229">
      <w:pPr>
        <w:autoSpaceDE w:val="0"/>
        <w:autoSpaceDN w:val="0"/>
        <w:adjustRightInd w:val="0"/>
        <w:spacing w:after="0" w:line="360" w:lineRule="auto"/>
        <w:jc w:val="both"/>
        <w:rPr>
          <w:rFonts w:ascii="Times New Roman" w:hAnsi="Times New Roman" w:cs="Times New Roman"/>
          <w:sz w:val="24"/>
          <w:szCs w:val="24"/>
        </w:rPr>
      </w:pPr>
    </w:p>
    <w:p w14:paraId="2BE7512D" w14:textId="77777777" w:rsidR="00D7380B" w:rsidRDefault="00D7380B" w:rsidP="00B57229">
      <w:pPr>
        <w:autoSpaceDE w:val="0"/>
        <w:autoSpaceDN w:val="0"/>
        <w:adjustRightInd w:val="0"/>
        <w:spacing w:after="0" w:line="360" w:lineRule="auto"/>
        <w:jc w:val="both"/>
        <w:rPr>
          <w:rFonts w:ascii="Times New Roman" w:hAnsi="Times New Roman" w:cs="Times New Roman"/>
          <w:sz w:val="24"/>
          <w:szCs w:val="24"/>
        </w:rPr>
      </w:pPr>
    </w:p>
    <w:p w14:paraId="5126CAC4" w14:textId="77777777" w:rsidR="003C4ABC" w:rsidRPr="00C05B8E" w:rsidRDefault="003C4ABC" w:rsidP="00B57229">
      <w:pPr>
        <w:autoSpaceDE w:val="0"/>
        <w:autoSpaceDN w:val="0"/>
        <w:adjustRightInd w:val="0"/>
        <w:spacing w:after="0" w:line="360" w:lineRule="auto"/>
        <w:jc w:val="both"/>
        <w:rPr>
          <w:rFonts w:ascii="Times New Roman" w:hAnsi="Times New Roman" w:cs="Times New Roman"/>
          <w:sz w:val="24"/>
          <w:szCs w:val="24"/>
        </w:rPr>
      </w:pPr>
    </w:p>
    <w:p w14:paraId="3F219BE1" w14:textId="55F17CD5" w:rsidR="00C05B8E" w:rsidRDefault="00C05B8E" w:rsidP="00B57229">
      <w:pPr>
        <w:pStyle w:val="NormalWeb"/>
        <w:spacing w:before="0" w:beforeAutospacing="0" w:after="0" w:afterAutospacing="0"/>
        <w:jc w:val="both"/>
      </w:pPr>
      <w:r w:rsidRPr="00C05B8E">
        <w:rPr>
          <w:i/>
        </w:rPr>
        <w:t>Gill, Godlonton &amp; Gerrans,</w:t>
      </w:r>
      <w:r>
        <w:t xml:space="preserve"> </w:t>
      </w:r>
      <w:r w:rsidR="003C4ABC">
        <w:t>p</w:t>
      </w:r>
      <w:r>
        <w:t xml:space="preserve">laintiff’s </w:t>
      </w:r>
      <w:r w:rsidR="003C4ABC">
        <w:t>l</w:t>
      </w:r>
      <w:r>
        <w:t xml:space="preserve">egal </w:t>
      </w:r>
      <w:r w:rsidR="003C4ABC">
        <w:t>p</w:t>
      </w:r>
      <w:r>
        <w:t>ractitioners</w:t>
      </w:r>
    </w:p>
    <w:p w14:paraId="0765E334" w14:textId="2C4ED09F" w:rsidR="00E87399" w:rsidRPr="00C05B8E" w:rsidRDefault="00C05B8E" w:rsidP="00B57229">
      <w:pPr>
        <w:pStyle w:val="NormalWeb"/>
        <w:spacing w:before="0" w:beforeAutospacing="0" w:after="0" w:afterAutospacing="0"/>
        <w:jc w:val="both"/>
      </w:pPr>
      <w:r w:rsidRPr="00C05B8E">
        <w:rPr>
          <w:i/>
        </w:rPr>
        <w:t>Sinyoro &amp; Partners,</w:t>
      </w:r>
      <w:r>
        <w:t xml:space="preserve"> </w:t>
      </w:r>
      <w:r w:rsidR="003C4ABC">
        <w:t>d</w:t>
      </w:r>
      <w:r>
        <w:t xml:space="preserve">efendant’s </w:t>
      </w:r>
      <w:r w:rsidR="003C4ABC">
        <w:t>l</w:t>
      </w:r>
      <w:r>
        <w:t xml:space="preserve">egal </w:t>
      </w:r>
      <w:r w:rsidR="003C4ABC">
        <w:t>p</w:t>
      </w:r>
      <w:r>
        <w:t xml:space="preserve">ractitioners </w:t>
      </w:r>
    </w:p>
    <w:p w14:paraId="6AC9FAE9" w14:textId="77777777" w:rsidR="00A44F6D" w:rsidRPr="00C05B8E" w:rsidRDefault="00A44F6D" w:rsidP="00B57229">
      <w:pPr>
        <w:spacing w:after="0" w:line="360" w:lineRule="auto"/>
        <w:jc w:val="both"/>
        <w:rPr>
          <w:rFonts w:ascii="Times New Roman" w:hAnsi="Times New Roman" w:cs="Times New Roman"/>
          <w:sz w:val="24"/>
          <w:szCs w:val="24"/>
        </w:rPr>
      </w:pPr>
    </w:p>
    <w:p w14:paraId="61AB9F40" w14:textId="77777777" w:rsidR="00A44F6D" w:rsidRPr="00C05B8E" w:rsidRDefault="00A44F6D" w:rsidP="00B57229">
      <w:pPr>
        <w:spacing w:after="0" w:line="360" w:lineRule="auto"/>
        <w:jc w:val="both"/>
        <w:rPr>
          <w:rFonts w:ascii="Times New Roman" w:hAnsi="Times New Roman" w:cs="Times New Roman"/>
          <w:sz w:val="24"/>
          <w:szCs w:val="24"/>
        </w:rPr>
      </w:pPr>
    </w:p>
    <w:p w14:paraId="10093597" w14:textId="77777777" w:rsidR="00A44F6D" w:rsidRPr="00C05B8E" w:rsidRDefault="00A44F6D" w:rsidP="00B57229">
      <w:pPr>
        <w:spacing w:after="0" w:line="360" w:lineRule="auto"/>
        <w:jc w:val="both"/>
        <w:rPr>
          <w:rFonts w:ascii="Times New Roman" w:hAnsi="Times New Roman" w:cs="Times New Roman"/>
          <w:sz w:val="24"/>
          <w:szCs w:val="24"/>
        </w:rPr>
      </w:pPr>
    </w:p>
    <w:p w14:paraId="4C59A571" w14:textId="77777777" w:rsidR="00A44F6D" w:rsidRPr="00C05B8E" w:rsidRDefault="00A44F6D" w:rsidP="00B57229">
      <w:pPr>
        <w:spacing w:after="0" w:line="360" w:lineRule="auto"/>
        <w:jc w:val="both"/>
        <w:rPr>
          <w:rFonts w:ascii="Times New Roman" w:hAnsi="Times New Roman" w:cs="Times New Roman"/>
          <w:sz w:val="24"/>
          <w:szCs w:val="24"/>
        </w:rPr>
      </w:pPr>
    </w:p>
    <w:p w14:paraId="262CB3BF" w14:textId="77777777" w:rsidR="00A44F6D" w:rsidRPr="00C05B8E" w:rsidRDefault="00A44F6D" w:rsidP="00B57229">
      <w:pPr>
        <w:spacing w:after="0" w:line="360" w:lineRule="auto"/>
        <w:jc w:val="both"/>
        <w:rPr>
          <w:rFonts w:ascii="Times New Roman" w:hAnsi="Times New Roman" w:cs="Times New Roman"/>
          <w:sz w:val="24"/>
          <w:szCs w:val="24"/>
        </w:rPr>
      </w:pPr>
    </w:p>
    <w:p w14:paraId="1BF87C1B" w14:textId="77777777" w:rsidR="00871D97" w:rsidRPr="00C05B8E" w:rsidRDefault="00871D97" w:rsidP="00B57229">
      <w:pPr>
        <w:spacing w:after="0" w:line="360" w:lineRule="auto"/>
        <w:jc w:val="both"/>
        <w:rPr>
          <w:rFonts w:ascii="Times New Roman" w:hAnsi="Times New Roman" w:cs="Times New Roman"/>
          <w:sz w:val="24"/>
          <w:szCs w:val="24"/>
        </w:rPr>
      </w:pPr>
    </w:p>
    <w:sectPr w:rsidR="00871D97" w:rsidRPr="00C05B8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17F65" w14:textId="77777777" w:rsidR="00F351E9" w:rsidRDefault="00F351E9" w:rsidP="00E87399">
      <w:pPr>
        <w:spacing w:after="0" w:line="240" w:lineRule="auto"/>
      </w:pPr>
      <w:r>
        <w:separator/>
      </w:r>
    </w:p>
  </w:endnote>
  <w:endnote w:type="continuationSeparator" w:id="0">
    <w:p w14:paraId="15C0774D" w14:textId="77777777" w:rsidR="00F351E9" w:rsidRDefault="00F351E9" w:rsidP="00E8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A53E2" w14:textId="77777777" w:rsidR="00F351E9" w:rsidRDefault="00F351E9" w:rsidP="00E87399">
      <w:pPr>
        <w:spacing w:after="0" w:line="240" w:lineRule="auto"/>
      </w:pPr>
      <w:r>
        <w:separator/>
      </w:r>
    </w:p>
  </w:footnote>
  <w:footnote w:type="continuationSeparator" w:id="0">
    <w:p w14:paraId="5EE13BF6" w14:textId="77777777" w:rsidR="00F351E9" w:rsidRDefault="00F351E9" w:rsidP="00E87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039403"/>
      <w:docPartObj>
        <w:docPartGallery w:val="Page Numbers (Top of Page)"/>
        <w:docPartUnique/>
      </w:docPartObj>
    </w:sdtPr>
    <w:sdtEndPr>
      <w:rPr>
        <w:noProof/>
      </w:rPr>
    </w:sdtEndPr>
    <w:sdtContent>
      <w:p w14:paraId="7D1C6372" w14:textId="2CB7AD6C" w:rsidR="00C73572" w:rsidRDefault="00C73572">
        <w:pPr>
          <w:pStyle w:val="Header"/>
          <w:jc w:val="right"/>
          <w:rPr>
            <w:noProof/>
          </w:rPr>
        </w:pPr>
        <w:r>
          <w:fldChar w:fldCharType="begin"/>
        </w:r>
        <w:r>
          <w:instrText xml:space="preserve"> PAGE   \* MERGEFORMAT </w:instrText>
        </w:r>
        <w:r>
          <w:fldChar w:fldCharType="separate"/>
        </w:r>
        <w:r w:rsidR="00A22CD2">
          <w:rPr>
            <w:noProof/>
          </w:rPr>
          <w:t>1</w:t>
        </w:r>
        <w:r>
          <w:rPr>
            <w:noProof/>
          </w:rPr>
          <w:fldChar w:fldCharType="end"/>
        </w:r>
      </w:p>
      <w:p w14:paraId="0CFAA6AA" w14:textId="5601BD8E" w:rsidR="00447ECE" w:rsidRDefault="00447ECE">
        <w:pPr>
          <w:pStyle w:val="Header"/>
          <w:jc w:val="right"/>
          <w:rPr>
            <w:noProof/>
          </w:rPr>
        </w:pPr>
        <w:r>
          <w:rPr>
            <w:noProof/>
          </w:rPr>
          <w:t>HH 495-23</w:t>
        </w:r>
      </w:p>
      <w:p w14:paraId="7E319ED0" w14:textId="2BE13C31" w:rsidR="00C73572" w:rsidRDefault="00C73572">
        <w:pPr>
          <w:pStyle w:val="Header"/>
          <w:jc w:val="right"/>
        </w:pPr>
        <w:r>
          <w:rPr>
            <w:noProof/>
          </w:rPr>
          <w:t>HC 5260-21</w:t>
        </w:r>
      </w:p>
    </w:sdtContent>
  </w:sdt>
  <w:p w14:paraId="73B26A90" w14:textId="77777777" w:rsidR="00C73572" w:rsidRDefault="00C735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15C34"/>
    <w:multiLevelType w:val="hybridMultilevel"/>
    <w:tmpl w:val="F7D2BBE0"/>
    <w:lvl w:ilvl="0" w:tplc="7DBC0B40">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720C13"/>
    <w:multiLevelType w:val="hybridMultilevel"/>
    <w:tmpl w:val="B26A2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824170"/>
    <w:multiLevelType w:val="hybridMultilevel"/>
    <w:tmpl w:val="AFB4260E"/>
    <w:lvl w:ilvl="0" w:tplc="03B6D7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26BD0"/>
    <w:multiLevelType w:val="hybridMultilevel"/>
    <w:tmpl w:val="ACBC3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A3647"/>
    <w:multiLevelType w:val="hybridMultilevel"/>
    <w:tmpl w:val="B26A2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E2A8D"/>
    <w:multiLevelType w:val="hybridMultilevel"/>
    <w:tmpl w:val="03A29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12FC4"/>
    <w:multiLevelType w:val="hybridMultilevel"/>
    <w:tmpl w:val="B26A2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6D7D22"/>
    <w:multiLevelType w:val="hybridMultilevel"/>
    <w:tmpl w:val="934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267CA"/>
    <w:multiLevelType w:val="hybridMultilevel"/>
    <w:tmpl w:val="3AB492F4"/>
    <w:lvl w:ilvl="0" w:tplc="4F5A86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434C0DAE"/>
    <w:multiLevelType w:val="hybridMultilevel"/>
    <w:tmpl w:val="0546984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30A67"/>
    <w:multiLevelType w:val="hybridMultilevel"/>
    <w:tmpl w:val="934E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9B3C9E"/>
    <w:multiLevelType w:val="hybridMultilevel"/>
    <w:tmpl w:val="E2CC7248"/>
    <w:lvl w:ilvl="0" w:tplc="98F6A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64637B5"/>
    <w:multiLevelType w:val="hybridMultilevel"/>
    <w:tmpl w:val="9E78F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6"/>
  </w:num>
  <w:num w:numId="3">
    <w:abstractNumId w:val="5"/>
  </w:num>
  <w:num w:numId="4">
    <w:abstractNumId w:val="7"/>
  </w:num>
  <w:num w:numId="5">
    <w:abstractNumId w:val="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0"/>
  </w:num>
  <w:num w:numId="9">
    <w:abstractNumId w:val="8"/>
  </w:num>
  <w:num w:numId="10">
    <w:abstractNumId w:val="10"/>
  </w:num>
  <w:num w:numId="11">
    <w:abstractNumId w:val="4"/>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210"/>
    <w:rsid w:val="00053507"/>
    <w:rsid w:val="000551A1"/>
    <w:rsid w:val="0007462F"/>
    <w:rsid w:val="000774E8"/>
    <w:rsid w:val="000D6482"/>
    <w:rsid w:val="000E49AD"/>
    <w:rsid w:val="000E7C3E"/>
    <w:rsid w:val="00180C6E"/>
    <w:rsid w:val="001F35D5"/>
    <w:rsid w:val="002057FD"/>
    <w:rsid w:val="002141E8"/>
    <w:rsid w:val="002478B2"/>
    <w:rsid w:val="00251EFA"/>
    <w:rsid w:val="0026147B"/>
    <w:rsid w:val="00266384"/>
    <w:rsid w:val="00272B2E"/>
    <w:rsid w:val="002C64E5"/>
    <w:rsid w:val="00300526"/>
    <w:rsid w:val="00347077"/>
    <w:rsid w:val="0035735F"/>
    <w:rsid w:val="003635F7"/>
    <w:rsid w:val="00377A5B"/>
    <w:rsid w:val="00390E8A"/>
    <w:rsid w:val="00396644"/>
    <w:rsid w:val="003C4ABC"/>
    <w:rsid w:val="003D3D8E"/>
    <w:rsid w:val="004278CD"/>
    <w:rsid w:val="00432394"/>
    <w:rsid w:val="0044192F"/>
    <w:rsid w:val="00447ECE"/>
    <w:rsid w:val="00452285"/>
    <w:rsid w:val="004906E6"/>
    <w:rsid w:val="004E2007"/>
    <w:rsid w:val="004F23AB"/>
    <w:rsid w:val="00506656"/>
    <w:rsid w:val="00513486"/>
    <w:rsid w:val="00517666"/>
    <w:rsid w:val="00526B46"/>
    <w:rsid w:val="00592DA4"/>
    <w:rsid w:val="00602761"/>
    <w:rsid w:val="0062497C"/>
    <w:rsid w:val="00634661"/>
    <w:rsid w:val="00653B59"/>
    <w:rsid w:val="006C2F9D"/>
    <w:rsid w:val="006C32E5"/>
    <w:rsid w:val="006C45C5"/>
    <w:rsid w:val="006E59BC"/>
    <w:rsid w:val="006F2AD7"/>
    <w:rsid w:val="0070137E"/>
    <w:rsid w:val="00703327"/>
    <w:rsid w:val="00774CB1"/>
    <w:rsid w:val="00795373"/>
    <w:rsid w:val="007B28DF"/>
    <w:rsid w:val="007D7C5C"/>
    <w:rsid w:val="007F2282"/>
    <w:rsid w:val="00802960"/>
    <w:rsid w:val="008106DB"/>
    <w:rsid w:val="00830D9C"/>
    <w:rsid w:val="0083133C"/>
    <w:rsid w:val="008511CC"/>
    <w:rsid w:val="008656C5"/>
    <w:rsid w:val="00871D97"/>
    <w:rsid w:val="008D0C8E"/>
    <w:rsid w:val="008D5223"/>
    <w:rsid w:val="008F5A4F"/>
    <w:rsid w:val="008F728E"/>
    <w:rsid w:val="009055CD"/>
    <w:rsid w:val="0092689E"/>
    <w:rsid w:val="009276CF"/>
    <w:rsid w:val="00934549"/>
    <w:rsid w:val="00941EFF"/>
    <w:rsid w:val="00951887"/>
    <w:rsid w:val="009A696B"/>
    <w:rsid w:val="009E1BEA"/>
    <w:rsid w:val="00A154DF"/>
    <w:rsid w:val="00A22CD2"/>
    <w:rsid w:val="00A242A1"/>
    <w:rsid w:val="00A32C98"/>
    <w:rsid w:val="00A35736"/>
    <w:rsid w:val="00A40CF7"/>
    <w:rsid w:val="00A40DDC"/>
    <w:rsid w:val="00A44F6D"/>
    <w:rsid w:val="00A57A82"/>
    <w:rsid w:val="00A75105"/>
    <w:rsid w:val="00AB1203"/>
    <w:rsid w:val="00AC1DB1"/>
    <w:rsid w:val="00B332FE"/>
    <w:rsid w:val="00B41267"/>
    <w:rsid w:val="00B41C16"/>
    <w:rsid w:val="00B4368E"/>
    <w:rsid w:val="00B51029"/>
    <w:rsid w:val="00B57229"/>
    <w:rsid w:val="00B62013"/>
    <w:rsid w:val="00B656F2"/>
    <w:rsid w:val="00B7561E"/>
    <w:rsid w:val="00B925F2"/>
    <w:rsid w:val="00BB2382"/>
    <w:rsid w:val="00BB5A48"/>
    <w:rsid w:val="00BC0517"/>
    <w:rsid w:val="00BD4F5B"/>
    <w:rsid w:val="00BE1C42"/>
    <w:rsid w:val="00C00E29"/>
    <w:rsid w:val="00C0466A"/>
    <w:rsid w:val="00C05B8E"/>
    <w:rsid w:val="00C11621"/>
    <w:rsid w:val="00C36D55"/>
    <w:rsid w:val="00C4398D"/>
    <w:rsid w:val="00C456EE"/>
    <w:rsid w:val="00C45D08"/>
    <w:rsid w:val="00C67E93"/>
    <w:rsid w:val="00C73572"/>
    <w:rsid w:val="00C77116"/>
    <w:rsid w:val="00D06C0A"/>
    <w:rsid w:val="00D10EB2"/>
    <w:rsid w:val="00D318D2"/>
    <w:rsid w:val="00D43453"/>
    <w:rsid w:val="00D471D0"/>
    <w:rsid w:val="00D7380B"/>
    <w:rsid w:val="00D8326C"/>
    <w:rsid w:val="00DA4E89"/>
    <w:rsid w:val="00DA7A63"/>
    <w:rsid w:val="00DA7AFF"/>
    <w:rsid w:val="00DB0210"/>
    <w:rsid w:val="00DC5746"/>
    <w:rsid w:val="00DE1D56"/>
    <w:rsid w:val="00DF6358"/>
    <w:rsid w:val="00E04DC3"/>
    <w:rsid w:val="00E15C3D"/>
    <w:rsid w:val="00E762E3"/>
    <w:rsid w:val="00E800B9"/>
    <w:rsid w:val="00E87399"/>
    <w:rsid w:val="00EF15E4"/>
    <w:rsid w:val="00EF3367"/>
    <w:rsid w:val="00F2155D"/>
    <w:rsid w:val="00F332E5"/>
    <w:rsid w:val="00F351E9"/>
    <w:rsid w:val="00F35DDF"/>
    <w:rsid w:val="00F53796"/>
    <w:rsid w:val="00F74303"/>
    <w:rsid w:val="00F81968"/>
    <w:rsid w:val="00FE2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FD149"/>
  <w15:chartTrackingRefBased/>
  <w15:docId w15:val="{E54C1B50-1773-47F3-81CC-8C790654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210"/>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5373"/>
    <w:pPr>
      <w:ind w:left="720"/>
      <w:contextualSpacing/>
    </w:pPr>
  </w:style>
  <w:style w:type="table" w:styleId="TableGrid">
    <w:name w:val="Table Grid"/>
    <w:basedOn w:val="TableNormal"/>
    <w:uiPriority w:val="39"/>
    <w:rsid w:val="00A24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7A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7A63"/>
    <w:rPr>
      <w:i/>
      <w:iCs/>
    </w:rPr>
  </w:style>
  <w:style w:type="paragraph" w:styleId="FootnoteText">
    <w:name w:val="footnote text"/>
    <w:basedOn w:val="Normal"/>
    <w:link w:val="FootnoteTextChar"/>
    <w:uiPriority w:val="99"/>
    <w:semiHidden/>
    <w:unhideWhenUsed/>
    <w:rsid w:val="00E87399"/>
    <w:pPr>
      <w:spacing w:after="0" w:line="240" w:lineRule="auto"/>
    </w:pPr>
    <w:rPr>
      <w:rFonts w:ascii="Times New Roman" w:hAnsi="Times New Roman" w:cs="Times New Roman"/>
      <w:sz w:val="20"/>
      <w:szCs w:val="20"/>
      <w:lang w:val="en-ZW"/>
    </w:rPr>
  </w:style>
  <w:style w:type="character" w:customStyle="1" w:styleId="FootnoteTextChar">
    <w:name w:val="Footnote Text Char"/>
    <w:basedOn w:val="DefaultParagraphFont"/>
    <w:link w:val="FootnoteText"/>
    <w:uiPriority w:val="99"/>
    <w:semiHidden/>
    <w:rsid w:val="00E87399"/>
    <w:rPr>
      <w:rFonts w:ascii="Times New Roman" w:hAnsi="Times New Roman" w:cs="Times New Roman"/>
      <w:sz w:val="20"/>
      <w:szCs w:val="20"/>
      <w:lang w:val="en-ZW"/>
    </w:rPr>
  </w:style>
  <w:style w:type="character" w:styleId="FootnoteReference">
    <w:name w:val="footnote reference"/>
    <w:basedOn w:val="DefaultParagraphFont"/>
    <w:uiPriority w:val="99"/>
    <w:semiHidden/>
    <w:unhideWhenUsed/>
    <w:rsid w:val="00E87399"/>
    <w:rPr>
      <w:vertAlign w:val="superscript"/>
    </w:rPr>
  </w:style>
  <w:style w:type="paragraph" w:styleId="Header">
    <w:name w:val="header"/>
    <w:basedOn w:val="Normal"/>
    <w:link w:val="HeaderChar"/>
    <w:uiPriority w:val="99"/>
    <w:unhideWhenUsed/>
    <w:rsid w:val="00B41C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C16"/>
  </w:style>
  <w:style w:type="paragraph" w:styleId="Footer">
    <w:name w:val="footer"/>
    <w:basedOn w:val="Normal"/>
    <w:link w:val="FooterChar"/>
    <w:uiPriority w:val="99"/>
    <w:unhideWhenUsed/>
    <w:rsid w:val="00B41C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C16"/>
  </w:style>
  <w:style w:type="paragraph" w:styleId="BalloonText">
    <w:name w:val="Balloon Text"/>
    <w:basedOn w:val="Normal"/>
    <w:link w:val="BalloonTextChar"/>
    <w:uiPriority w:val="99"/>
    <w:semiHidden/>
    <w:unhideWhenUsed/>
    <w:rsid w:val="00447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7E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046701">
      <w:bodyDiv w:val="1"/>
      <w:marLeft w:val="0"/>
      <w:marRight w:val="0"/>
      <w:marTop w:val="0"/>
      <w:marBottom w:val="0"/>
      <w:divBdr>
        <w:top w:val="none" w:sz="0" w:space="0" w:color="auto"/>
        <w:left w:val="none" w:sz="0" w:space="0" w:color="auto"/>
        <w:bottom w:val="none" w:sz="0" w:space="0" w:color="auto"/>
        <w:right w:val="none" w:sz="0" w:space="0" w:color="auto"/>
      </w:divBdr>
    </w:div>
    <w:div w:id="1103722588">
      <w:bodyDiv w:val="1"/>
      <w:marLeft w:val="0"/>
      <w:marRight w:val="0"/>
      <w:marTop w:val="0"/>
      <w:marBottom w:val="0"/>
      <w:divBdr>
        <w:top w:val="none" w:sz="0" w:space="0" w:color="auto"/>
        <w:left w:val="none" w:sz="0" w:space="0" w:color="auto"/>
        <w:bottom w:val="none" w:sz="0" w:space="0" w:color="auto"/>
        <w:right w:val="none" w:sz="0" w:space="0" w:color="auto"/>
      </w:divBdr>
    </w:div>
    <w:div w:id="112246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4442</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2023-08-21T11:10:00Z</cp:lastPrinted>
  <dcterms:created xsi:type="dcterms:W3CDTF">2023-09-01T08:59:00Z</dcterms:created>
  <dcterms:modified xsi:type="dcterms:W3CDTF">2023-09-01T08:59:00Z</dcterms:modified>
</cp:coreProperties>
</file>