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FF1" w:rsidRPr="00047C13" w:rsidRDefault="00E44FF1" w:rsidP="00E44FF1">
      <w:pPr>
        <w:spacing w:line="360" w:lineRule="auto"/>
        <w:jc w:val="both"/>
        <w:rPr>
          <w:b/>
        </w:rPr>
      </w:pPr>
      <w:r w:rsidRPr="00047C13">
        <w:rPr>
          <w:b/>
        </w:rPr>
        <w:t>IN T</w:t>
      </w:r>
      <w:r>
        <w:rPr>
          <w:b/>
        </w:rPr>
        <w:t>HE LABOUR COURT OF ZIMBABWE      JUDGMENT NO. LC/H/</w:t>
      </w:r>
      <w:r w:rsidR="006E26F9">
        <w:rPr>
          <w:b/>
        </w:rPr>
        <w:t>740</w:t>
      </w:r>
      <w:r>
        <w:rPr>
          <w:b/>
        </w:rPr>
        <w:t>/2014</w:t>
      </w:r>
    </w:p>
    <w:p w:rsidR="00E44FF1" w:rsidRDefault="00E44FF1" w:rsidP="00E44FF1">
      <w:pPr>
        <w:spacing w:line="360" w:lineRule="auto"/>
        <w:jc w:val="both"/>
        <w:rPr>
          <w:b/>
        </w:rPr>
      </w:pPr>
      <w:r w:rsidRPr="00047C13">
        <w:rPr>
          <w:b/>
        </w:rPr>
        <w:t>HARARE,</w:t>
      </w:r>
      <w:r>
        <w:rPr>
          <w:b/>
        </w:rPr>
        <w:t xml:space="preserve"> 14 OCTOBER 2014</w:t>
      </w:r>
      <w:r w:rsidRPr="00047C13">
        <w:rPr>
          <w:b/>
        </w:rPr>
        <w:tab/>
      </w:r>
      <w:r>
        <w:rPr>
          <w:b/>
        </w:rPr>
        <w:tab/>
      </w:r>
      <w:r>
        <w:rPr>
          <w:b/>
        </w:rPr>
        <w:tab/>
        <w:t xml:space="preserve"> </w:t>
      </w:r>
      <w:r w:rsidR="006F565E">
        <w:rPr>
          <w:b/>
        </w:rPr>
        <w:t xml:space="preserve">             </w:t>
      </w:r>
      <w:r w:rsidR="006E26F9">
        <w:rPr>
          <w:b/>
        </w:rPr>
        <w:t xml:space="preserve">   </w:t>
      </w:r>
      <w:r w:rsidR="00764039">
        <w:rPr>
          <w:b/>
        </w:rPr>
        <w:t xml:space="preserve"> </w:t>
      </w:r>
      <w:r>
        <w:rPr>
          <w:b/>
        </w:rPr>
        <w:t>CASE NO. LC/H/93/13</w:t>
      </w:r>
      <w:r w:rsidR="006F565E">
        <w:rPr>
          <w:b/>
        </w:rPr>
        <w:t xml:space="preserve"> </w:t>
      </w:r>
    </w:p>
    <w:p w:rsidR="006F565E" w:rsidRDefault="006F565E" w:rsidP="00E44FF1">
      <w:pPr>
        <w:spacing w:line="360" w:lineRule="auto"/>
        <w:jc w:val="both"/>
        <w:rPr>
          <w:b/>
        </w:rPr>
      </w:pPr>
      <w:r>
        <w:rPr>
          <w:b/>
        </w:rPr>
        <w:t>AND 07 NOVEMBER 2014</w:t>
      </w:r>
    </w:p>
    <w:p w:rsidR="00E44FF1" w:rsidRPr="00047C13" w:rsidRDefault="00E44FF1" w:rsidP="00E44FF1">
      <w:pPr>
        <w:spacing w:line="360" w:lineRule="auto"/>
        <w:jc w:val="both"/>
      </w:pPr>
      <w:r w:rsidRPr="00047C13">
        <w:t>In the matter between</w:t>
      </w:r>
      <w:r>
        <w:t>:-</w:t>
      </w:r>
    </w:p>
    <w:p w:rsidR="00E44FF1" w:rsidRPr="00047C13" w:rsidRDefault="00E44FF1" w:rsidP="00E44FF1">
      <w:pPr>
        <w:spacing w:line="360" w:lineRule="auto"/>
        <w:jc w:val="both"/>
      </w:pPr>
    </w:p>
    <w:p w:rsidR="00E44FF1" w:rsidRPr="00047C13" w:rsidRDefault="006E26F9" w:rsidP="00E44FF1">
      <w:pPr>
        <w:spacing w:line="360" w:lineRule="auto"/>
        <w:jc w:val="both"/>
        <w:rPr>
          <w:b/>
        </w:rPr>
      </w:pPr>
      <w:r>
        <w:rPr>
          <w:b/>
        </w:rPr>
        <w:t>FABIAN MAJENA</w:t>
      </w:r>
      <w:r>
        <w:rPr>
          <w:b/>
        </w:rPr>
        <w:tab/>
      </w:r>
      <w:r w:rsidR="00E44FF1">
        <w:rPr>
          <w:b/>
        </w:rPr>
        <w:tab/>
      </w:r>
      <w:r w:rsidR="00E44FF1">
        <w:rPr>
          <w:b/>
        </w:rPr>
        <w:tab/>
      </w:r>
      <w:r w:rsidR="00E44FF1">
        <w:rPr>
          <w:b/>
        </w:rPr>
        <w:tab/>
      </w:r>
      <w:r w:rsidR="00E44FF1">
        <w:rPr>
          <w:b/>
        </w:rPr>
        <w:tab/>
      </w:r>
      <w:r w:rsidR="00E44FF1">
        <w:rPr>
          <w:b/>
        </w:rPr>
        <w:tab/>
      </w:r>
      <w:r w:rsidR="00E44FF1">
        <w:rPr>
          <w:b/>
        </w:rPr>
        <w:tab/>
      </w:r>
      <w:r w:rsidR="00E44FF1">
        <w:rPr>
          <w:b/>
        </w:rPr>
        <w:tab/>
        <w:t>Appellant</w:t>
      </w:r>
    </w:p>
    <w:p w:rsidR="00E44FF1" w:rsidRPr="00047C13" w:rsidRDefault="00E44FF1" w:rsidP="00E44FF1">
      <w:pPr>
        <w:tabs>
          <w:tab w:val="left" w:pos="1995"/>
        </w:tabs>
        <w:spacing w:line="360" w:lineRule="auto"/>
        <w:jc w:val="both"/>
      </w:pPr>
      <w:r w:rsidRPr="00047C13">
        <w:t>And</w:t>
      </w:r>
      <w:r w:rsidRPr="00047C13">
        <w:tab/>
      </w:r>
    </w:p>
    <w:p w:rsidR="00E44FF1" w:rsidRDefault="00E44FF1" w:rsidP="00E44FF1">
      <w:pPr>
        <w:spacing w:line="360" w:lineRule="auto"/>
        <w:jc w:val="both"/>
        <w:rPr>
          <w:b/>
        </w:rPr>
      </w:pPr>
      <w:r>
        <w:rPr>
          <w:b/>
        </w:rPr>
        <w:t>MINISTRY OF TRANSPORT &amp; INFRA</w:t>
      </w:r>
      <w:r w:rsidR="006E26F9">
        <w:rPr>
          <w:b/>
        </w:rPr>
        <w:t>STRUCTURAL</w:t>
      </w:r>
      <w:r>
        <w:rPr>
          <w:b/>
        </w:rPr>
        <w:t xml:space="preserve"> </w:t>
      </w:r>
      <w:r>
        <w:rPr>
          <w:b/>
        </w:rPr>
        <w:tab/>
      </w:r>
      <w:r>
        <w:rPr>
          <w:b/>
        </w:rPr>
        <w:tab/>
        <w:t>Respondent</w:t>
      </w:r>
    </w:p>
    <w:p w:rsidR="00E44FF1" w:rsidRPr="00047C13" w:rsidRDefault="00E44FF1" w:rsidP="00E44FF1">
      <w:pPr>
        <w:spacing w:line="360" w:lineRule="auto"/>
        <w:jc w:val="both"/>
        <w:rPr>
          <w:b/>
        </w:rPr>
      </w:pPr>
      <w:r>
        <w:rPr>
          <w:b/>
        </w:rPr>
        <w:t>DEVELOPMENT</w:t>
      </w:r>
    </w:p>
    <w:p w:rsidR="00E44FF1" w:rsidRPr="00047C13" w:rsidRDefault="00E44FF1" w:rsidP="00E44FF1">
      <w:pPr>
        <w:spacing w:line="360" w:lineRule="auto"/>
        <w:jc w:val="both"/>
        <w:rPr>
          <w:b/>
        </w:rPr>
      </w:pPr>
    </w:p>
    <w:p w:rsidR="00E44FF1" w:rsidRDefault="00E44FF1" w:rsidP="00E44FF1">
      <w:pPr>
        <w:spacing w:line="360" w:lineRule="auto"/>
        <w:jc w:val="both"/>
      </w:pPr>
      <w:r>
        <w:t xml:space="preserve">Before Honourable L. Kudya, Judge                             </w:t>
      </w:r>
    </w:p>
    <w:p w:rsidR="00E44FF1" w:rsidRPr="00047C13" w:rsidRDefault="00E44FF1" w:rsidP="00E44FF1">
      <w:pPr>
        <w:spacing w:line="360" w:lineRule="auto"/>
        <w:jc w:val="both"/>
      </w:pPr>
      <w:r w:rsidRPr="00047C13">
        <w:tab/>
      </w:r>
      <w:r w:rsidRPr="00047C13">
        <w:tab/>
      </w:r>
      <w:r w:rsidRPr="00047C13">
        <w:tab/>
      </w:r>
    </w:p>
    <w:p w:rsidR="00E44FF1" w:rsidRDefault="00E44FF1" w:rsidP="00E44FF1">
      <w:pPr>
        <w:spacing w:line="360" w:lineRule="auto"/>
        <w:ind w:left="2880" w:hanging="2880"/>
        <w:jc w:val="both"/>
        <w:rPr>
          <w:b/>
        </w:rPr>
      </w:pPr>
      <w:r>
        <w:rPr>
          <w:b/>
        </w:rPr>
        <w:t>For Appellant</w:t>
      </w:r>
      <w:r w:rsidRPr="00047C13">
        <w:rPr>
          <w:b/>
        </w:rPr>
        <w:tab/>
      </w:r>
      <w:r w:rsidR="006F565E">
        <w:rPr>
          <w:b/>
        </w:rPr>
        <w:t>M. Ba</w:t>
      </w:r>
      <w:r>
        <w:rPr>
          <w:b/>
        </w:rPr>
        <w:t>era (Legal Practitioner)</w:t>
      </w:r>
    </w:p>
    <w:p w:rsidR="00E44FF1" w:rsidRDefault="00E44FF1" w:rsidP="00E44FF1">
      <w:pPr>
        <w:spacing w:line="360" w:lineRule="auto"/>
        <w:jc w:val="both"/>
        <w:rPr>
          <w:b/>
        </w:rPr>
      </w:pPr>
      <w:r>
        <w:rPr>
          <w:b/>
        </w:rPr>
        <w:t>For Respondent</w:t>
      </w:r>
      <w:r>
        <w:rPr>
          <w:b/>
        </w:rPr>
        <w:tab/>
      </w:r>
      <w:r>
        <w:rPr>
          <w:b/>
        </w:rPr>
        <w:tab/>
        <w:t>S. Chihuri (Law Officer)</w:t>
      </w:r>
    </w:p>
    <w:p w:rsidR="00E44FF1" w:rsidRPr="00047C13" w:rsidRDefault="00E44FF1" w:rsidP="00E44FF1">
      <w:pPr>
        <w:spacing w:line="360" w:lineRule="auto"/>
        <w:jc w:val="both"/>
        <w:rPr>
          <w:b/>
        </w:rPr>
      </w:pPr>
    </w:p>
    <w:p w:rsidR="00E44FF1" w:rsidRDefault="00E44FF1" w:rsidP="00E44FF1">
      <w:pPr>
        <w:spacing w:line="360" w:lineRule="auto"/>
        <w:jc w:val="both"/>
        <w:rPr>
          <w:b/>
        </w:rPr>
      </w:pPr>
      <w:r>
        <w:rPr>
          <w:b/>
        </w:rPr>
        <w:t>KUDYA, J:</w:t>
      </w:r>
    </w:p>
    <w:p w:rsidR="00E44FF1" w:rsidRDefault="00E44FF1" w:rsidP="00CB1A4E">
      <w:pPr>
        <w:spacing w:line="360" w:lineRule="auto"/>
        <w:jc w:val="both"/>
      </w:pPr>
    </w:p>
    <w:p w:rsidR="003C4620" w:rsidRDefault="00E44FF1" w:rsidP="00E44FF1">
      <w:pPr>
        <w:spacing w:line="360" w:lineRule="auto"/>
        <w:jc w:val="both"/>
      </w:pPr>
      <w:r>
        <w:tab/>
        <w:t>This is an appeal against the decision of the respondent’s disciplinary</w:t>
      </w:r>
      <w:r w:rsidR="00C77E99">
        <w:t xml:space="preserve"> authority</w:t>
      </w:r>
      <w:r>
        <w:t xml:space="preserve"> which dismissed appellant following misconduct charges of stealing some number plates and 3</w:t>
      </w:r>
      <w:r w:rsidRPr="00E44FF1">
        <w:rPr>
          <w:vertAlign w:val="superscript"/>
        </w:rPr>
        <w:t>rd</w:t>
      </w:r>
      <w:r>
        <w:t xml:space="preserve"> plates from his workplace in contravention of the Public Service Regulations 2000 as amended.</w:t>
      </w:r>
    </w:p>
    <w:p w:rsidR="00FD1543" w:rsidRDefault="00FD1543" w:rsidP="00CB1A4E">
      <w:pPr>
        <w:jc w:val="both"/>
      </w:pPr>
    </w:p>
    <w:p w:rsidR="00C77E99" w:rsidRDefault="00FD1543" w:rsidP="00E44FF1">
      <w:pPr>
        <w:spacing w:line="360" w:lineRule="auto"/>
        <w:jc w:val="both"/>
      </w:pPr>
      <w:r>
        <w:tab/>
        <w:t xml:space="preserve">The background to the matter </w:t>
      </w:r>
      <w:r w:rsidR="004D0AE5">
        <w:t xml:space="preserve">is that appellant was employed as a clerk in the Ministry of Transport and Infrastructural development based at the Central Vehicle Registry Harare.  Whilst there 25 sets of number plates and 25 </w:t>
      </w:r>
      <w:r w:rsidR="00C77E99">
        <w:t>third</w:t>
      </w:r>
      <w:r w:rsidR="004D0AE5">
        <w:t xml:space="preserve"> plates were said to have gone missing at his workplace.  He was said to have sold these to unsuspecting customers and this led to him being charged with the theft misconduct on 16 November 2012.  </w:t>
      </w:r>
    </w:p>
    <w:p w:rsidR="00C77E99" w:rsidRDefault="00C77E99" w:rsidP="00C77E99">
      <w:pPr>
        <w:jc w:val="both"/>
      </w:pPr>
    </w:p>
    <w:p w:rsidR="00FD1543" w:rsidRDefault="004D0AE5" w:rsidP="00C77E99">
      <w:pPr>
        <w:spacing w:line="360" w:lineRule="auto"/>
        <w:ind w:firstLine="720"/>
        <w:jc w:val="both"/>
      </w:pPr>
      <w:r>
        <w:t xml:space="preserve">A hearing was conducted where one of the buyers of the plates gave evidence.  Following the hearing appellant was found guilty and consequently dismissed from employment.  His dismissal was confirmed by the respondent’s </w:t>
      </w:r>
      <w:r>
        <w:lastRenderedPageBreak/>
        <w:t>disciplinary authority.  Aggrieved by tha</w:t>
      </w:r>
      <w:r w:rsidR="00C77E99">
        <w:t>t confirmation appellant has now</w:t>
      </w:r>
      <w:r>
        <w:t xml:space="preserve"> appealed to the Labour Court against that dismissal.</w:t>
      </w:r>
    </w:p>
    <w:p w:rsidR="004D0AE5" w:rsidRDefault="004D0AE5" w:rsidP="00E44FF1">
      <w:pPr>
        <w:spacing w:line="360" w:lineRule="auto"/>
        <w:jc w:val="both"/>
      </w:pPr>
    </w:p>
    <w:p w:rsidR="006C15DD" w:rsidRDefault="004D0AE5" w:rsidP="00E44FF1">
      <w:pPr>
        <w:spacing w:line="360" w:lineRule="auto"/>
        <w:jc w:val="both"/>
      </w:pPr>
      <w:r>
        <w:tab/>
        <w:t>The appeal grounds which he relies on are the following</w:t>
      </w:r>
      <w:r w:rsidR="006C15DD">
        <w:t>;</w:t>
      </w:r>
    </w:p>
    <w:p w:rsidR="006C15DD" w:rsidRDefault="006C15DD" w:rsidP="00CB1A4E">
      <w:pPr>
        <w:jc w:val="both"/>
      </w:pPr>
    </w:p>
    <w:p w:rsidR="006C15DD" w:rsidRDefault="006C15DD" w:rsidP="006C15DD">
      <w:pPr>
        <w:pStyle w:val="ListParagraph"/>
        <w:numPr>
          <w:ilvl w:val="0"/>
          <w:numId w:val="1"/>
        </w:numPr>
        <w:spacing w:line="360" w:lineRule="auto"/>
        <w:jc w:val="both"/>
      </w:pPr>
      <w:r>
        <w:t xml:space="preserve">Disciplinary authority misdirected itself by finding the appellant guilty of theft when there was no direct evidence linking the appellant to the crime and the facts and the witness’ </w:t>
      </w:r>
      <w:r w:rsidR="00C77E99">
        <w:t>statement</w:t>
      </w:r>
      <w:r>
        <w:t>s were speculative.</w:t>
      </w:r>
    </w:p>
    <w:p w:rsidR="006C15DD" w:rsidRDefault="006C15DD" w:rsidP="006C15DD">
      <w:pPr>
        <w:pStyle w:val="ListParagraph"/>
        <w:numPr>
          <w:ilvl w:val="0"/>
          <w:numId w:val="1"/>
        </w:numPr>
        <w:spacing w:line="360" w:lineRule="auto"/>
        <w:jc w:val="both"/>
      </w:pPr>
      <w:r>
        <w:t xml:space="preserve">Disciplinary Authority erred </w:t>
      </w:r>
      <w:r w:rsidR="00C77E99">
        <w:t xml:space="preserve">by </w:t>
      </w:r>
      <w:r>
        <w:t>admitting witness</w:t>
      </w:r>
      <w:r w:rsidR="00C77E99">
        <w:t>es’</w:t>
      </w:r>
      <w:r>
        <w:t xml:space="preserve"> statements when the witnesses themselves could not link the appellant to the alleged misconduct and therefore making the charges baseless and unfounded.</w:t>
      </w:r>
    </w:p>
    <w:p w:rsidR="006C15DD" w:rsidRDefault="006C15DD" w:rsidP="006C15DD">
      <w:pPr>
        <w:pStyle w:val="ListParagraph"/>
        <w:numPr>
          <w:ilvl w:val="0"/>
          <w:numId w:val="1"/>
        </w:numPr>
        <w:spacing w:line="360" w:lineRule="auto"/>
        <w:jc w:val="both"/>
      </w:pPr>
      <w:r>
        <w:t>The disciplinary authority erred in preferring a verdict and penalty of dismissal when there was no aggravated charge leveled against the appellant and more particularly the charge warranted a lesser penalty than dismissal.</w:t>
      </w:r>
    </w:p>
    <w:p w:rsidR="006C15DD" w:rsidRDefault="006C15DD" w:rsidP="006C15DD">
      <w:pPr>
        <w:pStyle w:val="ListParagraph"/>
        <w:numPr>
          <w:ilvl w:val="0"/>
          <w:numId w:val="1"/>
        </w:numPr>
        <w:spacing w:line="360" w:lineRule="auto"/>
        <w:jc w:val="both"/>
      </w:pPr>
      <w:r>
        <w:t>The disciplinary Authority in sen</w:t>
      </w:r>
      <w:r w:rsidR="00EC7158">
        <w:t>t</w:t>
      </w:r>
      <w:r>
        <w:t xml:space="preserve">encing failed to take into account the mitigatory </w:t>
      </w:r>
      <w:r w:rsidR="00EC7158">
        <w:t>factors of the appellant that would have reduced the sentence and penalty to a lesser one and not dismissal.</w:t>
      </w:r>
    </w:p>
    <w:p w:rsidR="00EC7158" w:rsidRDefault="00EC7158" w:rsidP="00CB1A4E">
      <w:pPr>
        <w:jc w:val="both"/>
      </w:pPr>
    </w:p>
    <w:p w:rsidR="00EC7158" w:rsidRDefault="00EC7158" w:rsidP="00EC7158">
      <w:pPr>
        <w:spacing w:line="360" w:lineRule="auto"/>
        <w:jc w:val="both"/>
      </w:pPr>
      <w:r>
        <w:t xml:space="preserve">In the result appellant prayed that the conviction and penalty be set aside on all charges or that the penalty be reduced </w:t>
      </w:r>
      <w:r w:rsidR="00B0746C">
        <w:t>to a verbal warning as well</w:t>
      </w:r>
      <w:r w:rsidR="00C77E99">
        <w:t xml:space="preserve"> as have appellant reinstated</w:t>
      </w:r>
      <w:r w:rsidR="00B0746C">
        <w:t xml:space="preserve"> without loss of pay and benefits.  In response to the appeal respondent maintained that:-</w:t>
      </w:r>
    </w:p>
    <w:p w:rsidR="00B0746C" w:rsidRDefault="00B0746C" w:rsidP="00CB1A4E">
      <w:pPr>
        <w:jc w:val="both"/>
      </w:pPr>
    </w:p>
    <w:p w:rsidR="005903BF" w:rsidRDefault="00B0746C" w:rsidP="00B0746C">
      <w:pPr>
        <w:pStyle w:val="ListParagraph"/>
        <w:numPr>
          <w:ilvl w:val="0"/>
          <w:numId w:val="2"/>
        </w:numPr>
        <w:spacing w:line="360" w:lineRule="auto"/>
        <w:jc w:val="both"/>
      </w:pPr>
      <w:r>
        <w:t xml:space="preserve">Enough evidence was led to link appellant with the offence.  At first </w:t>
      </w:r>
      <w:r w:rsidR="00C77E99">
        <w:t>appellant</w:t>
      </w:r>
      <w:r>
        <w:t xml:space="preserve"> denied knowledge of the witness Chisora but later on confessed dealing with him but however says did so when he assisted him in processing a relative’s licence</w:t>
      </w:r>
      <w:r w:rsidR="00C77E99">
        <w:t xml:space="preserve">.  </w:t>
      </w:r>
      <w:r>
        <w:t xml:space="preserve"> </w:t>
      </w:r>
      <w:r w:rsidR="00C77E99">
        <w:t>Witness</w:t>
      </w:r>
      <w:r>
        <w:t xml:space="preserve"> was consistent that appellant sold the plates to him.  The call history between the two also showed that the two were communicating at the relevant time and the appellant could not say what business he was </w:t>
      </w:r>
      <w:r w:rsidR="005903BF">
        <w:t xml:space="preserve">communicating over with the witness at the relevant time besides </w:t>
      </w:r>
      <w:r w:rsidR="00C77E99">
        <w:t>suggesting</w:t>
      </w:r>
      <w:r w:rsidR="005903BF">
        <w:t xml:space="preserve"> that it could be cross lines.</w:t>
      </w:r>
    </w:p>
    <w:p w:rsidR="005903BF" w:rsidRDefault="005903BF" w:rsidP="00B0746C">
      <w:pPr>
        <w:pStyle w:val="ListParagraph"/>
        <w:numPr>
          <w:ilvl w:val="0"/>
          <w:numId w:val="2"/>
        </w:numPr>
        <w:spacing w:line="360" w:lineRule="auto"/>
        <w:jc w:val="both"/>
      </w:pPr>
      <w:r>
        <w:lastRenderedPageBreak/>
        <w:t>The witness said he got the plates from appellant for a fee of $700 hence there is link between state</w:t>
      </w:r>
      <w:r w:rsidR="00C77E99">
        <w:t>’s plates and plates</w:t>
      </w:r>
      <w:r>
        <w:t xml:space="preserve"> allegedly bought by the witness.</w:t>
      </w:r>
    </w:p>
    <w:p w:rsidR="005903BF" w:rsidRDefault="005903BF" w:rsidP="00B0746C">
      <w:pPr>
        <w:pStyle w:val="ListParagraph"/>
        <w:numPr>
          <w:ilvl w:val="0"/>
          <w:numId w:val="2"/>
        </w:numPr>
        <w:spacing w:line="360" w:lineRule="auto"/>
        <w:jc w:val="both"/>
      </w:pPr>
      <w:r>
        <w:t>Misc</w:t>
      </w:r>
      <w:r w:rsidR="00C77E99">
        <w:t>onduct has dishonesty component</w:t>
      </w:r>
      <w:r>
        <w:t xml:space="preserve"> and has </w:t>
      </w:r>
      <w:r w:rsidR="00C77E99">
        <w:t>a criminal</w:t>
      </w:r>
      <w:r>
        <w:t xml:space="preserve"> element</w:t>
      </w:r>
      <w:r w:rsidR="00C77E99">
        <w:t>.  V</w:t>
      </w:r>
      <w:r>
        <w:t xml:space="preserve">ehicles with improperly issued number plates compromise State and appellant as public office had a duty to safeguard the system.  </w:t>
      </w:r>
      <w:r w:rsidR="00C77E99">
        <w:t>His</w:t>
      </w:r>
      <w:r>
        <w:t xml:space="preserve"> abuse of same thus called for penalty which was meted out.  Any alternative penalty would have trivialized the case.</w:t>
      </w:r>
    </w:p>
    <w:p w:rsidR="005903BF" w:rsidRDefault="005903BF" w:rsidP="00B0746C">
      <w:pPr>
        <w:pStyle w:val="ListParagraph"/>
        <w:numPr>
          <w:ilvl w:val="0"/>
          <w:numId w:val="2"/>
        </w:numPr>
        <w:spacing w:line="360" w:lineRule="auto"/>
        <w:jc w:val="both"/>
      </w:pPr>
      <w:r>
        <w:t xml:space="preserve">The witness was consistent in his submissions and that was supported by the call history hence his submissions were </w:t>
      </w:r>
      <w:r w:rsidR="00FA61C4">
        <w:t>admissable</w:t>
      </w:r>
      <w:r>
        <w:t xml:space="preserve"> and implicated the appellant.</w:t>
      </w:r>
    </w:p>
    <w:p w:rsidR="005903BF" w:rsidRDefault="005903BF" w:rsidP="00CB1A4E">
      <w:pPr>
        <w:jc w:val="both"/>
      </w:pPr>
    </w:p>
    <w:p w:rsidR="00FA61C4" w:rsidRDefault="005903BF" w:rsidP="005903BF">
      <w:pPr>
        <w:spacing w:line="360" w:lineRule="auto"/>
        <w:jc w:val="both"/>
      </w:pPr>
      <w:r>
        <w:t xml:space="preserve">In the result respondent </w:t>
      </w:r>
      <w:r w:rsidR="00FA61C4">
        <w:t xml:space="preserve">prayed that the appeal be dismissed and that the disciplinary authority’s </w:t>
      </w:r>
      <w:r w:rsidR="00C77E99">
        <w:t>decision</w:t>
      </w:r>
      <w:r w:rsidR="00FA61C4">
        <w:t xml:space="preserve"> be confirmed.</w:t>
      </w:r>
    </w:p>
    <w:p w:rsidR="00FA61C4" w:rsidRDefault="00FA61C4" w:rsidP="00CB1A4E">
      <w:pPr>
        <w:jc w:val="both"/>
      </w:pPr>
    </w:p>
    <w:p w:rsidR="00B0746C" w:rsidRDefault="00C77E99" w:rsidP="005903BF">
      <w:pPr>
        <w:spacing w:line="360" w:lineRule="auto"/>
        <w:jc w:val="both"/>
      </w:pPr>
      <w:r>
        <w:tab/>
        <w:t>Before delving i</w:t>
      </w:r>
      <w:r w:rsidR="00FA61C4">
        <w:t xml:space="preserve">nto the merits of the appeal it is pertinent that the court disposes of the point </w:t>
      </w:r>
      <w:r w:rsidR="00FA61C4" w:rsidRPr="00C90A42">
        <w:rPr>
          <w:i/>
        </w:rPr>
        <w:t>in limine</w:t>
      </w:r>
      <w:r w:rsidR="00FA61C4">
        <w:t xml:space="preserve"> which was raised by appellant in its appeal.  The point</w:t>
      </w:r>
      <w:r>
        <w:t xml:space="preserve"> which</w:t>
      </w:r>
      <w:r w:rsidR="00FA61C4">
        <w:t xml:space="preserve"> taken was that the </w:t>
      </w:r>
      <w:r>
        <w:t xml:space="preserve">disciplinary </w:t>
      </w:r>
      <w:r w:rsidR="00FA61C4">
        <w:t>proceedings were null and void as they were not conducted with 30 days as per the Regulations.  In response to this point responde</w:t>
      </w:r>
      <w:r>
        <w:t>nt indicated that the regulations</w:t>
      </w:r>
      <w:r w:rsidR="00FA61C4">
        <w:t xml:space="preserve"> do not state that the hearing should be concluded with thirty (30) days but rather with</w:t>
      </w:r>
      <w:r>
        <w:t>in</w:t>
      </w:r>
      <w:r w:rsidR="00FA61C4">
        <w:t xml:space="preserve"> a reasonable time.  T</w:t>
      </w:r>
      <w:r>
        <w:t>he conclusion of this aspect lies in</w:t>
      </w:r>
      <w:r w:rsidR="00FA61C4">
        <w:t xml:space="preserve"> a simple reading of the regulations and interpretation of the same.</w:t>
      </w:r>
      <w:r w:rsidR="005903BF">
        <w:t xml:space="preserve"> </w:t>
      </w:r>
    </w:p>
    <w:p w:rsidR="00C90A42" w:rsidRDefault="00C90A42" w:rsidP="00CB1A4E">
      <w:pPr>
        <w:jc w:val="both"/>
      </w:pPr>
    </w:p>
    <w:p w:rsidR="00C90A42" w:rsidRDefault="00C90A42" w:rsidP="005903BF">
      <w:pPr>
        <w:spacing w:line="360" w:lineRule="auto"/>
        <w:jc w:val="both"/>
      </w:pPr>
      <w:r>
        <w:tab/>
        <w:t>A reading of the regulat</w:t>
      </w:r>
      <w:r w:rsidR="00C77E99">
        <w:t>ions in particular part VIII section</w:t>
      </w:r>
      <w:r>
        <w:t xml:space="preserve"> 42 to 46 sets </w:t>
      </w:r>
      <w:r w:rsidR="00C77E99">
        <w:t xml:space="preserve">out </w:t>
      </w:r>
      <w:r>
        <w:t xml:space="preserve">clearly the time from as to be </w:t>
      </w:r>
      <w:r w:rsidR="00C77E99">
        <w:t>observed</w:t>
      </w:r>
      <w:r>
        <w:t xml:space="preserve"> when disciplinary proceedings are being done</w:t>
      </w:r>
      <w:r w:rsidR="00113389">
        <w:t>.  E</w:t>
      </w:r>
      <w:r>
        <w:t xml:space="preserve">xcept for the fourteen days and seven days mention about commencement of the hearing following investigations there is nowhere </w:t>
      </w:r>
      <w:r w:rsidR="00113389">
        <w:t>in</w:t>
      </w:r>
      <w:r>
        <w:t xml:space="preserve"> the regulations where it says t</w:t>
      </w:r>
      <w:r w:rsidR="00CB1A4E">
        <w:t>h</w:t>
      </w:r>
      <w:r>
        <w:t xml:space="preserve">e proceedings should be concluded within thirty days.  To that extent the point </w:t>
      </w:r>
      <w:r w:rsidR="0071578B" w:rsidRPr="00CB1A4E">
        <w:rPr>
          <w:i/>
        </w:rPr>
        <w:t>in limine</w:t>
      </w:r>
      <w:r w:rsidR="0071578B">
        <w:t xml:space="preserve"> is without merit and it should be dismissed.</w:t>
      </w:r>
    </w:p>
    <w:p w:rsidR="0071578B" w:rsidRDefault="0071578B" w:rsidP="00CB1A4E">
      <w:pPr>
        <w:jc w:val="both"/>
      </w:pPr>
    </w:p>
    <w:p w:rsidR="0071578B" w:rsidRDefault="0071578B" w:rsidP="005903BF">
      <w:pPr>
        <w:spacing w:line="360" w:lineRule="auto"/>
        <w:jc w:val="both"/>
      </w:pPr>
      <w:r>
        <w:tab/>
        <w:t xml:space="preserve">It is also worth noting that when the appellant filed his heads of argument he brought up new issues which did not form part of his appeal originally.  These are </w:t>
      </w:r>
      <w:r>
        <w:lastRenderedPageBreak/>
        <w:t xml:space="preserve">issues like the argument that appellant was dismissed </w:t>
      </w:r>
      <w:r w:rsidR="00113389">
        <w:t xml:space="preserve">for abusing his authority an </w:t>
      </w:r>
      <w:r>
        <w:t xml:space="preserve">offence which he was not charged with.  This </w:t>
      </w:r>
      <w:r w:rsidR="00113389">
        <w:t>never</w:t>
      </w:r>
      <w:r>
        <w:t xml:space="preserve"> formed part of the grounds of appeal and the court takes it that it was not an issue.  In </w:t>
      </w:r>
      <w:r w:rsidR="00CB1A4E">
        <w:t>any event</w:t>
      </w:r>
      <w:r>
        <w:t xml:space="preserve"> even if it </w:t>
      </w:r>
      <w:r w:rsidR="00265AE8">
        <w:t>were to be taken to be a point of law which can be raised properly at any stage of the proceedings the argument would still fail for the following reasoning.</w:t>
      </w:r>
    </w:p>
    <w:p w:rsidR="00CB1A4E" w:rsidRDefault="00CB1A4E" w:rsidP="005903BF">
      <w:pPr>
        <w:spacing w:line="360" w:lineRule="auto"/>
        <w:jc w:val="both"/>
      </w:pPr>
    </w:p>
    <w:p w:rsidR="00265AE8" w:rsidRDefault="00265AE8" w:rsidP="005903BF">
      <w:pPr>
        <w:spacing w:line="360" w:lineRule="auto"/>
        <w:jc w:val="both"/>
      </w:pPr>
      <w:r>
        <w:tab/>
        <w:t xml:space="preserve">A reading of the dismissal note page 13 of the record state that appellant was </w:t>
      </w:r>
      <w:r w:rsidR="00113389">
        <w:t>convicted</w:t>
      </w:r>
      <w:r>
        <w:t xml:space="preserve"> of “theft </w:t>
      </w:r>
      <w:r w:rsidR="00CB1A4E">
        <w:t>of or</w:t>
      </w:r>
      <w:r>
        <w:t xml:space="preserve"> failure to take reasonable care of or unauthorized use of state property ….” </w:t>
      </w:r>
      <w:r w:rsidR="008E127B">
        <w:t xml:space="preserve"> To that extent there is no evidence that appellant was </w:t>
      </w:r>
      <w:r w:rsidR="00113389">
        <w:t>convicted</w:t>
      </w:r>
      <w:r w:rsidR="008E127B">
        <w:t xml:space="preserve"> of abuse of office charges.  The record seems to have </w:t>
      </w:r>
      <w:r w:rsidR="00113389">
        <w:t>mention</w:t>
      </w:r>
      <w:r w:rsidR="008E127B">
        <w:t xml:space="preserve"> of that abuse when the committee was trying to determine the penalty.</w:t>
      </w:r>
    </w:p>
    <w:p w:rsidR="008E127B" w:rsidRDefault="008E127B" w:rsidP="00CB1A4E">
      <w:pPr>
        <w:jc w:val="both"/>
      </w:pPr>
    </w:p>
    <w:p w:rsidR="008E127B" w:rsidRDefault="008E127B" w:rsidP="005903BF">
      <w:pPr>
        <w:spacing w:line="360" w:lineRule="auto"/>
        <w:jc w:val="both"/>
      </w:pPr>
      <w:r>
        <w:tab/>
        <w:t xml:space="preserve">That </w:t>
      </w:r>
      <w:r w:rsidR="00CB1A4E">
        <w:t>cannot</w:t>
      </w:r>
      <w:r>
        <w:t xml:space="preserve"> be read to by synonym</w:t>
      </w:r>
      <w:r w:rsidR="00113389">
        <w:t>ou</w:t>
      </w:r>
      <w:r>
        <w:t>s with dismissing one on a charge to which was not preferred against him.  This point lacking in merit should fail.</w:t>
      </w:r>
    </w:p>
    <w:p w:rsidR="00113389" w:rsidRDefault="00113389" w:rsidP="00113389">
      <w:pPr>
        <w:jc w:val="both"/>
      </w:pPr>
    </w:p>
    <w:p w:rsidR="008E127B" w:rsidRDefault="008E127B" w:rsidP="00113389">
      <w:pPr>
        <w:spacing w:line="360" w:lineRule="auto"/>
        <w:ind w:firstLine="720"/>
        <w:jc w:val="both"/>
      </w:pPr>
      <w:r>
        <w:t xml:space="preserve">Turning to the merits </w:t>
      </w:r>
      <w:r w:rsidR="00113389">
        <w:t xml:space="preserve">of the </w:t>
      </w:r>
      <w:r>
        <w:t xml:space="preserve"> </w:t>
      </w:r>
      <w:r w:rsidR="00F72FBC">
        <w:t>appeal</w:t>
      </w:r>
      <w:r>
        <w:t xml:space="preserve">, the law is clear that </w:t>
      </w:r>
      <w:r w:rsidR="00F72FBC">
        <w:t>an appellate court can only upset the factual finding</w:t>
      </w:r>
      <w:r w:rsidR="00113389">
        <w:t>s</w:t>
      </w:r>
      <w:r>
        <w:t xml:space="preserve"> </w:t>
      </w:r>
      <w:r w:rsidR="00F72FBC">
        <w:t xml:space="preserve">of a lower tribunal if it is apparent </w:t>
      </w:r>
      <w:r w:rsidR="00113389">
        <w:t xml:space="preserve">that the lower </w:t>
      </w:r>
      <w:r w:rsidR="00F72FBC">
        <w:t xml:space="preserve">tribunal abused its discretion or dealt the matter with </w:t>
      </w:r>
      <w:r w:rsidR="00113389">
        <w:t>malafides</w:t>
      </w:r>
      <w:r w:rsidR="00F72FBC">
        <w:t xml:space="preserve"> See </w:t>
      </w:r>
      <w:r w:rsidR="00F72FBC" w:rsidRPr="00F72FBC">
        <w:rPr>
          <w:i/>
        </w:rPr>
        <w:t>Nyahando</w:t>
      </w:r>
      <w:r w:rsidR="00F72FBC">
        <w:t xml:space="preserve"> v </w:t>
      </w:r>
      <w:r w:rsidR="00F72FBC" w:rsidRPr="00F72FBC">
        <w:rPr>
          <w:i/>
        </w:rPr>
        <w:t>Hokonya</w:t>
      </w:r>
      <w:r w:rsidR="00F72FBC">
        <w:t xml:space="preserve"> </w:t>
      </w:r>
      <w:r w:rsidR="00F72FBC" w:rsidRPr="00CB1A4E">
        <w:rPr>
          <w:i/>
        </w:rPr>
        <w:t>and Ors</w:t>
      </w:r>
      <w:r w:rsidR="00F72FBC">
        <w:t xml:space="preserve"> 1997 (2) ZLR 475 (SC).  It is not the appellate court’s duty to substitute its discretion for that of the lower tribunal unle</w:t>
      </w:r>
      <w:r w:rsidR="00113389">
        <w:t>ss there is gross misdirection i</w:t>
      </w:r>
      <w:r w:rsidR="00F72FBC">
        <w:t>n the matter.</w:t>
      </w:r>
    </w:p>
    <w:p w:rsidR="00F72FBC" w:rsidRDefault="00F72FBC" w:rsidP="00CB1A4E">
      <w:pPr>
        <w:jc w:val="both"/>
      </w:pPr>
    </w:p>
    <w:p w:rsidR="008559BE" w:rsidRDefault="00F72FBC" w:rsidP="005903BF">
      <w:pPr>
        <w:spacing w:line="360" w:lineRule="auto"/>
        <w:jc w:val="both"/>
      </w:pPr>
      <w:r>
        <w:tab/>
        <w:t xml:space="preserve">Stemming from the above legal position the question to be answered by this court is whether it can be said that the lower tribunal grossly misdirected itself on the facts of the matter or abused its discretion to the extent </w:t>
      </w:r>
      <w:r w:rsidR="008559BE">
        <w:t>that the current court should upset its factual findings.  Each of the grounds of appeal will thus be addressed on turn.</w:t>
      </w:r>
    </w:p>
    <w:p w:rsidR="008559BE" w:rsidRDefault="008559BE" w:rsidP="005903BF">
      <w:pPr>
        <w:spacing w:line="360" w:lineRule="auto"/>
        <w:jc w:val="both"/>
      </w:pPr>
    </w:p>
    <w:p w:rsidR="008559BE" w:rsidRDefault="008559BE" w:rsidP="005903BF">
      <w:pPr>
        <w:spacing w:line="360" w:lineRule="auto"/>
        <w:jc w:val="both"/>
      </w:pPr>
      <w:r>
        <w:t>Ground 1 and 2</w:t>
      </w:r>
    </w:p>
    <w:p w:rsidR="008559BE" w:rsidRDefault="008559BE" w:rsidP="00CB1A4E">
      <w:pPr>
        <w:jc w:val="both"/>
      </w:pPr>
    </w:p>
    <w:p w:rsidR="00113389" w:rsidRDefault="008559BE" w:rsidP="005903BF">
      <w:pPr>
        <w:spacing w:line="360" w:lineRule="auto"/>
        <w:jc w:val="both"/>
      </w:pPr>
      <w:r>
        <w:tab/>
        <w:t xml:space="preserve">The two grounds will be disposed of at once as the issues which they speak to are essentially the same.  It is </w:t>
      </w:r>
      <w:r w:rsidR="00113389">
        <w:t>worth noting</w:t>
      </w:r>
      <w:r>
        <w:t xml:space="preserve"> that the guilt of the appellant was </w:t>
      </w:r>
      <w:r w:rsidR="00113389">
        <w:t>arrived</w:t>
      </w:r>
      <w:r>
        <w:t xml:space="preserve"> at after </w:t>
      </w:r>
      <w:r w:rsidR="00113389">
        <w:t>looking at the evidence of Chisa</w:t>
      </w:r>
      <w:r>
        <w:t xml:space="preserve">ra who said had bought the plates </w:t>
      </w:r>
      <w:r>
        <w:lastRenderedPageBreak/>
        <w:t>from appellant.  There was also a call history re</w:t>
      </w:r>
      <w:r w:rsidR="00113389">
        <w:t>cord stating that the two were i</w:t>
      </w:r>
      <w:r>
        <w:t xml:space="preserve">n communication at the relevant time.  At first appellant indicated that he did not </w:t>
      </w:r>
      <w:r w:rsidR="00113389">
        <w:t>know Chisara but chan</w:t>
      </w:r>
      <w:r>
        <w:t xml:space="preserve">ged later on to suggest that he knew </w:t>
      </w:r>
      <w:r w:rsidR="00CB1A4E">
        <w:t xml:space="preserve">him from another </w:t>
      </w:r>
      <w:r w:rsidR="00113389">
        <w:t>perspective</w:t>
      </w:r>
      <w:r w:rsidR="00840D95">
        <w:t xml:space="preserve"> that is from an </w:t>
      </w:r>
      <w:r w:rsidR="00113389">
        <w:t>ocassion</w:t>
      </w:r>
      <w:r w:rsidR="00840D95">
        <w:t xml:space="preserve"> when he had assisted his relative to get a licence</w:t>
      </w:r>
      <w:r w:rsidR="00113389">
        <w:t>.</w:t>
      </w:r>
      <w:r w:rsidR="00840D95">
        <w:t xml:space="preserve"> </w:t>
      </w:r>
    </w:p>
    <w:p w:rsidR="00113389" w:rsidRDefault="00113389" w:rsidP="00113389">
      <w:pPr>
        <w:jc w:val="both"/>
      </w:pPr>
    </w:p>
    <w:p w:rsidR="005D5A7A" w:rsidRDefault="00113389" w:rsidP="00113389">
      <w:pPr>
        <w:spacing w:line="360" w:lineRule="auto"/>
        <w:ind w:firstLine="720"/>
        <w:jc w:val="both"/>
      </w:pPr>
      <w:r>
        <w:t>What</w:t>
      </w:r>
      <w:r w:rsidR="00840D95">
        <w:t xml:space="preserve"> is interesting to note about this evidence is that the helpful gesture which appellant wants court to </w:t>
      </w:r>
      <w:r w:rsidR="00333BF7">
        <w:t>believe</w:t>
      </w:r>
      <w:r w:rsidR="00B27F25">
        <w:t xml:space="preserve"> was between him and Chisora cannot surely have turned ugly to have Chisora suddenly turn devil and accuse appellant that he was the source of the plates.  </w:t>
      </w:r>
      <w:r w:rsidR="005D5A7A">
        <w:t>I</w:t>
      </w:r>
      <w:r w:rsidR="00B27F25">
        <w:t xml:space="preserve">t could not have been coincidental that plates went missing, Chisora is found with them and says got them from appellant and appellant had access to them.  It would be naïve to suggest that of all the people that Chisora would </w:t>
      </w:r>
      <w:r w:rsidR="005D5A7A">
        <w:t>deal</w:t>
      </w:r>
      <w:r w:rsidR="00B27F25">
        <w:t xml:space="preserve"> with Chisora would just </w:t>
      </w:r>
      <w:r w:rsidR="006578D9">
        <w:t>coincidental</w:t>
      </w:r>
      <w:r w:rsidR="005D5A7A">
        <w:t>ly</w:t>
      </w:r>
      <w:r w:rsidR="006578D9">
        <w:t xml:space="preserve"> pick on appellant who indeed had access to the plates.  Such a coincidence can only be </w:t>
      </w:r>
      <w:r w:rsidR="005D5A7A">
        <w:t>construed</w:t>
      </w:r>
      <w:r w:rsidR="006578D9">
        <w:t xml:space="preserve"> that indeed appellant </w:t>
      </w:r>
      <w:r w:rsidR="005D5A7A">
        <w:t xml:space="preserve">was the source of the plates.  </w:t>
      </w:r>
    </w:p>
    <w:p w:rsidR="005D5A7A" w:rsidRDefault="005D5A7A" w:rsidP="005D5A7A">
      <w:pPr>
        <w:ind w:firstLine="720"/>
        <w:jc w:val="both"/>
      </w:pPr>
    </w:p>
    <w:p w:rsidR="00F72FBC" w:rsidRDefault="006578D9" w:rsidP="00113389">
      <w:pPr>
        <w:spacing w:line="360" w:lineRule="auto"/>
        <w:ind w:firstLine="720"/>
        <w:jc w:val="both"/>
      </w:pPr>
      <w:r>
        <w:t xml:space="preserve">The fact that the proof beyond reasonable doubt test failed at criminal does not necessarily mean that from a misconduct </w:t>
      </w:r>
      <w:r w:rsidR="005D5A7A">
        <w:t>perspective</w:t>
      </w:r>
      <w:r>
        <w:t xml:space="preserve"> appellant should be absolved.</w:t>
      </w:r>
      <w:r w:rsidR="00B27F25">
        <w:t xml:space="preserve"> </w:t>
      </w:r>
      <w:r>
        <w:t xml:space="preserve"> The case of </w:t>
      </w:r>
      <w:r w:rsidRPr="00CB1A4E">
        <w:rPr>
          <w:i/>
        </w:rPr>
        <w:t>ZESA</w:t>
      </w:r>
      <w:r>
        <w:t xml:space="preserve"> v </w:t>
      </w:r>
      <w:r w:rsidRPr="00CB1A4E">
        <w:rPr>
          <w:i/>
        </w:rPr>
        <w:t xml:space="preserve">Dera </w:t>
      </w:r>
      <w:r>
        <w:t xml:space="preserve">SC 79/98 makes it clear that the standard of proof required in disciplinary cases is at a lower </w:t>
      </w:r>
      <w:r w:rsidR="005D5A7A">
        <w:t>level, that</w:t>
      </w:r>
      <w:r>
        <w:t xml:space="preserve"> </w:t>
      </w:r>
      <w:r w:rsidR="00FF7F7C">
        <w:t>is proof on a ba</w:t>
      </w:r>
      <w:r w:rsidR="005D5A7A">
        <w:t>lance probability.  The cumulative</w:t>
      </w:r>
      <w:r w:rsidR="00FF7F7C">
        <w:t xml:space="preserve"> effect of the evidence on the matter at </w:t>
      </w:r>
      <w:r w:rsidR="005D5A7A">
        <w:t>hand</w:t>
      </w:r>
      <w:r w:rsidR="00FF7F7C">
        <w:t xml:space="preserve"> passes that test and the court is not persuaded tha</w:t>
      </w:r>
      <w:r w:rsidR="005D5A7A">
        <w:t>t there was gross misdirection i</w:t>
      </w:r>
      <w:r w:rsidR="00FF7F7C">
        <w:t>n the lower tribunal.  These two grounds lacking in merit should thus fail.</w:t>
      </w:r>
    </w:p>
    <w:p w:rsidR="00FF7F7C" w:rsidRDefault="00FF7F7C" w:rsidP="00CB1A4E">
      <w:pPr>
        <w:jc w:val="both"/>
      </w:pPr>
    </w:p>
    <w:p w:rsidR="00FF7F7C" w:rsidRPr="005D5A7A" w:rsidRDefault="00FF7F7C" w:rsidP="005903BF">
      <w:pPr>
        <w:spacing w:line="360" w:lineRule="auto"/>
        <w:jc w:val="both"/>
        <w:rPr>
          <w:u w:val="single"/>
        </w:rPr>
      </w:pPr>
      <w:r w:rsidRPr="005D5A7A">
        <w:rPr>
          <w:u w:val="single"/>
        </w:rPr>
        <w:t>Ground 3 and 4</w:t>
      </w:r>
    </w:p>
    <w:p w:rsidR="00FF7F7C" w:rsidRDefault="00FF7F7C" w:rsidP="00CB1A4E">
      <w:pPr>
        <w:jc w:val="both"/>
      </w:pPr>
    </w:p>
    <w:p w:rsidR="00FF7F7C" w:rsidRDefault="00FF7F7C" w:rsidP="005903BF">
      <w:pPr>
        <w:spacing w:line="360" w:lineRule="auto"/>
        <w:jc w:val="both"/>
      </w:pPr>
      <w:r>
        <w:tab/>
        <w:t>As in the first set of grounds</w:t>
      </w:r>
      <w:r w:rsidR="005D5A7A">
        <w:t xml:space="preserve"> these two</w:t>
      </w:r>
      <w:r>
        <w:t xml:space="preserve"> speak to the same </w:t>
      </w:r>
      <w:r w:rsidR="005D5A7A">
        <w:t>issue</w:t>
      </w:r>
      <w:r>
        <w:t xml:space="preserve"> of penalty and it would be prudent to dispose of them together.  The law is clear that penalty is the </w:t>
      </w:r>
      <w:r w:rsidR="00195473">
        <w:t>preserve</w:t>
      </w:r>
      <w:r>
        <w:t xml:space="preserve"> of the employer and appel</w:t>
      </w:r>
      <w:r w:rsidR="00195473">
        <w:t xml:space="preserve">late court can only interfer </w:t>
      </w:r>
      <w:r w:rsidR="005D5A7A">
        <w:t>i</w:t>
      </w:r>
      <w:r>
        <w:t xml:space="preserve">f </w:t>
      </w:r>
      <w:r w:rsidR="005D5A7A">
        <w:t>imposition</w:t>
      </w:r>
      <w:r>
        <w:t xml:space="preserve"> of same is completely at </w:t>
      </w:r>
      <w:r w:rsidR="005D5A7A">
        <w:t>cross purposes</w:t>
      </w:r>
      <w:r>
        <w:t xml:space="preserve"> with the infraction complained about </w:t>
      </w:r>
      <w:r w:rsidRPr="00CB1A4E">
        <w:rPr>
          <w:i/>
        </w:rPr>
        <w:t>Circle Cement</w:t>
      </w:r>
      <w:r>
        <w:t xml:space="preserve"> v </w:t>
      </w:r>
      <w:r w:rsidRPr="00CB1A4E">
        <w:rPr>
          <w:i/>
        </w:rPr>
        <w:t xml:space="preserve">Nyawasha </w:t>
      </w:r>
      <w:r>
        <w:t>SC-60-03</w:t>
      </w:r>
    </w:p>
    <w:p w:rsidR="00FF7F7C" w:rsidRDefault="00FF7F7C" w:rsidP="00CB1A4E">
      <w:pPr>
        <w:jc w:val="both"/>
      </w:pPr>
    </w:p>
    <w:p w:rsidR="00091FEB" w:rsidRDefault="00FF7F7C" w:rsidP="005903BF">
      <w:pPr>
        <w:spacing w:line="360" w:lineRule="auto"/>
        <w:jc w:val="both"/>
      </w:pPr>
      <w:r>
        <w:tab/>
        <w:t xml:space="preserve">It is not </w:t>
      </w:r>
      <w:r w:rsidR="00CB1A4E">
        <w:t>debatable that</w:t>
      </w:r>
      <w:r w:rsidR="005152DB">
        <w:t xml:space="preserve"> mitigation should be </w:t>
      </w:r>
      <w:r w:rsidR="00195473">
        <w:t>elicited</w:t>
      </w:r>
      <w:r w:rsidR="005152DB">
        <w:t xml:space="preserve"> from </w:t>
      </w:r>
      <w:r w:rsidR="00195473">
        <w:t>an offender</w:t>
      </w:r>
      <w:r w:rsidR="005152DB">
        <w:t xml:space="preserve"> so that it can appeal to the minds of the tribunal with the possibility of a lesser penalty </w:t>
      </w:r>
      <w:r w:rsidR="005152DB">
        <w:lastRenderedPageBreak/>
        <w:t xml:space="preserve">being preferred.  It is however worth noting that such an omission is however not fatal as it does not go to the </w:t>
      </w:r>
      <w:r w:rsidR="00195473">
        <w:t>root</w:t>
      </w:r>
      <w:r w:rsidR="005152DB">
        <w:t xml:space="preserve"> of the matter.  See </w:t>
      </w:r>
      <w:r w:rsidR="005152DB" w:rsidRPr="00195473">
        <w:rPr>
          <w:i/>
        </w:rPr>
        <w:t>Dalny Mine</w:t>
      </w:r>
      <w:r w:rsidR="005152DB">
        <w:t xml:space="preserve"> v </w:t>
      </w:r>
      <w:r w:rsidR="005152DB" w:rsidRPr="00195473">
        <w:rPr>
          <w:i/>
        </w:rPr>
        <w:t>Banda</w:t>
      </w:r>
      <w:r w:rsidR="005152DB">
        <w:t xml:space="preserve"> </w:t>
      </w:r>
      <w:r w:rsidR="00195473">
        <w:t xml:space="preserve">1999 (1) ZLR 220 (SC) </w:t>
      </w:r>
      <w:r w:rsidR="005152DB">
        <w:t xml:space="preserve">on technicalities.  The remedy </w:t>
      </w:r>
      <w:r w:rsidR="00195473">
        <w:t>would be</w:t>
      </w:r>
      <w:r w:rsidR="005152DB">
        <w:t xml:space="preserve"> to send matter back to lower tribunal to take mitigation </w:t>
      </w:r>
      <w:r w:rsidR="00195473">
        <w:t>the</w:t>
      </w:r>
      <w:r w:rsidR="005152DB">
        <w:t xml:space="preserve"> face of </w:t>
      </w:r>
      <w:r w:rsidR="00195473">
        <w:t>gravity</w:t>
      </w:r>
      <w:r w:rsidR="005152DB">
        <w:t xml:space="preserve"> of the infract</w:t>
      </w:r>
      <w:r w:rsidR="00195473">
        <w:t>ion in instant case</w:t>
      </w:r>
      <w:r w:rsidR="005152DB">
        <w:t xml:space="preserve"> that would not serve any meaningful purpose so court is of view that decision should be based on whether irrespective of </w:t>
      </w:r>
      <w:r w:rsidR="00091FEB">
        <w:t>abse</w:t>
      </w:r>
      <w:r w:rsidR="00195473">
        <w:t>nce of mitigatory factors w</w:t>
      </w:r>
      <w:r w:rsidR="00091FEB">
        <w:t>as the penalty still in order.</w:t>
      </w:r>
    </w:p>
    <w:p w:rsidR="00091FEB" w:rsidRDefault="00091FEB" w:rsidP="005903BF">
      <w:pPr>
        <w:spacing w:line="360" w:lineRule="auto"/>
        <w:jc w:val="both"/>
      </w:pPr>
    </w:p>
    <w:p w:rsidR="00FF7F7C" w:rsidRDefault="00091FEB" w:rsidP="005903BF">
      <w:pPr>
        <w:spacing w:line="360" w:lineRule="auto"/>
        <w:jc w:val="both"/>
      </w:pPr>
      <w:r>
        <w:tab/>
        <w:t xml:space="preserve">As pointed out by the respondent it is </w:t>
      </w:r>
      <w:r w:rsidR="00195473">
        <w:t>pertinent</w:t>
      </w:r>
      <w:r>
        <w:t xml:space="preserve"> to not</w:t>
      </w:r>
      <w:r w:rsidR="00195473">
        <w:t>e that the actions</w:t>
      </w:r>
      <w:r>
        <w:t xml:space="preserve"> of appellant put the State</w:t>
      </w:r>
      <w:r w:rsidR="00195473">
        <w:t>’</w:t>
      </w:r>
      <w:r>
        <w:t xml:space="preserve">s reputation </w:t>
      </w:r>
      <w:r w:rsidR="00CB1A4E">
        <w:t>as</w:t>
      </w:r>
      <w:r w:rsidR="00195473">
        <w:t xml:space="preserve"> risk</w:t>
      </w:r>
      <w:r>
        <w:t xml:space="preserve"> as the public would </w:t>
      </w:r>
      <w:r w:rsidR="00195473">
        <w:t>lose confidence i</w:t>
      </w:r>
      <w:r>
        <w:t xml:space="preserve">n </w:t>
      </w:r>
      <w:r w:rsidR="00195473">
        <w:t>the vehicle registry department</w:t>
      </w:r>
      <w:r>
        <w:t xml:space="preserve"> Public Office calls for much more than one wo</w:t>
      </w:r>
      <w:r w:rsidR="00195473">
        <w:t>uld be demanded of the conduct</w:t>
      </w:r>
      <w:r>
        <w:t xml:space="preserve"> of any other </w:t>
      </w:r>
      <w:r w:rsidR="00195473">
        <w:t>citizen</w:t>
      </w:r>
      <w:r>
        <w:t xml:space="preserve"> hence if respondent concluded that </w:t>
      </w:r>
      <w:r w:rsidR="00195473">
        <w:t>infraction was so gross warranting</w:t>
      </w:r>
      <w:r>
        <w:t xml:space="preserve"> dismissed</w:t>
      </w:r>
      <w:r w:rsidR="00195473">
        <w:t xml:space="preserve"> the</w:t>
      </w:r>
      <w:r>
        <w:t xml:space="preserve"> appeal court </w:t>
      </w:r>
      <w:r w:rsidR="00CB1A4E">
        <w:t>cannot</w:t>
      </w:r>
      <w:r>
        <w:t xml:space="preserve"> </w:t>
      </w:r>
      <w:r w:rsidR="00195473">
        <w:t>fault</w:t>
      </w:r>
      <w:r>
        <w:t xml:space="preserve"> it.</w:t>
      </w:r>
    </w:p>
    <w:p w:rsidR="00091FEB" w:rsidRDefault="00091FEB" w:rsidP="00CB1A4E">
      <w:pPr>
        <w:jc w:val="both"/>
      </w:pPr>
    </w:p>
    <w:p w:rsidR="00091FEB" w:rsidRDefault="00091FEB" w:rsidP="005903BF">
      <w:pPr>
        <w:spacing w:line="360" w:lineRule="auto"/>
        <w:jc w:val="both"/>
      </w:pPr>
      <w:r>
        <w:tab/>
        <w:t xml:space="preserve">The dishonesty cannot at </w:t>
      </w:r>
      <w:r w:rsidR="00195473">
        <w:t xml:space="preserve">connotations </w:t>
      </w:r>
      <w:r w:rsidR="00A97C9B">
        <w:t>embroiled</w:t>
      </w:r>
      <w:r>
        <w:t xml:space="preserve"> in it surely </w:t>
      </w:r>
      <w:r w:rsidR="00A97C9B">
        <w:t>pas</w:t>
      </w:r>
      <w:r w:rsidR="00CB1A4E">
        <w:t xml:space="preserve">s the test of a dismissable offence.  In the ultimate these </w:t>
      </w:r>
      <w:r w:rsidR="00A97C9B">
        <w:t>two grounds</w:t>
      </w:r>
      <w:r w:rsidR="00CB1A4E">
        <w:t xml:space="preserve"> are also not merited and they should fail.</w:t>
      </w:r>
    </w:p>
    <w:p w:rsidR="00CB1A4E" w:rsidRDefault="00CB1A4E" w:rsidP="00CB1A4E">
      <w:pPr>
        <w:jc w:val="both"/>
      </w:pPr>
    </w:p>
    <w:p w:rsidR="00CB1A4E" w:rsidRDefault="00CB1A4E" w:rsidP="005903BF">
      <w:pPr>
        <w:spacing w:line="360" w:lineRule="auto"/>
        <w:jc w:val="both"/>
      </w:pPr>
      <w:r>
        <w:tab/>
        <w:t>In the result the whole appeal being of devoid of merit should fail.</w:t>
      </w:r>
    </w:p>
    <w:p w:rsidR="00CB1A4E" w:rsidRDefault="00CB1A4E" w:rsidP="00CB1A4E">
      <w:pPr>
        <w:jc w:val="both"/>
      </w:pPr>
    </w:p>
    <w:p w:rsidR="00CB1A4E" w:rsidRDefault="00CB1A4E" w:rsidP="005903BF">
      <w:pPr>
        <w:spacing w:line="360" w:lineRule="auto"/>
        <w:jc w:val="both"/>
      </w:pPr>
      <w:r>
        <w:t>IT IS ODERED THAT</w:t>
      </w:r>
    </w:p>
    <w:p w:rsidR="00CB1A4E" w:rsidRDefault="00CB1A4E" w:rsidP="00CB1A4E">
      <w:pPr>
        <w:jc w:val="both"/>
      </w:pPr>
    </w:p>
    <w:p w:rsidR="00CB1A4E" w:rsidRDefault="00CB1A4E" w:rsidP="005903BF">
      <w:pPr>
        <w:spacing w:line="360" w:lineRule="auto"/>
        <w:jc w:val="both"/>
      </w:pPr>
      <w:r>
        <w:t xml:space="preserve">The appeal being without merit </w:t>
      </w:r>
      <w:r w:rsidR="00A97C9B">
        <w:t xml:space="preserve">in its entirety </w:t>
      </w:r>
      <w:r>
        <w:t>it be and is hereby dismissed with costs.</w:t>
      </w:r>
    </w:p>
    <w:p w:rsidR="004D0AE5" w:rsidRDefault="004D0AE5" w:rsidP="00E44FF1">
      <w:pPr>
        <w:spacing w:line="360" w:lineRule="auto"/>
        <w:jc w:val="both"/>
      </w:pPr>
    </w:p>
    <w:p w:rsidR="00637545" w:rsidRDefault="00637545" w:rsidP="00E44FF1">
      <w:pPr>
        <w:spacing w:line="360" w:lineRule="auto"/>
        <w:jc w:val="both"/>
      </w:pPr>
    </w:p>
    <w:p w:rsidR="00637545" w:rsidRDefault="00637545" w:rsidP="00E44FF1">
      <w:pPr>
        <w:spacing w:line="360" w:lineRule="auto"/>
        <w:jc w:val="both"/>
      </w:pPr>
    </w:p>
    <w:p w:rsidR="00637545" w:rsidRDefault="00637545" w:rsidP="00E44FF1">
      <w:pPr>
        <w:spacing w:line="360" w:lineRule="auto"/>
        <w:jc w:val="both"/>
      </w:pPr>
    </w:p>
    <w:p w:rsidR="004D0AE5" w:rsidRDefault="00637545" w:rsidP="00E44FF1">
      <w:pPr>
        <w:spacing w:line="360" w:lineRule="auto"/>
        <w:jc w:val="both"/>
      </w:pPr>
      <w:r w:rsidRPr="00637545">
        <w:rPr>
          <w:b/>
          <w:i/>
        </w:rPr>
        <w:t>BAERA &amp; COMPANY</w:t>
      </w:r>
      <w:r>
        <w:t>, Appellant’s legal practitioners</w:t>
      </w:r>
      <w:r w:rsidR="004D0AE5">
        <w:tab/>
      </w:r>
    </w:p>
    <w:p w:rsidR="00637545" w:rsidRDefault="00637545">
      <w:pPr>
        <w:spacing w:line="360" w:lineRule="auto"/>
        <w:jc w:val="both"/>
      </w:pPr>
    </w:p>
    <w:sectPr w:rsidR="00637545" w:rsidSect="004D0AE5">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6E24" w:rsidRDefault="00D36E24" w:rsidP="004D0AE5">
      <w:r>
        <w:separator/>
      </w:r>
    </w:p>
  </w:endnote>
  <w:endnote w:type="continuationSeparator" w:id="1">
    <w:p w:rsidR="00D36E24" w:rsidRDefault="00D36E24" w:rsidP="004D0A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23145"/>
      <w:docPartObj>
        <w:docPartGallery w:val="Page Numbers (Bottom of Page)"/>
        <w:docPartUnique/>
      </w:docPartObj>
    </w:sdtPr>
    <w:sdtContent>
      <w:p w:rsidR="00CB1A4E" w:rsidRDefault="00F57987">
        <w:pPr>
          <w:pStyle w:val="Footer"/>
          <w:jc w:val="center"/>
        </w:pPr>
        <w:fldSimple w:instr=" PAGE   \* MERGEFORMAT ">
          <w:r w:rsidR="006E26F9">
            <w:rPr>
              <w:noProof/>
            </w:rPr>
            <w:t>2</w:t>
          </w:r>
        </w:fldSimple>
      </w:p>
    </w:sdtContent>
  </w:sdt>
  <w:p w:rsidR="00CB1A4E" w:rsidRDefault="00CB1A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6E24" w:rsidRDefault="00D36E24" w:rsidP="004D0AE5">
      <w:r>
        <w:separator/>
      </w:r>
    </w:p>
  </w:footnote>
  <w:footnote w:type="continuationSeparator" w:id="1">
    <w:p w:rsidR="00D36E24" w:rsidRDefault="00D36E24" w:rsidP="004D0A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A4E" w:rsidRDefault="00CB1A4E">
    <w:pPr>
      <w:pStyle w:val="Header"/>
    </w:pPr>
    <w:r>
      <w:tab/>
    </w:r>
    <w:r>
      <w:tab/>
      <w:t>JUDGMENT NO. LC/H/</w:t>
    </w:r>
    <w:r w:rsidR="006E26F9">
      <w:t>740</w:t>
    </w:r>
    <w: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A0933"/>
    <w:multiLevelType w:val="hybridMultilevel"/>
    <w:tmpl w:val="044049DC"/>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A676D9D"/>
    <w:multiLevelType w:val="hybridMultilevel"/>
    <w:tmpl w:val="2494B6E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E44FF1"/>
    <w:rsid w:val="00091FEB"/>
    <w:rsid w:val="00094C3C"/>
    <w:rsid w:val="000A00BF"/>
    <w:rsid w:val="00104CC2"/>
    <w:rsid w:val="00113389"/>
    <w:rsid w:val="00195473"/>
    <w:rsid w:val="00265AE8"/>
    <w:rsid w:val="00333BF7"/>
    <w:rsid w:val="00366437"/>
    <w:rsid w:val="003A47BB"/>
    <w:rsid w:val="003C4620"/>
    <w:rsid w:val="004B67B4"/>
    <w:rsid w:val="004D0AE5"/>
    <w:rsid w:val="005152DB"/>
    <w:rsid w:val="005903BF"/>
    <w:rsid w:val="005D5A7A"/>
    <w:rsid w:val="00612CDE"/>
    <w:rsid w:val="00637545"/>
    <w:rsid w:val="006578D9"/>
    <w:rsid w:val="006C15DD"/>
    <w:rsid w:val="006E26F9"/>
    <w:rsid w:val="006F565E"/>
    <w:rsid w:val="0071578B"/>
    <w:rsid w:val="00745E74"/>
    <w:rsid w:val="00764039"/>
    <w:rsid w:val="00840D95"/>
    <w:rsid w:val="00851043"/>
    <w:rsid w:val="008559BE"/>
    <w:rsid w:val="00890826"/>
    <w:rsid w:val="008E127B"/>
    <w:rsid w:val="00926773"/>
    <w:rsid w:val="009F6107"/>
    <w:rsid w:val="00A73A5D"/>
    <w:rsid w:val="00A82F48"/>
    <w:rsid w:val="00A97C9B"/>
    <w:rsid w:val="00B0746C"/>
    <w:rsid w:val="00B27F25"/>
    <w:rsid w:val="00B54CEB"/>
    <w:rsid w:val="00C77E99"/>
    <w:rsid w:val="00C90A42"/>
    <w:rsid w:val="00CB1A4E"/>
    <w:rsid w:val="00D36E24"/>
    <w:rsid w:val="00D953A2"/>
    <w:rsid w:val="00E207E8"/>
    <w:rsid w:val="00E44FF1"/>
    <w:rsid w:val="00EC7158"/>
    <w:rsid w:val="00F57987"/>
    <w:rsid w:val="00F72FBC"/>
    <w:rsid w:val="00FA61C4"/>
    <w:rsid w:val="00FD1543"/>
    <w:rsid w:val="00FF7F7C"/>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FF1"/>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D0AE5"/>
    <w:pPr>
      <w:tabs>
        <w:tab w:val="center" w:pos="4513"/>
        <w:tab w:val="right" w:pos="9026"/>
      </w:tabs>
    </w:pPr>
  </w:style>
  <w:style w:type="character" w:customStyle="1" w:styleId="HeaderChar">
    <w:name w:val="Header Char"/>
    <w:basedOn w:val="DefaultParagraphFont"/>
    <w:link w:val="Header"/>
    <w:uiPriority w:val="99"/>
    <w:semiHidden/>
    <w:rsid w:val="004D0AE5"/>
    <w:rPr>
      <w:rFonts w:ascii="Tahoma" w:eastAsia="Times New Roman" w:hAnsi="Tahoma" w:cs="Times New Roman"/>
      <w:sz w:val="24"/>
      <w:szCs w:val="24"/>
      <w:lang w:val="en-US"/>
    </w:rPr>
  </w:style>
  <w:style w:type="paragraph" w:styleId="Footer">
    <w:name w:val="footer"/>
    <w:basedOn w:val="Normal"/>
    <w:link w:val="FooterChar"/>
    <w:uiPriority w:val="99"/>
    <w:unhideWhenUsed/>
    <w:rsid w:val="004D0AE5"/>
    <w:pPr>
      <w:tabs>
        <w:tab w:val="center" w:pos="4513"/>
        <w:tab w:val="right" w:pos="9026"/>
      </w:tabs>
    </w:pPr>
  </w:style>
  <w:style w:type="character" w:customStyle="1" w:styleId="FooterChar">
    <w:name w:val="Footer Char"/>
    <w:basedOn w:val="DefaultParagraphFont"/>
    <w:link w:val="Footer"/>
    <w:uiPriority w:val="99"/>
    <w:rsid w:val="004D0AE5"/>
    <w:rPr>
      <w:rFonts w:ascii="Tahoma" w:eastAsia="Times New Roman" w:hAnsi="Tahoma" w:cs="Times New Roman"/>
      <w:sz w:val="24"/>
      <w:szCs w:val="24"/>
      <w:lang w:val="en-US"/>
    </w:rPr>
  </w:style>
  <w:style w:type="paragraph" w:styleId="ListParagraph">
    <w:name w:val="List Paragraph"/>
    <w:basedOn w:val="Normal"/>
    <w:uiPriority w:val="34"/>
    <w:qFormat/>
    <w:rsid w:val="006C15D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277</TotalTime>
  <Pages>1</Pages>
  <Words>1584</Words>
  <Characters>9034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16</cp:revision>
  <cp:lastPrinted>2014-10-27T10:17:00Z</cp:lastPrinted>
  <dcterms:created xsi:type="dcterms:W3CDTF">2014-10-17T12:59:00Z</dcterms:created>
  <dcterms:modified xsi:type="dcterms:W3CDTF">2014-10-27T10:22:00Z</dcterms:modified>
</cp:coreProperties>
</file>