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21" w:rsidRPr="00366B7A" w:rsidRDefault="002B4521" w:rsidP="002B4521">
      <w:pPr>
        <w:spacing w:line="360" w:lineRule="auto"/>
        <w:jc w:val="both"/>
        <w:rPr>
          <w:rFonts w:cs="Tahoma"/>
          <w:b/>
        </w:rPr>
      </w:pPr>
      <w:proofErr w:type="gramStart"/>
      <w:r w:rsidRPr="00366B7A">
        <w:rPr>
          <w:rFonts w:cs="Tahoma"/>
          <w:b/>
        </w:rPr>
        <w:t>IN THE LABOUR COURT OF ZIMBABWE      JUDGMENT NO.</w:t>
      </w:r>
      <w:proofErr w:type="gramEnd"/>
      <w:r w:rsidRPr="00366B7A">
        <w:rPr>
          <w:rFonts w:cs="Tahoma"/>
          <w:b/>
        </w:rPr>
        <w:t xml:space="preserve"> LC/H/</w:t>
      </w:r>
      <w:r w:rsidR="00360081">
        <w:rPr>
          <w:rFonts w:cs="Tahoma"/>
          <w:b/>
        </w:rPr>
        <w:t>589</w:t>
      </w:r>
      <w:r w:rsidRPr="00366B7A">
        <w:rPr>
          <w:rFonts w:cs="Tahoma"/>
          <w:b/>
        </w:rPr>
        <w:t>/2016</w:t>
      </w:r>
    </w:p>
    <w:p w:rsidR="002B4521" w:rsidRPr="00366B7A" w:rsidRDefault="002B4521" w:rsidP="002B4521">
      <w:pPr>
        <w:spacing w:line="360" w:lineRule="auto"/>
        <w:jc w:val="both"/>
        <w:rPr>
          <w:rFonts w:cs="Tahoma"/>
          <w:b/>
        </w:rPr>
      </w:pPr>
      <w:r w:rsidRPr="00366B7A">
        <w:rPr>
          <w:rFonts w:cs="Tahoma"/>
          <w:b/>
        </w:rPr>
        <w:t xml:space="preserve">HARARE, </w:t>
      </w:r>
      <w:r>
        <w:rPr>
          <w:rFonts w:cs="Tahoma"/>
          <w:b/>
        </w:rPr>
        <w:t xml:space="preserve">17 MARCH </w:t>
      </w:r>
      <w:r w:rsidRPr="00366B7A">
        <w:rPr>
          <w:rFonts w:cs="Tahoma"/>
          <w:b/>
        </w:rPr>
        <w:t>2016</w:t>
      </w:r>
      <w:r w:rsidR="002C40F3">
        <w:rPr>
          <w:rFonts w:cs="Tahoma"/>
          <w:b/>
        </w:rPr>
        <w:tab/>
      </w:r>
      <w:r w:rsidR="002C40F3">
        <w:rPr>
          <w:rFonts w:cs="Tahoma"/>
          <w:b/>
        </w:rPr>
        <w:tab/>
      </w:r>
      <w:r w:rsidR="002C40F3">
        <w:rPr>
          <w:rFonts w:cs="Tahoma"/>
          <w:b/>
        </w:rPr>
        <w:tab/>
      </w:r>
      <w:r w:rsidR="002C40F3">
        <w:rPr>
          <w:rFonts w:cs="Tahoma"/>
          <w:b/>
        </w:rPr>
        <w:tab/>
        <w:t xml:space="preserve">     </w:t>
      </w:r>
      <w:bookmarkStart w:id="0" w:name="_GoBack"/>
      <w:bookmarkEnd w:id="0"/>
      <w:r w:rsidRPr="00366B7A">
        <w:rPr>
          <w:rFonts w:cs="Tahoma"/>
          <w:b/>
        </w:rPr>
        <w:t>CASE NO. LC/</w:t>
      </w:r>
      <w:r>
        <w:rPr>
          <w:rFonts w:cs="Tahoma"/>
          <w:b/>
        </w:rPr>
        <w:t>H/314/13</w:t>
      </w:r>
    </w:p>
    <w:p w:rsidR="002B4521" w:rsidRPr="00366B7A" w:rsidRDefault="002B4521" w:rsidP="002B4521">
      <w:pPr>
        <w:spacing w:line="360" w:lineRule="auto"/>
        <w:jc w:val="both"/>
        <w:rPr>
          <w:rFonts w:cs="Tahoma"/>
          <w:b/>
        </w:rPr>
      </w:pPr>
      <w:r w:rsidRPr="00366B7A">
        <w:rPr>
          <w:rFonts w:cs="Tahoma"/>
          <w:b/>
        </w:rPr>
        <w:t xml:space="preserve">AND </w:t>
      </w:r>
      <w:r w:rsidR="00360081">
        <w:rPr>
          <w:rFonts w:cs="Tahoma"/>
          <w:b/>
        </w:rPr>
        <w:t xml:space="preserve">23 SEPTEMBER </w:t>
      </w:r>
      <w:r w:rsidRPr="00366B7A">
        <w:rPr>
          <w:rFonts w:cs="Tahoma"/>
          <w:b/>
        </w:rPr>
        <w:t>2016</w:t>
      </w:r>
    </w:p>
    <w:p w:rsidR="002B4521" w:rsidRPr="00366B7A" w:rsidRDefault="002B4521" w:rsidP="002B4521">
      <w:pPr>
        <w:spacing w:line="360" w:lineRule="auto"/>
        <w:jc w:val="both"/>
        <w:rPr>
          <w:rFonts w:cs="Tahoma"/>
        </w:rPr>
      </w:pPr>
      <w:r w:rsidRPr="00366B7A">
        <w:rPr>
          <w:rFonts w:cs="Tahoma"/>
        </w:rPr>
        <w:t>In the matter between:-</w:t>
      </w:r>
    </w:p>
    <w:p w:rsidR="002B4521" w:rsidRPr="00366B7A" w:rsidRDefault="002B4521" w:rsidP="002B4521">
      <w:pPr>
        <w:spacing w:line="360" w:lineRule="auto"/>
        <w:jc w:val="both"/>
        <w:rPr>
          <w:rFonts w:cs="Tahoma"/>
        </w:rPr>
      </w:pPr>
    </w:p>
    <w:p w:rsidR="002B4521" w:rsidRPr="00366B7A" w:rsidRDefault="002B4521" w:rsidP="002B4521">
      <w:pPr>
        <w:spacing w:line="360" w:lineRule="auto"/>
        <w:jc w:val="both"/>
        <w:rPr>
          <w:rFonts w:cs="Tahoma"/>
          <w:b/>
        </w:rPr>
      </w:pPr>
      <w:r>
        <w:rPr>
          <w:rFonts w:cs="Tahoma"/>
          <w:b/>
        </w:rPr>
        <w:t>FBC BANK</w:t>
      </w:r>
      <w:r w:rsidR="00073838">
        <w:rPr>
          <w:rFonts w:cs="Tahoma"/>
          <w:b/>
        </w:rPr>
        <w:tab/>
      </w:r>
      <w:r w:rsidR="00073838">
        <w:rPr>
          <w:rFonts w:cs="Tahoma"/>
          <w:b/>
        </w:rPr>
        <w:tab/>
      </w:r>
      <w:r w:rsidRPr="00366B7A">
        <w:rPr>
          <w:rFonts w:cs="Tahoma"/>
          <w:b/>
        </w:rPr>
        <w:tab/>
      </w:r>
      <w:r w:rsidRPr="00366B7A">
        <w:rPr>
          <w:rFonts w:cs="Tahoma"/>
          <w:b/>
        </w:rPr>
        <w:tab/>
      </w:r>
      <w:r w:rsidRPr="00366B7A">
        <w:rPr>
          <w:rFonts w:cs="Tahoma"/>
          <w:b/>
        </w:rPr>
        <w:tab/>
      </w:r>
      <w:r w:rsidRPr="00366B7A">
        <w:rPr>
          <w:rFonts w:cs="Tahoma"/>
          <w:b/>
        </w:rPr>
        <w:tab/>
        <w:t>Appellant</w:t>
      </w:r>
    </w:p>
    <w:p w:rsidR="002B4521" w:rsidRPr="00366B7A" w:rsidRDefault="002B4521" w:rsidP="002B4521">
      <w:pPr>
        <w:spacing w:line="360" w:lineRule="auto"/>
        <w:jc w:val="both"/>
        <w:rPr>
          <w:rFonts w:cs="Tahoma"/>
        </w:rPr>
      </w:pPr>
      <w:r w:rsidRPr="00366B7A">
        <w:rPr>
          <w:rFonts w:cs="Tahoma"/>
        </w:rPr>
        <w:t>And</w:t>
      </w:r>
    </w:p>
    <w:p w:rsidR="002B4521" w:rsidRPr="00366B7A" w:rsidRDefault="002B4521" w:rsidP="002B4521">
      <w:pPr>
        <w:spacing w:line="360" w:lineRule="auto"/>
        <w:jc w:val="both"/>
        <w:rPr>
          <w:rFonts w:cs="Tahoma"/>
          <w:b/>
        </w:rPr>
      </w:pPr>
      <w:r>
        <w:rPr>
          <w:rFonts w:cs="Tahoma"/>
          <w:b/>
        </w:rPr>
        <w:t>PHILLMON CHI</w:t>
      </w:r>
      <w:r w:rsidR="00ED4BB7">
        <w:rPr>
          <w:rFonts w:cs="Tahoma"/>
          <w:b/>
        </w:rPr>
        <w:t>DAMBA</w:t>
      </w:r>
      <w:r w:rsidRPr="00366B7A">
        <w:rPr>
          <w:rFonts w:cs="Tahoma"/>
          <w:b/>
        </w:rPr>
        <w:tab/>
      </w:r>
      <w:r w:rsidRPr="00366B7A">
        <w:rPr>
          <w:rFonts w:cs="Tahoma"/>
          <w:b/>
        </w:rPr>
        <w:tab/>
      </w:r>
      <w:r w:rsidRPr="00366B7A">
        <w:rPr>
          <w:rFonts w:cs="Tahoma"/>
          <w:b/>
        </w:rPr>
        <w:tab/>
      </w:r>
      <w:r w:rsidRPr="00366B7A">
        <w:rPr>
          <w:rFonts w:cs="Tahoma"/>
          <w:b/>
        </w:rPr>
        <w:tab/>
        <w:t>Respondent</w:t>
      </w:r>
    </w:p>
    <w:p w:rsidR="002B4521" w:rsidRPr="00366B7A" w:rsidRDefault="002B4521" w:rsidP="002B4521">
      <w:pPr>
        <w:spacing w:line="360" w:lineRule="auto"/>
        <w:jc w:val="both"/>
        <w:rPr>
          <w:rFonts w:cs="Tahoma"/>
          <w:b/>
        </w:rPr>
      </w:pPr>
    </w:p>
    <w:p w:rsidR="002B4521" w:rsidRPr="00366B7A" w:rsidRDefault="002B4521" w:rsidP="002B4521">
      <w:pPr>
        <w:spacing w:line="360" w:lineRule="auto"/>
        <w:jc w:val="both"/>
        <w:rPr>
          <w:rFonts w:cs="Tahoma"/>
        </w:rPr>
      </w:pPr>
      <w:r w:rsidRPr="00366B7A">
        <w:rPr>
          <w:rFonts w:cs="Tahoma"/>
        </w:rPr>
        <w:t xml:space="preserve">Before Honourable R.F. </w:t>
      </w:r>
      <w:proofErr w:type="spellStart"/>
      <w:r w:rsidRPr="00366B7A">
        <w:rPr>
          <w:rFonts w:cs="Tahoma"/>
        </w:rPr>
        <w:t>Manyangadze</w:t>
      </w:r>
      <w:proofErr w:type="spellEnd"/>
      <w:r w:rsidRPr="00366B7A">
        <w:rPr>
          <w:rFonts w:cs="Tahoma"/>
        </w:rPr>
        <w:t>, J</w:t>
      </w:r>
    </w:p>
    <w:p w:rsidR="002B4521" w:rsidRPr="00366B7A" w:rsidRDefault="002B4521" w:rsidP="002B4521">
      <w:pPr>
        <w:spacing w:line="360" w:lineRule="auto"/>
        <w:jc w:val="both"/>
        <w:rPr>
          <w:rFonts w:cs="Tahoma"/>
        </w:rPr>
      </w:pPr>
      <w:r w:rsidRPr="00366B7A">
        <w:rPr>
          <w:rFonts w:cs="Tahoma"/>
        </w:rPr>
        <w:tab/>
      </w:r>
      <w:r w:rsidRPr="00366B7A">
        <w:rPr>
          <w:rFonts w:cs="Tahoma"/>
        </w:rPr>
        <w:tab/>
      </w:r>
      <w:r w:rsidRPr="00366B7A">
        <w:rPr>
          <w:rFonts w:cs="Tahoma"/>
        </w:rPr>
        <w:tab/>
      </w:r>
    </w:p>
    <w:p w:rsidR="002B4521" w:rsidRPr="00366B7A" w:rsidRDefault="002B4521" w:rsidP="002B4521">
      <w:pPr>
        <w:spacing w:line="360" w:lineRule="auto"/>
        <w:jc w:val="both"/>
        <w:rPr>
          <w:rFonts w:cs="Tahoma"/>
          <w:b/>
        </w:rPr>
      </w:pPr>
      <w:r w:rsidRPr="00366B7A">
        <w:rPr>
          <w:rFonts w:cs="Tahoma"/>
          <w:b/>
        </w:rPr>
        <w:t>For Appellant</w:t>
      </w:r>
      <w:r w:rsidR="00157226">
        <w:rPr>
          <w:rFonts w:cs="Tahoma"/>
          <w:b/>
        </w:rPr>
        <w:tab/>
      </w:r>
      <w:r w:rsidR="00157226">
        <w:rPr>
          <w:rFonts w:cs="Tahoma"/>
          <w:b/>
        </w:rPr>
        <w:tab/>
      </w:r>
      <w:proofErr w:type="spellStart"/>
      <w:r w:rsidR="00157226">
        <w:rPr>
          <w:rFonts w:cs="Tahoma"/>
          <w:b/>
        </w:rPr>
        <w:t>Mr</w:t>
      </w:r>
      <w:proofErr w:type="spellEnd"/>
      <w:r w:rsidR="00157226">
        <w:rPr>
          <w:rFonts w:cs="Tahoma"/>
          <w:b/>
        </w:rPr>
        <w:t xml:space="preserve"> A.K. </w:t>
      </w:r>
      <w:proofErr w:type="spellStart"/>
      <w:r w:rsidR="00157226">
        <w:rPr>
          <w:rFonts w:cs="Tahoma"/>
          <w:b/>
        </w:rPr>
        <w:t>Maguchu</w:t>
      </w:r>
      <w:proofErr w:type="spellEnd"/>
      <w:r w:rsidR="00157226">
        <w:rPr>
          <w:rFonts w:cs="Tahoma"/>
          <w:b/>
        </w:rPr>
        <w:t xml:space="preserve"> (Legal Practitioner)</w:t>
      </w:r>
      <w:r w:rsidRPr="00366B7A">
        <w:rPr>
          <w:rFonts w:cs="Tahoma"/>
          <w:b/>
        </w:rPr>
        <w:t xml:space="preserve"> </w:t>
      </w:r>
      <w:r w:rsidRPr="00366B7A">
        <w:rPr>
          <w:rFonts w:cs="Tahoma"/>
          <w:b/>
        </w:rPr>
        <w:tab/>
      </w:r>
      <w:r w:rsidRPr="00366B7A">
        <w:rPr>
          <w:rFonts w:cs="Tahoma"/>
          <w:b/>
        </w:rPr>
        <w:tab/>
      </w:r>
    </w:p>
    <w:p w:rsidR="002B4521" w:rsidRPr="00366B7A" w:rsidRDefault="002B4521" w:rsidP="002B4521">
      <w:pPr>
        <w:pStyle w:val="NoSpacing"/>
        <w:spacing w:line="360" w:lineRule="auto"/>
        <w:jc w:val="both"/>
        <w:rPr>
          <w:rFonts w:cs="Tahoma"/>
          <w:b/>
        </w:rPr>
      </w:pPr>
      <w:r w:rsidRPr="00366B7A">
        <w:rPr>
          <w:rFonts w:cs="Tahoma"/>
          <w:b/>
        </w:rPr>
        <w:t>For Respondent</w:t>
      </w:r>
      <w:r w:rsidR="00157226">
        <w:rPr>
          <w:rFonts w:cs="Tahoma"/>
          <w:b/>
        </w:rPr>
        <w:tab/>
      </w:r>
      <w:r w:rsidR="00157226">
        <w:rPr>
          <w:rFonts w:cs="Tahoma"/>
          <w:b/>
        </w:rPr>
        <w:tab/>
      </w:r>
      <w:proofErr w:type="spellStart"/>
      <w:r w:rsidR="00760659">
        <w:rPr>
          <w:rFonts w:cs="Tahoma"/>
          <w:b/>
        </w:rPr>
        <w:t>Ms</w:t>
      </w:r>
      <w:proofErr w:type="spellEnd"/>
      <w:r w:rsidR="00760659">
        <w:rPr>
          <w:rFonts w:cs="Tahoma"/>
          <w:b/>
        </w:rPr>
        <w:t xml:space="preserve"> Z. </w:t>
      </w:r>
      <w:proofErr w:type="spellStart"/>
      <w:r w:rsidR="00760659">
        <w:rPr>
          <w:rFonts w:cs="Tahoma"/>
          <w:b/>
        </w:rPr>
        <w:t>Chirombe</w:t>
      </w:r>
      <w:proofErr w:type="spellEnd"/>
      <w:r w:rsidR="00760659">
        <w:rPr>
          <w:rFonts w:cs="Tahoma"/>
          <w:b/>
        </w:rPr>
        <w:t xml:space="preserve"> (Trade Unionist)</w:t>
      </w:r>
      <w:r w:rsidRPr="00366B7A">
        <w:rPr>
          <w:rFonts w:cs="Tahoma"/>
        </w:rPr>
        <w:tab/>
      </w:r>
      <w:r w:rsidRPr="00366B7A">
        <w:rPr>
          <w:rFonts w:cs="Tahoma"/>
        </w:rPr>
        <w:tab/>
      </w:r>
    </w:p>
    <w:p w:rsidR="002B4521" w:rsidRPr="00366B7A" w:rsidRDefault="002B4521" w:rsidP="002B4521">
      <w:pPr>
        <w:pStyle w:val="NoSpacing"/>
        <w:rPr>
          <w:rFonts w:cs="Tahoma"/>
          <w:b/>
        </w:rPr>
      </w:pPr>
      <w:r w:rsidRPr="00366B7A">
        <w:rPr>
          <w:rFonts w:cs="Tahoma"/>
          <w:b/>
        </w:rPr>
        <w:tab/>
      </w:r>
      <w:r w:rsidRPr="00366B7A">
        <w:rPr>
          <w:rFonts w:cs="Tahoma"/>
          <w:b/>
        </w:rPr>
        <w:tab/>
      </w:r>
      <w:r w:rsidRPr="00366B7A">
        <w:rPr>
          <w:rFonts w:cs="Tahoma"/>
          <w:b/>
        </w:rPr>
        <w:tab/>
      </w:r>
      <w:r w:rsidRPr="00366B7A">
        <w:rPr>
          <w:rFonts w:cs="Tahoma"/>
          <w:b/>
        </w:rPr>
        <w:tab/>
      </w:r>
      <w:r w:rsidRPr="00366B7A">
        <w:rPr>
          <w:rFonts w:cs="Tahoma"/>
          <w:b/>
        </w:rPr>
        <w:tab/>
      </w:r>
    </w:p>
    <w:p w:rsidR="002B4521" w:rsidRPr="00366B7A" w:rsidRDefault="002B4521" w:rsidP="002B4521">
      <w:pPr>
        <w:pStyle w:val="NoSpacing"/>
        <w:rPr>
          <w:rFonts w:cs="Tahoma"/>
          <w:b/>
        </w:rPr>
      </w:pPr>
    </w:p>
    <w:p w:rsidR="002B4521" w:rsidRPr="00366B7A" w:rsidRDefault="002B4521" w:rsidP="002B4521">
      <w:pPr>
        <w:spacing w:line="360" w:lineRule="auto"/>
        <w:jc w:val="both"/>
        <w:rPr>
          <w:rFonts w:cs="Tahoma"/>
          <w:b/>
        </w:rPr>
      </w:pPr>
      <w:r w:rsidRPr="00366B7A">
        <w:rPr>
          <w:rFonts w:cs="Tahoma"/>
          <w:b/>
        </w:rPr>
        <w:t>MANYANGADZE, J:</w:t>
      </w:r>
    </w:p>
    <w:p w:rsidR="008059C3" w:rsidRDefault="008059C3" w:rsidP="00C12A05">
      <w:pPr>
        <w:spacing w:line="360" w:lineRule="auto"/>
        <w:jc w:val="both"/>
      </w:pPr>
    </w:p>
    <w:p w:rsidR="00C12A05" w:rsidRDefault="00C12A05" w:rsidP="00C12A05">
      <w:pPr>
        <w:spacing w:line="360" w:lineRule="auto"/>
        <w:jc w:val="both"/>
      </w:pPr>
      <w:r>
        <w:tab/>
      </w:r>
      <w:r w:rsidR="00BE068A">
        <w:t>This is an appeal against the determination of the National Employment Council</w:t>
      </w:r>
      <w:r w:rsidR="001C24E5">
        <w:t xml:space="preserve"> Appeals Board for the Banking Undertaking;</w:t>
      </w:r>
      <w:r w:rsidR="00BE068A">
        <w:t xml:space="preserve"> which set aside the respondent’s dismissal</w:t>
      </w:r>
      <w:r w:rsidR="00FB1B4D">
        <w:t xml:space="preserve"> from emplo</w:t>
      </w:r>
      <w:r w:rsidR="001C24E5">
        <w:t>yment, and substituted it with</w:t>
      </w:r>
      <w:r w:rsidR="00FB1B4D">
        <w:t xml:space="preserve"> a severe written warning.</w:t>
      </w:r>
    </w:p>
    <w:p w:rsidR="00DD12BA" w:rsidRDefault="00DD12BA" w:rsidP="00AA1C7B">
      <w:pPr>
        <w:jc w:val="both"/>
      </w:pPr>
    </w:p>
    <w:p w:rsidR="00DD12BA" w:rsidRDefault="00DD12BA" w:rsidP="00DD12BA">
      <w:pPr>
        <w:spacing w:line="360" w:lineRule="auto"/>
        <w:ind w:firstLine="720"/>
        <w:jc w:val="both"/>
      </w:pPr>
      <w:r>
        <w:t>The factual background to the matter is as follows.</w:t>
      </w:r>
    </w:p>
    <w:p w:rsidR="00DD12BA" w:rsidRDefault="00DD12BA" w:rsidP="00AA1C7B">
      <w:pPr>
        <w:ind w:firstLine="720"/>
        <w:jc w:val="both"/>
      </w:pPr>
    </w:p>
    <w:p w:rsidR="00E55999" w:rsidRDefault="00DD12BA" w:rsidP="00DD12BA">
      <w:pPr>
        <w:spacing w:line="360" w:lineRule="auto"/>
        <w:ind w:firstLine="720"/>
        <w:jc w:val="both"/>
      </w:pPr>
      <w:r>
        <w:t xml:space="preserve">The respondent was employed by the appellant as a bank teller.  He was, at the material time, based at the appellant’s </w:t>
      </w:r>
      <w:proofErr w:type="spellStart"/>
      <w:r>
        <w:t>Masvingo</w:t>
      </w:r>
      <w:proofErr w:type="spellEnd"/>
      <w:r>
        <w:t xml:space="preserve"> Branch.</w:t>
      </w:r>
      <w:r w:rsidR="0047086D">
        <w:t xml:space="preserve">  The respondent and a </w:t>
      </w:r>
      <w:r w:rsidR="00650728">
        <w:t>workmate</w:t>
      </w:r>
      <w:r w:rsidR="0047086D">
        <w:t xml:space="preserve">, one </w:t>
      </w:r>
      <w:proofErr w:type="spellStart"/>
      <w:r w:rsidR="0047086D">
        <w:t>Happymore</w:t>
      </w:r>
      <w:proofErr w:type="spellEnd"/>
      <w:r w:rsidR="0047086D">
        <w:t xml:space="preserve"> </w:t>
      </w:r>
      <w:proofErr w:type="spellStart"/>
      <w:r w:rsidR="0047086D">
        <w:t>Muzara</w:t>
      </w:r>
      <w:proofErr w:type="spellEnd"/>
      <w:r w:rsidR="0047086D">
        <w:t>, had joint responsibility for</w:t>
      </w:r>
      <w:r w:rsidR="00E34F31">
        <w:t xml:space="preserve"> the appellant’s two ATM </w:t>
      </w:r>
      <w:r w:rsidR="004134EB">
        <w:t>machines</w:t>
      </w:r>
      <w:r w:rsidR="00E34F31">
        <w:t>, installed at the Bank and Building Society</w:t>
      </w:r>
      <w:r w:rsidR="00B459DC">
        <w:t xml:space="preserve"> </w:t>
      </w:r>
      <w:r w:rsidR="00EB3C9A">
        <w:t>divisions</w:t>
      </w:r>
      <w:r w:rsidR="00B459DC">
        <w:t xml:space="preserve">. </w:t>
      </w:r>
      <w:r w:rsidR="0047086D">
        <w:t xml:space="preserve"> </w:t>
      </w:r>
      <w:r w:rsidR="00DA1AB3">
        <w:t>The machines were within easy walking distance of ea</w:t>
      </w:r>
      <w:r w:rsidR="00121A49">
        <w:t>ch other</w:t>
      </w:r>
      <w:r w:rsidR="00E55999">
        <w:t>.</w:t>
      </w:r>
    </w:p>
    <w:p w:rsidR="00C97D58" w:rsidRDefault="00C97D58" w:rsidP="00C97D58">
      <w:pPr>
        <w:ind w:firstLine="720"/>
        <w:jc w:val="both"/>
      </w:pPr>
    </w:p>
    <w:p w:rsidR="00DD12BA" w:rsidRDefault="0066471D" w:rsidP="00DD12BA">
      <w:pPr>
        <w:spacing w:line="360" w:lineRule="auto"/>
        <w:ind w:firstLine="720"/>
        <w:jc w:val="both"/>
      </w:pPr>
      <w:r>
        <w:t xml:space="preserve">The respondent and </w:t>
      </w:r>
      <w:proofErr w:type="spellStart"/>
      <w:r>
        <w:t>Muzara</w:t>
      </w:r>
      <w:proofErr w:type="spellEnd"/>
      <w:r>
        <w:t xml:space="preserve"> </w:t>
      </w:r>
      <w:r w:rsidR="00905A07">
        <w:t>exercised</w:t>
      </w:r>
      <w:r>
        <w:t xml:space="preserve"> what is </w:t>
      </w:r>
      <w:r w:rsidR="00905A07">
        <w:t>referred</w:t>
      </w:r>
      <w:r>
        <w:t xml:space="preserve"> to in </w:t>
      </w:r>
      <w:r w:rsidR="00CA54E1">
        <w:t>the</w:t>
      </w:r>
      <w:r w:rsidR="00905A07">
        <w:t xml:space="preserve"> record</w:t>
      </w:r>
      <w:r w:rsidR="00CA54E1">
        <w:t xml:space="preserve"> as</w:t>
      </w:r>
      <w:r w:rsidR="00121A49">
        <w:t xml:space="preserve"> joint custodianship of the ATM machines.  </w:t>
      </w:r>
      <w:r w:rsidR="00FA4CCE">
        <w:t>The</w:t>
      </w:r>
      <w:r w:rsidR="00CA54E1">
        <w:t>ir</w:t>
      </w:r>
      <w:r w:rsidR="00FA4CCE">
        <w:t xml:space="preserve"> responsibilities</w:t>
      </w:r>
      <w:r w:rsidR="00121A49">
        <w:t xml:space="preserve"> </w:t>
      </w:r>
      <w:r w:rsidR="00FA4CCE">
        <w:t>included loading cash into the machines, and ensuring</w:t>
      </w:r>
      <w:r w:rsidR="00A2427D">
        <w:t xml:space="preserve"> that the </w:t>
      </w:r>
      <w:r w:rsidR="00CA54E1">
        <w:t>transactions</w:t>
      </w:r>
      <w:r w:rsidR="00067F18">
        <w:t xml:space="preserve"> carried out </w:t>
      </w:r>
      <w:r w:rsidR="00466B91">
        <w:t>balanced.</w:t>
      </w:r>
      <w:r w:rsidR="00067F18">
        <w:t xml:space="preserve"> </w:t>
      </w:r>
      <w:r w:rsidR="00B93930">
        <w:t xml:space="preserve">Any </w:t>
      </w:r>
      <w:r w:rsidR="00B93930">
        <w:lastRenderedPageBreak/>
        <w:t xml:space="preserve">deficit or surplus had to be </w:t>
      </w:r>
      <w:r w:rsidR="00FC41AD">
        <w:t>traced</w:t>
      </w:r>
      <w:r w:rsidR="00B93930">
        <w:t xml:space="preserve"> and corrected.  Any correction done had to be jointly verified by the tellers, before authorisation by their superiors.</w:t>
      </w:r>
    </w:p>
    <w:p w:rsidR="000D27BF" w:rsidRDefault="000D27BF" w:rsidP="00C97D58">
      <w:pPr>
        <w:ind w:firstLine="720"/>
        <w:jc w:val="both"/>
      </w:pPr>
    </w:p>
    <w:p w:rsidR="000D27BF" w:rsidRDefault="000D27BF" w:rsidP="00DD12BA">
      <w:pPr>
        <w:spacing w:line="360" w:lineRule="auto"/>
        <w:ind w:firstLine="720"/>
        <w:jc w:val="both"/>
      </w:pPr>
      <w:r>
        <w:t xml:space="preserve">The Building Society </w:t>
      </w:r>
      <w:r w:rsidR="00085089">
        <w:t>ATM revealed a discrepancy of</w:t>
      </w:r>
      <w:r w:rsidR="001C0B1A">
        <w:t xml:space="preserve"> a US$100</w:t>
      </w:r>
      <w:proofErr w:type="gramStart"/>
      <w:r w:rsidR="001C0B1A">
        <w:t>,00</w:t>
      </w:r>
      <w:proofErr w:type="gramEnd"/>
      <w:r w:rsidR="001C0B1A">
        <w:t xml:space="preserve"> surplus.  </w:t>
      </w:r>
      <w:proofErr w:type="spellStart"/>
      <w:r w:rsidR="001C0B1A">
        <w:t>Muzara</w:t>
      </w:r>
      <w:proofErr w:type="spellEnd"/>
      <w:r w:rsidR="001C0B1A">
        <w:t xml:space="preserve"> </w:t>
      </w:r>
      <w:r w:rsidR="002C5065">
        <w:t>credited</w:t>
      </w:r>
      <w:r w:rsidR="001C0B1A">
        <w:t xml:space="preserve"> the surplus into a client’s account, by the </w:t>
      </w:r>
      <w:r w:rsidR="004134EB">
        <w:t xml:space="preserve">name of </w:t>
      </w:r>
      <w:proofErr w:type="spellStart"/>
      <w:r w:rsidR="004134EB">
        <w:t>Simbarashe</w:t>
      </w:r>
      <w:proofErr w:type="spellEnd"/>
      <w:r w:rsidR="004134EB">
        <w:t xml:space="preserve"> </w:t>
      </w:r>
      <w:proofErr w:type="spellStart"/>
      <w:r w:rsidR="004134EB">
        <w:t>Saukwi</w:t>
      </w:r>
      <w:r w:rsidR="002C5065">
        <w:t>ndi</w:t>
      </w:r>
      <w:proofErr w:type="spellEnd"/>
      <w:r w:rsidR="002C5065">
        <w:t>.  The reason for this credit</w:t>
      </w:r>
      <w:r w:rsidR="00AA5001">
        <w:t xml:space="preserve"> was that it was a reversing entry, meant to correct an unsuccessful transaction </w:t>
      </w:r>
      <w:r w:rsidR="00DC29D2">
        <w:t>carried</w:t>
      </w:r>
      <w:r w:rsidR="00AA5001">
        <w:t xml:space="preserve"> out by the client.  The client</w:t>
      </w:r>
      <w:r w:rsidR="00073A37">
        <w:t xml:space="preserve"> denied ever making an unsuccessful transaction.  The client submitted a report in which he explained that he was </w:t>
      </w:r>
      <w:r w:rsidR="00B56FAA">
        <w:t>contacted</w:t>
      </w:r>
      <w:r w:rsidR="002F79F3">
        <w:t xml:space="preserve"> by </w:t>
      </w:r>
      <w:r w:rsidR="00B56FAA">
        <w:t>phone b</w:t>
      </w:r>
      <w:r w:rsidR="002F79F3">
        <w:t xml:space="preserve">y </w:t>
      </w:r>
      <w:proofErr w:type="spellStart"/>
      <w:r w:rsidR="002F79F3">
        <w:t>Muzara</w:t>
      </w:r>
      <w:proofErr w:type="spellEnd"/>
      <w:r w:rsidR="002F79F3">
        <w:t xml:space="preserve">, who asked the client to withdraw the </w:t>
      </w:r>
      <w:r w:rsidR="005B043F">
        <w:t xml:space="preserve">money and return it to </w:t>
      </w:r>
      <w:proofErr w:type="spellStart"/>
      <w:r w:rsidR="005B043F">
        <w:t>Muzara</w:t>
      </w:r>
      <w:proofErr w:type="spellEnd"/>
      <w:r w:rsidR="00E15740">
        <w:t>,</w:t>
      </w:r>
      <w:r w:rsidR="005B043F">
        <w:t xml:space="preserve"> as it was for payment of </w:t>
      </w:r>
      <w:proofErr w:type="spellStart"/>
      <w:r w:rsidR="005B043F">
        <w:t>Muzara’s</w:t>
      </w:r>
      <w:proofErr w:type="spellEnd"/>
      <w:r w:rsidR="005B043F">
        <w:t xml:space="preserve"> rent.</w:t>
      </w:r>
    </w:p>
    <w:p w:rsidR="0083630F" w:rsidRDefault="0083630F" w:rsidP="00AA1C7B">
      <w:pPr>
        <w:ind w:firstLine="720"/>
        <w:jc w:val="both"/>
      </w:pPr>
    </w:p>
    <w:p w:rsidR="0083630F" w:rsidRDefault="0083630F" w:rsidP="00DD12BA">
      <w:pPr>
        <w:spacing w:line="360" w:lineRule="auto"/>
        <w:ind w:firstLine="720"/>
        <w:jc w:val="both"/>
      </w:pPr>
      <w:r>
        <w:t xml:space="preserve">The </w:t>
      </w:r>
      <w:r w:rsidR="00762F84">
        <w:t>respondent</w:t>
      </w:r>
      <w:r>
        <w:t xml:space="preserve"> signed the </w:t>
      </w:r>
      <w:r w:rsidR="00E15740">
        <w:t>reversing</w:t>
      </w:r>
      <w:r>
        <w:t xml:space="preserve"> entry</w:t>
      </w:r>
      <w:r w:rsidR="00023116">
        <w:t>, which entry</w:t>
      </w:r>
      <w:r w:rsidR="00634B86">
        <w:t xml:space="preserve"> purported to correct a failed $100</w:t>
      </w:r>
      <w:proofErr w:type="gramStart"/>
      <w:r w:rsidR="00634B86">
        <w:t>,00</w:t>
      </w:r>
      <w:proofErr w:type="gramEnd"/>
      <w:r w:rsidR="00634B86">
        <w:t xml:space="preserve"> transaction </w:t>
      </w:r>
      <w:r w:rsidR="00F87DBA">
        <w:t>carried</w:t>
      </w:r>
      <w:r w:rsidR="00634B86">
        <w:t xml:space="preserve"> out by the client.  </w:t>
      </w:r>
      <w:proofErr w:type="spellStart"/>
      <w:r w:rsidR="00634B86">
        <w:t>Muzara</w:t>
      </w:r>
      <w:proofErr w:type="spellEnd"/>
      <w:r w:rsidR="00634B86">
        <w:t xml:space="preserve"> </w:t>
      </w:r>
      <w:r w:rsidR="00F8657C">
        <w:t xml:space="preserve">alleged </w:t>
      </w:r>
      <w:r w:rsidR="00F87DBA">
        <w:t>that there</w:t>
      </w:r>
      <w:r w:rsidR="00F8657C">
        <w:t xml:space="preserve"> was </w:t>
      </w:r>
      <w:r w:rsidR="00325620">
        <w:t>connivance</w:t>
      </w:r>
      <w:r w:rsidR="00F8657C">
        <w:t xml:space="preserve"> with the </w:t>
      </w:r>
      <w:r w:rsidR="00762F84">
        <w:t>respondent</w:t>
      </w:r>
      <w:r w:rsidR="00F8657C">
        <w:t xml:space="preserve"> </w:t>
      </w:r>
      <w:r w:rsidR="006403C7">
        <w:t>when he carried</w:t>
      </w:r>
      <w:r w:rsidR="00F8657C">
        <w:t xml:space="preserve"> out the tra</w:t>
      </w:r>
      <w:r w:rsidR="006F013B">
        <w:t xml:space="preserve">nsaction.  He claimed this was done in order to clear the discrepancy, </w:t>
      </w:r>
      <w:r w:rsidR="006403C7">
        <w:t>for</w:t>
      </w:r>
      <w:r w:rsidR="006F013B">
        <w:t xml:space="preserve"> which they had spent </w:t>
      </w:r>
      <w:r w:rsidR="00BA46A4">
        <w:t>four</w:t>
      </w:r>
      <w:r w:rsidR="006F013B">
        <w:t xml:space="preserve"> days tracing without success.  He resigned </w:t>
      </w:r>
      <w:r w:rsidR="00BA46A4">
        <w:t>before</w:t>
      </w:r>
      <w:r w:rsidR="000A1E43">
        <w:t xml:space="preserve"> any </w:t>
      </w:r>
      <w:r w:rsidR="00BA46A4">
        <w:t>disciplinary</w:t>
      </w:r>
      <w:r w:rsidR="000A1E43">
        <w:t xml:space="preserve"> </w:t>
      </w:r>
      <w:r w:rsidR="002372D9">
        <w:t>action</w:t>
      </w:r>
      <w:r w:rsidR="000A1E43">
        <w:t xml:space="preserve"> was </w:t>
      </w:r>
      <w:r w:rsidR="002372D9">
        <w:t>instituted</w:t>
      </w:r>
      <w:r w:rsidR="00EA58BA">
        <w:t xml:space="preserve"> against him.</w:t>
      </w:r>
    </w:p>
    <w:p w:rsidR="00EA58BA" w:rsidRDefault="00EA58BA" w:rsidP="00AA1C7B">
      <w:pPr>
        <w:ind w:firstLine="720"/>
        <w:jc w:val="both"/>
      </w:pPr>
    </w:p>
    <w:p w:rsidR="00EA58BA" w:rsidRDefault="00EA58BA" w:rsidP="00DD12BA">
      <w:pPr>
        <w:spacing w:line="360" w:lineRule="auto"/>
        <w:ind w:firstLine="720"/>
        <w:jc w:val="both"/>
      </w:pPr>
      <w:r>
        <w:t xml:space="preserve">The </w:t>
      </w:r>
      <w:r w:rsidR="00762F84">
        <w:t>respondent</w:t>
      </w:r>
      <w:r>
        <w:t xml:space="preserve"> was charged in terms </w:t>
      </w:r>
      <w:r w:rsidR="009754DD">
        <w:t>of the B</w:t>
      </w:r>
      <w:r w:rsidR="00317BCB">
        <w:t xml:space="preserve">anking </w:t>
      </w:r>
      <w:r w:rsidR="009754DD">
        <w:t>Undertaking</w:t>
      </w:r>
      <w:r w:rsidR="00317BCB">
        <w:t xml:space="preserve"> Code of Conduct.  The charges were:</w:t>
      </w:r>
    </w:p>
    <w:p w:rsidR="00317BCB" w:rsidRDefault="00317BCB" w:rsidP="007B039C">
      <w:pPr>
        <w:ind w:firstLine="720"/>
        <w:jc w:val="both"/>
      </w:pPr>
    </w:p>
    <w:p w:rsidR="00317BCB" w:rsidRPr="00C279EB" w:rsidRDefault="00317BCB" w:rsidP="00C279EB">
      <w:pPr>
        <w:spacing w:line="276" w:lineRule="auto"/>
        <w:ind w:firstLine="720"/>
        <w:jc w:val="both"/>
        <w:rPr>
          <w:sz w:val="22"/>
          <w:szCs w:val="22"/>
        </w:rPr>
      </w:pPr>
      <w:r w:rsidRPr="00C279EB">
        <w:rPr>
          <w:sz w:val="22"/>
          <w:szCs w:val="22"/>
        </w:rPr>
        <w:t>“D (5)</w:t>
      </w:r>
      <w:r w:rsidR="00334CE6" w:rsidRPr="00C279EB">
        <w:rPr>
          <w:sz w:val="22"/>
          <w:szCs w:val="22"/>
        </w:rPr>
        <w:tab/>
      </w:r>
      <w:r w:rsidR="006C6F80" w:rsidRPr="00C279EB">
        <w:rPr>
          <w:sz w:val="22"/>
          <w:szCs w:val="22"/>
        </w:rPr>
        <w:t>– Theft or Fraud</w:t>
      </w:r>
    </w:p>
    <w:p w:rsidR="006C6F80" w:rsidRPr="00C279EB" w:rsidRDefault="006C6F80" w:rsidP="00C279EB">
      <w:pPr>
        <w:spacing w:line="276" w:lineRule="auto"/>
        <w:ind w:left="720" w:firstLine="72"/>
        <w:jc w:val="both"/>
        <w:rPr>
          <w:sz w:val="22"/>
          <w:szCs w:val="22"/>
        </w:rPr>
      </w:pPr>
      <w:proofErr w:type="gramStart"/>
      <w:r w:rsidRPr="00C279EB">
        <w:rPr>
          <w:sz w:val="22"/>
          <w:szCs w:val="22"/>
        </w:rPr>
        <w:t>D (18)</w:t>
      </w:r>
      <w:r w:rsidR="00C279EB" w:rsidRPr="00C279EB">
        <w:rPr>
          <w:sz w:val="22"/>
          <w:szCs w:val="22"/>
        </w:rPr>
        <w:t xml:space="preserve"> </w:t>
      </w:r>
      <w:r w:rsidRPr="00C279EB">
        <w:rPr>
          <w:sz w:val="22"/>
          <w:szCs w:val="22"/>
        </w:rPr>
        <w:t xml:space="preserve">– Falsification of </w:t>
      </w:r>
      <w:r w:rsidR="00334CE6" w:rsidRPr="00C279EB">
        <w:rPr>
          <w:sz w:val="22"/>
          <w:szCs w:val="22"/>
        </w:rPr>
        <w:t>records or</w:t>
      </w:r>
      <w:r w:rsidR="000623E7" w:rsidRPr="00C279EB">
        <w:rPr>
          <w:sz w:val="22"/>
          <w:szCs w:val="22"/>
        </w:rPr>
        <w:t xml:space="preserve"> any document whether </w:t>
      </w:r>
      <w:r w:rsidR="004134EB" w:rsidRPr="00C279EB">
        <w:rPr>
          <w:sz w:val="22"/>
          <w:szCs w:val="22"/>
        </w:rPr>
        <w:t>of</w:t>
      </w:r>
      <w:r w:rsidR="000623E7" w:rsidRPr="00C279EB">
        <w:rPr>
          <w:sz w:val="22"/>
          <w:szCs w:val="22"/>
        </w:rPr>
        <w:t xml:space="preserve"> </w:t>
      </w:r>
      <w:r w:rsidR="009754DD">
        <w:rPr>
          <w:sz w:val="22"/>
          <w:szCs w:val="22"/>
        </w:rPr>
        <w:t xml:space="preserve">a </w:t>
      </w:r>
      <w:r w:rsidR="00FD183C" w:rsidRPr="00C279EB">
        <w:rPr>
          <w:sz w:val="22"/>
          <w:szCs w:val="22"/>
        </w:rPr>
        <w:t>personal nature or otherwise.”</w:t>
      </w:r>
      <w:proofErr w:type="gramEnd"/>
    </w:p>
    <w:p w:rsidR="00FD183C" w:rsidRDefault="00FD183C" w:rsidP="007B039C">
      <w:pPr>
        <w:jc w:val="both"/>
      </w:pPr>
    </w:p>
    <w:p w:rsidR="00FD183C" w:rsidRDefault="00FD183C" w:rsidP="00FD183C">
      <w:pPr>
        <w:spacing w:line="360" w:lineRule="auto"/>
        <w:jc w:val="both"/>
      </w:pPr>
      <w:r>
        <w:t>The factual particulars of the charge are outlined in the charge letter dated 15 January 2013</w:t>
      </w:r>
      <w:r w:rsidR="00D31AB1">
        <w:t>, captioned “</w:t>
      </w:r>
      <w:r w:rsidR="00AA36F6">
        <w:t>INVITATION TO ATTEND A DISCIPLINARY HEARING”</w:t>
      </w:r>
      <w:r w:rsidR="00B15F97">
        <w:t>.</w:t>
      </w:r>
      <w:r w:rsidR="00AA36F6">
        <w:t xml:space="preserve"> The particulars of the charge are outlined as follows: </w:t>
      </w:r>
    </w:p>
    <w:p w:rsidR="00B17800" w:rsidRDefault="00B17800" w:rsidP="007B039C">
      <w:pPr>
        <w:jc w:val="both"/>
      </w:pPr>
    </w:p>
    <w:p w:rsidR="00B17800" w:rsidRPr="007B039C" w:rsidRDefault="00B17800" w:rsidP="007B039C">
      <w:pPr>
        <w:spacing w:line="276" w:lineRule="auto"/>
        <w:ind w:left="720"/>
        <w:jc w:val="both"/>
        <w:rPr>
          <w:sz w:val="22"/>
          <w:szCs w:val="22"/>
        </w:rPr>
      </w:pPr>
      <w:r w:rsidRPr="007B039C">
        <w:rPr>
          <w:sz w:val="22"/>
          <w:szCs w:val="22"/>
        </w:rPr>
        <w:t>“</w:t>
      </w:r>
      <w:r w:rsidR="006B68D4" w:rsidRPr="007B039C">
        <w:rPr>
          <w:sz w:val="22"/>
          <w:szCs w:val="22"/>
        </w:rPr>
        <w:t>On the 3</w:t>
      </w:r>
      <w:r w:rsidR="006B68D4" w:rsidRPr="007B039C">
        <w:rPr>
          <w:sz w:val="22"/>
          <w:szCs w:val="22"/>
          <w:vertAlign w:val="superscript"/>
        </w:rPr>
        <w:t>rd</w:t>
      </w:r>
      <w:r w:rsidR="006B68D4" w:rsidRPr="007B039C">
        <w:rPr>
          <w:sz w:val="22"/>
          <w:szCs w:val="22"/>
        </w:rPr>
        <w:t xml:space="preserve"> of January 2013, you jointly fraudulently raised an entry </w:t>
      </w:r>
      <w:r w:rsidR="005B003D" w:rsidRPr="007B039C">
        <w:rPr>
          <w:sz w:val="22"/>
          <w:szCs w:val="22"/>
        </w:rPr>
        <w:t xml:space="preserve">for $100 with </w:t>
      </w:r>
      <w:proofErr w:type="spellStart"/>
      <w:r w:rsidR="005B003D" w:rsidRPr="007B039C">
        <w:rPr>
          <w:sz w:val="22"/>
          <w:szCs w:val="22"/>
        </w:rPr>
        <w:t>Happymore</w:t>
      </w:r>
      <w:proofErr w:type="spellEnd"/>
      <w:r w:rsidR="005B003D" w:rsidRPr="007B039C">
        <w:rPr>
          <w:sz w:val="22"/>
          <w:szCs w:val="22"/>
        </w:rPr>
        <w:t xml:space="preserve"> </w:t>
      </w:r>
      <w:proofErr w:type="spellStart"/>
      <w:r w:rsidR="00A578FF" w:rsidRPr="007B039C">
        <w:rPr>
          <w:sz w:val="22"/>
          <w:szCs w:val="22"/>
        </w:rPr>
        <w:t>Muzara</w:t>
      </w:r>
      <w:proofErr w:type="spellEnd"/>
      <w:r w:rsidR="00A578FF" w:rsidRPr="007B039C">
        <w:rPr>
          <w:sz w:val="22"/>
          <w:szCs w:val="22"/>
        </w:rPr>
        <w:t xml:space="preserve"> who was a joint ATM custodian with you </w:t>
      </w:r>
      <w:r w:rsidR="00A513C2" w:rsidRPr="007B039C">
        <w:rPr>
          <w:sz w:val="22"/>
          <w:szCs w:val="22"/>
        </w:rPr>
        <w:t xml:space="preserve">and credited account number 5688025304656 for </w:t>
      </w:r>
      <w:proofErr w:type="spellStart"/>
      <w:r w:rsidR="00A513C2" w:rsidRPr="007B039C">
        <w:rPr>
          <w:sz w:val="22"/>
          <w:szCs w:val="22"/>
        </w:rPr>
        <w:t>Simbarashe</w:t>
      </w:r>
      <w:proofErr w:type="spellEnd"/>
      <w:r w:rsidR="00A513C2" w:rsidRPr="007B039C">
        <w:rPr>
          <w:sz w:val="22"/>
          <w:szCs w:val="22"/>
        </w:rPr>
        <w:t xml:space="preserve"> </w:t>
      </w:r>
      <w:proofErr w:type="spellStart"/>
      <w:r w:rsidR="00A513C2" w:rsidRPr="007B039C">
        <w:rPr>
          <w:sz w:val="22"/>
          <w:szCs w:val="22"/>
        </w:rPr>
        <w:t>Saukwindi</w:t>
      </w:r>
      <w:proofErr w:type="spellEnd"/>
      <w:r w:rsidR="00A513C2" w:rsidRPr="007B039C">
        <w:rPr>
          <w:sz w:val="22"/>
          <w:szCs w:val="22"/>
        </w:rPr>
        <w:t xml:space="preserve"> claiming that it was a reversing entry for an unsuccessful ATM </w:t>
      </w:r>
      <w:r w:rsidR="00CB5A03" w:rsidRPr="007B039C">
        <w:rPr>
          <w:sz w:val="22"/>
          <w:szCs w:val="22"/>
        </w:rPr>
        <w:t>transaction</w:t>
      </w:r>
      <w:r w:rsidR="00A513C2" w:rsidRPr="007B039C">
        <w:rPr>
          <w:sz w:val="22"/>
          <w:szCs w:val="22"/>
        </w:rPr>
        <w:t xml:space="preserve"> done by the client.  The ATM had a cash surplus of</w:t>
      </w:r>
      <w:r w:rsidR="00B15F97">
        <w:rPr>
          <w:sz w:val="22"/>
          <w:szCs w:val="22"/>
        </w:rPr>
        <w:t xml:space="preserve"> $100</w:t>
      </w:r>
      <w:r w:rsidR="00070814" w:rsidRPr="007B039C">
        <w:rPr>
          <w:sz w:val="22"/>
          <w:szCs w:val="22"/>
        </w:rPr>
        <w:t xml:space="preserve"> at that time.  The client has denied this and disowned the credit stating that all transactions were successful.  During investigations by Fore</w:t>
      </w:r>
      <w:r w:rsidR="00CB5A03" w:rsidRPr="007B039C">
        <w:rPr>
          <w:sz w:val="22"/>
          <w:szCs w:val="22"/>
        </w:rPr>
        <w:t>nsic Audit, you failed to produce any supporting document</w:t>
      </w:r>
      <w:r w:rsidR="003A5FCB" w:rsidRPr="007B039C">
        <w:rPr>
          <w:sz w:val="22"/>
          <w:szCs w:val="22"/>
        </w:rPr>
        <w:t>ation to show that you ticked any report leading to you posting the money into the client</w:t>
      </w:r>
      <w:r w:rsidR="00DB07A8" w:rsidRPr="007B039C">
        <w:rPr>
          <w:sz w:val="22"/>
          <w:szCs w:val="22"/>
        </w:rPr>
        <w:t xml:space="preserve">’s account.  The client has also </w:t>
      </w:r>
      <w:r w:rsidR="00DB07A8" w:rsidRPr="007B039C">
        <w:rPr>
          <w:sz w:val="22"/>
          <w:szCs w:val="22"/>
        </w:rPr>
        <w:lastRenderedPageBreak/>
        <w:t>given a report stating that he was asked to withdraw the money and retur</w:t>
      </w:r>
      <w:r w:rsidR="00382A53" w:rsidRPr="007B039C">
        <w:rPr>
          <w:sz w:val="22"/>
          <w:szCs w:val="22"/>
        </w:rPr>
        <w:t xml:space="preserve">n it to </w:t>
      </w:r>
      <w:proofErr w:type="spellStart"/>
      <w:r w:rsidR="00382A53" w:rsidRPr="007B039C">
        <w:rPr>
          <w:sz w:val="22"/>
          <w:szCs w:val="22"/>
        </w:rPr>
        <w:t>Happymore</w:t>
      </w:r>
      <w:proofErr w:type="spellEnd"/>
      <w:r w:rsidR="00382A53" w:rsidRPr="007B039C">
        <w:rPr>
          <w:sz w:val="22"/>
          <w:szCs w:val="22"/>
        </w:rPr>
        <w:t xml:space="preserve"> </w:t>
      </w:r>
      <w:proofErr w:type="spellStart"/>
      <w:r w:rsidR="00382A53" w:rsidRPr="007B039C">
        <w:rPr>
          <w:sz w:val="22"/>
          <w:szCs w:val="22"/>
        </w:rPr>
        <w:t>Muzara</w:t>
      </w:r>
      <w:proofErr w:type="spellEnd"/>
      <w:r w:rsidR="00382A53" w:rsidRPr="007B039C">
        <w:rPr>
          <w:sz w:val="22"/>
          <w:szCs w:val="22"/>
        </w:rPr>
        <w:t xml:space="preserve"> for payment of rent.  </w:t>
      </w:r>
      <w:proofErr w:type="spellStart"/>
      <w:r w:rsidR="00382A53" w:rsidRPr="007B039C">
        <w:rPr>
          <w:sz w:val="22"/>
          <w:szCs w:val="22"/>
        </w:rPr>
        <w:t>Happymore</w:t>
      </w:r>
      <w:proofErr w:type="spellEnd"/>
      <w:r w:rsidR="00382A53" w:rsidRPr="007B039C">
        <w:rPr>
          <w:sz w:val="22"/>
          <w:szCs w:val="22"/>
        </w:rPr>
        <w:t xml:space="preserve"> </w:t>
      </w:r>
      <w:proofErr w:type="spellStart"/>
      <w:r w:rsidR="00382A53" w:rsidRPr="007B039C">
        <w:rPr>
          <w:sz w:val="22"/>
          <w:szCs w:val="22"/>
        </w:rPr>
        <w:t>Muzara</w:t>
      </w:r>
      <w:proofErr w:type="spellEnd"/>
      <w:r w:rsidR="00382A53" w:rsidRPr="007B039C">
        <w:rPr>
          <w:sz w:val="22"/>
          <w:szCs w:val="22"/>
        </w:rPr>
        <w:t xml:space="preserve"> has agreed to </w:t>
      </w:r>
      <w:proofErr w:type="gramStart"/>
      <w:r w:rsidR="004B5C63" w:rsidRPr="007B039C">
        <w:rPr>
          <w:sz w:val="22"/>
          <w:szCs w:val="22"/>
        </w:rPr>
        <w:t>asking</w:t>
      </w:r>
      <w:proofErr w:type="gramEnd"/>
      <w:r w:rsidR="00382A53" w:rsidRPr="007B039C">
        <w:rPr>
          <w:sz w:val="22"/>
          <w:szCs w:val="22"/>
        </w:rPr>
        <w:t xml:space="preserve"> the customer to withdraw and return the money and</w:t>
      </w:r>
      <w:r w:rsidR="004B5C63" w:rsidRPr="007B039C">
        <w:rPr>
          <w:sz w:val="22"/>
          <w:szCs w:val="22"/>
        </w:rPr>
        <w:t xml:space="preserve"> written that you both hatched the plan to</w:t>
      </w:r>
      <w:r w:rsidR="001B3905" w:rsidRPr="007B039C">
        <w:rPr>
          <w:sz w:val="22"/>
          <w:szCs w:val="22"/>
        </w:rPr>
        <w:t xml:space="preserve"> call the client although his cellphone was the one used.</w:t>
      </w:r>
    </w:p>
    <w:p w:rsidR="001B3905" w:rsidRDefault="001B3905" w:rsidP="003700BD">
      <w:pPr>
        <w:jc w:val="both"/>
      </w:pPr>
    </w:p>
    <w:p w:rsidR="001B3905" w:rsidRPr="009D608D" w:rsidRDefault="001B3905" w:rsidP="009D608D">
      <w:pPr>
        <w:spacing w:line="276" w:lineRule="auto"/>
        <w:ind w:left="720"/>
        <w:jc w:val="both"/>
        <w:rPr>
          <w:sz w:val="22"/>
          <w:szCs w:val="22"/>
        </w:rPr>
      </w:pPr>
      <w:r w:rsidRPr="009D608D">
        <w:rPr>
          <w:sz w:val="22"/>
          <w:szCs w:val="22"/>
        </w:rPr>
        <w:t>Forensic Audit investigations also reveal that you falsified bank records by</w:t>
      </w:r>
      <w:r w:rsidR="00EA6033" w:rsidRPr="009D608D">
        <w:rPr>
          <w:sz w:val="22"/>
          <w:szCs w:val="22"/>
        </w:rPr>
        <w:t xml:space="preserve"> raising an entry for $100 as an ATM differenc</w:t>
      </w:r>
      <w:r w:rsidR="009D608D">
        <w:rPr>
          <w:sz w:val="22"/>
          <w:szCs w:val="22"/>
        </w:rPr>
        <w:t>e which you posted to the above client’s account.”</w:t>
      </w:r>
    </w:p>
    <w:p w:rsidR="00C901DC" w:rsidRDefault="00C901DC" w:rsidP="003700BD">
      <w:pPr>
        <w:jc w:val="both"/>
      </w:pPr>
    </w:p>
    <w:p w:rsidR="00C901DC" w:rsidRDefault="00C901DC" w:rsidP="00FD183C">
      <w:pPr>
        <w:spacing w:line="360" w:lineRule="auto"/>
        <w:jc w:val="both"/>
      </w:pPr>
      <w:r>
        <w:tab/>
      </w:r>
      <w:r w:rsidR="004B683E">
        <w:t>On</w:t>
      </w:r>
      <w:r>
        <w:t xml:space="preserve"> 26 January 2013 the </w:t>
      </w:r>
      <w:r w:rsidR="003D78F5">
        <w:t>respondent</w:t>
      </w:r>
      <w:r>
        <w:t xml:space="preserve">’s Disciplinary Committee </w:t>
      </w:r>
      <w:r w:rsidR="009D608D">
        <w:t>found</w:t>
      </w:r>
      <w:r w:rsidR="007701F0">
        <w:t xml:space="preserve"> the </w:t>
      </w:r>
      <w:r w:rsidR="003D78F5">
        <w:t>respondent</w:t>
      </w:r>
      <w:r w:rsidR="007701F0">
        <w:t xml:space="preserve"> guilty as charged</w:t>
      </w:r>
      <w:r w:rsidR="00A66BC7">
        <w:t>,</w:t>
      </w:r>
      <w:r w:rsidR="007701F0">
        <w:t xml:space="preserve"> and imposed a penalty of dismissal.  He appealed to the Grievance and Disciplinary Committee</w:t>
      </w:r>
      <w:r w:rsidR="00F523A7">
        <w:t xml:space="preserve">, which was </w:t>
      </w:r>
      <w:r w:rsidR="004B683E">
        <w:t>deadlocked and</w:t>
      </w:r>
      <w:r w:rsidR="00AD5DA4">
        <w:t xml:space="preserve"> referred the matter to the Appeals Board.  In its determination, of 10 April</w:t>
      </w:r>
      <w:r w:rsidR="001F205C">
        <w:t xml:space="preserve"> 2013, the</w:t>
      </w:r>
      <w:r w:rsidR="00AD5DA4">
        <w:t xml:space="preserve"> Appeals Board set aside </w:t>
      </w:r>
      <w:r w:rsidR="003D78F5">
        <w:t>respondent</w:t>
      </w:r>
      <w:r w:rsidR="00AD5DA4">
        <w:t xml:space="preserve">’s dismissal, and </w:t>
      </w:r>
      <w:r w:rsidR="001F205C">
        <w:t>substituted it</w:t>
      </w:r>
      <w:r w:rsidR="00AC0EC6">
        <w:t xml:space="preserve"> at with a severe written warning.</w:t>
      </w:r>
    </w:p>
    <w:p w:rsidR="00737064" w:rsidRDefault="00737064" w:rsidP="003700BD">
      <w:pPr>
        <w:jc w:val="both"/>
      </w:pPr>
    </w:p>
    <w:p w:rsidR="0023761A" w:rsidRDefault="00737064" w:rsidP="00FD183C">
      <w:pPr>
        <w:spacing w:line="360" w:lineRule="auto"/>
        <w:jc w:val="both"/>
      </w:pPr>
      <w:r>
        <w:tab/>
        <w:t>Aggrieved by</w:t>
      </w:r>
      <w:r w:rsidR="0023761A">
        <w:t xml:space="preserve"> this determination, the appellant lodged an appeal with this court.  Its grounds o</w:t>
      </w:r>
      <w:r w:rsidR="003B1976">
        <w:t>f appeal are stated as follows:</w:t>
      </w:r>
    </w:p>
    <w:p w:rsidR="003B1976" w:rsidRDefault="003B1976" w:rsidP="00A3087E">
      <w:pPr>
        <w:jc w:val="both"/>
      </w:pPr>
    </w:p>
    <w:p w:rsidR="0023761A" w:rsidRPr="00A3087E" w:rsidRDefault="003B1976" w:rsidP="00A3087E">
      <w:pPr>
        <w:spacing w:line="360" w:lineRule="auto"/>
        <w:jc w:val="both"/>
        <w:rPr>
          <w:sz w:val="22"/>
          <w:szCs w:val="22"/>
        </w:rPr>
      </w:pPr>
      <w:r>
        <w:tab/>
        <w:t>“</w:t>
      </w:r>
      <w:r w:rsidRPr="00A3087E">
        <w:rPr>
          <w:sz w:val="22"/>
          <w:szCs w:val="22"/>
        </w:rPr>
        <w:t>The NEC Appeals Board seriously misdirected itself and/or erred</w:t>
      </w:r>
      <w:r w:rsidR="00A3087E" w:rsidRPr="00A3087E">
        <w:rPr>
          <w:sz w:val="22"/>
          <w:szCs w:val="22"/>
        </w:rPr>
        <w:t>:-</w:t>
      </w:r>
    </w:p>
    <w:p w:rsidR="000F2988" w:rsidRPr="002946B7" w:rsidRDefault="003B1976" w:rsidP="002946B7">
      <w:pPr>
        <w:spacing w:line="276" w:lineRule="auto"/>
        <w:ind w:left="1440" w:hanging="720"/>
        <w:jc w:val="both"/>
        <w:rPr>
          <w:sz w:val="22"/>
          <w:szCs w:val="22"/>
        </w:rPr>
      </w:pPr>
      <w:r>
        <w:rPr>
          <w:sz w:val="22"/>
          <w:szCs w:val="22"/>
        </w:rPr>
        <w:t xml:space="preserve"> </w:t>
      </w:r>
      <w:r w:rsidR="00941F0C" w:rsidRPr="002946B7">
        <w:rPr>
          <w:sz w:val="22"/>
          <w:szCs w:val="22"/>
        </w:rPr>
        <w:t>1.</w:t>
      </w:r>
      <w:r w:rsidR="00941F0C" w:rsidRPr="002946B7">
        <w:rPr>
          <w:sz w:val="22"/>
          <w:szCs w:val="22"/>
        </w:rPr>
        <w:tab/>
        <w:t xml:space="preserve">In reversing the employer’s decision finding the respondent guilty of theft and replacing it with a not guilty </w:t>
      </w:r>
      <w:r w:rsidR="000F2988" w:rsidRPr="002946B7">
        <w:rPr>
          <w:sz w:val="22"/>
          <w:szCs w:val="22"/>
        </w:rPr>
        <w:t>verdict.</w:t>
      </w:r>
    </w:p>
    <w:p w:rsidR="00737064" w:rsidRPr="002946B7" w:rsidRDefault="000F2988" w:rsidP="002946B7">
      <w:pPr>
        <w:spacing w:line="276" w:lineRule="auto"/>
        <w:ind w:left="1440" w:hanging="648"/>
        <w:jc w:val="both"/>
        <w:rPr>
          <w:sz w:val="22"/>
          <w:szCs w:val="22"/>
        </w:rPr>
      </w:pPr>
      <w:r w:rsidRPr="002946B7">
        <w:rPr>
          <w:sz w:val="22"/>
          <w:szCs w:val="22"/>
        </w:rPr>
        <w:t>2.</w:t>
      </w:r>
      <w:r w:rsidRPr="002946B7">
        <w:rPr>
          <w:sz w:val="22"/>
          <w:szCs w:val="22"/>
        </w:rPr>
        <w:tab/>
        <w:t>In reversing the penalty of a dismissal and replacing it with a severe written warning.”</w:t>
      </w:r>
      <w:r w:rsidR="00737064" w:rsidRPr="002946B7">
        <w:rPr>
          <w:sz w:val="22"/>
          <w:szCs w:val="22"/>
        </w:rPr>
        <w:t xml:space="preserve"> </w:t>
      </w:r>
    </w:p>
    <w:p w:rsidR="00981226" w:rsidRDefault="00981226" w:rsidP="003700BD">
      <w:pPr>
        <w:jc w:val="both"/>
      </w:pPr>
    </w:p>
    <w:p w:rsidR="00D677A9" w:rsidRDefault="00981226" w:rsidP="00D677A9">
      <w:pPr>
        <w:spacing w:line="360" w:lineRule="auto"/>
        <w:ind w:firstLine="720"/>
        <w:jc w:val="both"/>
      </w:pPr>
      <w:r>
        <w:t xml:space="preserve">The </w:t>
      </w:r>
      <w:r w:rsidR="00042AE7">
        <w:t>first ground of appeal</w:t>
      </w:r>
      <w:r>
        <w:t xml:space="preserve"> relates to </w:t>
      </w:r>
      <w:r w:rsidR="005807A8">
        <w:t>conviction</w:t>
      </w:r>
      <w:r w:rsidR="005124CB">
        <w:t>, on the first charge – theft.</w:t>
      </w:r>
      <w:r w:rsidR="005807A8">
        <w:t xml:space="preserve">  The main basis of the appeal h</w:t>
      </w:r>
      <w:r w:rsidR="005124CB">
        <w:t xml:space="preserve">ere is that the </w:t>
      </w:r>
      <w:r w:rsidR="00725F02">
        <w:t>finding of guilt</w:t>
      </w:r>
      <w:r w:rsidR="00CA325D">
        <w:t xml:space="preserve"> was a result </w:t>
      </w:r>
      <w:r w:rsidR="00725F02">
        <w:t>of a factual evaluation by the Disciplinary C</w:t>
      </w:r>
      <w:r w:rsidR="00CA325D">
        <w:t xml:space="preserve">ommittee that initially heard the </w:t>
      </w:r>
      <w:r w:rsidR="00BA083E">
        <w:t>matter</w:t>
      </w:r>
      <w:r w:rsidR="005E52CF">
        <w:t xml:space="preserve">.  There was no basis for upsetting that </w:t>
      </w:r>
      <w:r w:rsidR="00EA2A83">
        <w:t>evaluation</w:t>
      </w:r>
      <w:r w:rsidR="00BC4B77">
        <w:t xml:space="preserve">.  </w:t>
      </w:r>
    </w:p>
    <w:p w:rsidR="00D677A9" w:rsidRDefault="00D677A9" w:rsidP="003700BD">
      <w:pPr>
        <w:ind w:firstLine="720"/>
        <w:jc w:val="both"/>
      </w:pPr>
    </w:p>
    <w:p w:rsidR="00D677A9" w:rsidRDefault="00D677A9" w:rsidP="00D677A9">
      <w:pPr>
        <w:spacing w:line="360" w:lineRule="auto"/>
        <w:ind w:firstLine="720"/>
        <w:jc w:val="both"/>
      </w:pPr>
      <w:r>
        <w:t xml:space="preserve">The court was referred to the case of </w:t>
      </w:r>
      <w:r w:rsidRPr="00BD3F76">
        <w:rPr>
          <w:i/>
        </w:rPr>
        <w:t>S</w:t>
      </w:r>
      <w:r>
        <w:t xml:space="preserve"> v </w:t>
      </w:r>
      <w:proofErr w:type="spellStart"/>
      <w:r w:rsidRPr="00BD3F76">
        <w:rPr>
          <w:i/>
        </w:rPr>
        <w:t>Isolano</w:t>
      </w:r>
      <w:proofErr w:type="spellEnd"/>
      <w:r>
        <w:t xml:space="preserve"> 1985 (1) </w:t>
      </w:r>
      <w:r w:rsidR="008860BF">
        <w:t>ZLR 62</w:t>
      </w:r>
      <w:r>
        <w:t>, w</w:t>
      </w:r>
      <w:r w:rsidR="00EF6891">
        <w:t xml:space="preserve">here this issue received </w:t>
      </w:r>
      <w:r w:rsidR="00035763">
        <w:t>considerable a</w:t>
      </w:r>
      <w:r w:rsidR="00EF6891">
        <w:t>ttention.  The Supre</w:t>
      </w:r>
      <w:r w:rsidR="00B80BFA">
        <w:t xml:space="preserve">me Court held that; </w:t>
      </w:r>
    </w:p>
    <w:p w:rsidR="00B80BFA" w:rsidRDefault="00B80BFA" w:rsidP="00C97D58">
      <w:pPr>
        <w:ind w:firstLine="720"/>
        <w:jc w:val="both"/>
      </w:pPr>
    </w:p>
    <w:p w:rsidR="00B80BFA" w:rsidRPr="003A0055" w:rsidRDefault="00B80BFA" w:rsidP="003A0055">
      <w:pPr>
        <w:spacing w:line="276" w:lineRule="auto"/>
        <w:ind w:left="720"/>
        <w:jc w:val="both"/>
        <w:rPr>
          <w:sz w:val="22"/>
          <w:szCs w:val="22"/>
        </w:rPr>
      </w:pPr>
      <w:r w:rsidRPr="003A0055">
        <w:rPr>
          <w:sz w:val="22"/>
          <w:szCs w:val="22"/>
        </w:rPr>
        <w:t xml:space="preserve">“I find the remarks of the </w:t>
      </w:r>
      <w:r w:rsidRPr="003A0055">
        <w:rPr>
          <w:i/>
          <w:sz w:val="22"/>
          <w:szCs w:val="22"/>
        </w:rPr>
        <w:t>Lord MacMillan</w:t>
      </w:r>
      <w:r w:rsidR="00085637" w:rsidRPr="003A0055">
        <w:rPr>
          <w:sz w:val="22"/>
          <w:szCs w:val="22"/>
        </w:rPr>
        <w:t xml:space="preserve"> in </w:t>
      </w:r>
      <w:r w:rsidR="00085637" w:rsidRPr="003A0055">
        <w:rPr>
          <w:i/>
          <w:sz w:val="22"/>
          <w:szCs w:val="22"/>
        </w:rPr>
        <w:t>Watt (or Thomas)</w:t>
      </w:r>
      <w:r w:rsidR="00085637" w:rsidRPr="003A0055">
        <w:rPr>
          <w:sz w:val="22"/>
          <w:szCs w:val="22"/>
        </w:rPr>
        <w:t xml:space="preserve"> </w:t>
      </w:r>
      <w:proofErr w:type="spellStart"/>
      <w:r w:rsidR="00085637" w:rsidRPr="003A0055">
        <w:rPr>
          <w:sz w:val="22"/>
          <w:szCs w:val="22"/>
        </w:rPr>
        <w:t>vs</w:t>
      </w:r>
      <w:proofErr w:type="spellEnd"/>
      <w:r w:rsidR="00085637" w:rsidRPr="003A0055">
        <w:rPr>
          <w:sz w:val="22"/>
          <w:szCs w:val="22"/>
        </w:rPr>
        <w:t xml:space="preserve"> </w:t>
      </w:r>
      <w:r w:rsidR="00085637" w:rsidRPr="003A0055">
        <w:rPr>
          <w:i/>
          <w:sz w:val="22"/>
          <w:szCs w:val="22"/>
        </w:rPr>
        <w:t xml:space="preserve">Thomas </w:t>
      </w:r>
      <w:r w:rsidR="00085637" w:rsidRPr="003A0055">
        <w:rPr>
          <w:sz w:val="22"/>
          <w:szCs w:val="22"/>
        </w:rPr>
        <w:t>[1947] 1 ALL ER</w:t>
      </w:r>
      <w:r w:rsidR="00610084" w:rsidRPr="003A0055">
        <w:rPr>
          <w:sz w:val="22"/>
          <w:szCs w:val="22"/>
        </w:rPr>
        <w:t xml:space="preserve"> 582 (HL)</w:t>
      </w:r>
      <w:r w:rsidR="009A734F" w:rsidRPr="003A0055">
        <w:rPr>
          <w:sz w:val="22"/>
          <w:szCs w:val="22"/>
        </w:rPr>
        <w:t xml:space="preserve"> at 590B-D very appropriate in this case.  He said: The </w:t>
      </w:r>
      <w:r w:rsidR="00D40852" w:rsidRPr="003A0055">
        <w:rPr>
          <w:sz w:val="22"/>
          <w:szCs w:val="22"/>
        </w:rPr>
        <w:t>appellate court had before it only pri</w:t>
      </w:r>
      <w:r w:rsidR="00D73089">
        <w:rPr>
          <w:sz w:val="22"/>
          <w:szCs w:val="22"/>
        </w:rPr>
        <w:t>nted record of the evidence.  W</w:t>
      </w:r>
      <w:r w:rsidR="00D40852" w:rsidRPr="003A0055">
        <w:rPr>
          <w:sz w:val="22"/>
          <w:szCs w:val="22"/>
        </w:rPr>
        <w:t>ere that the whole evidence it might be said that the appellate</w:t>
      </w:r>
      <w:r w:rsidR="009911D0" w:rsidRPr="003A0055">
        <w:rPr>
          <w:sz w:val="22"/>
          <w:szCs w:val="22"/>
        </w:rPr>
        <w:t xml:space="preserve"> judges were entitled and </w:t>
      </w:r>
      <w:r w:rsidR="003A0055" w:rsidRPr="003A0055">
        <w:rPr>
          <w:sz w:val="22"/>
          <w:szCs w:val="22"/>
        </w:rPr>
        <w:t>qualified</w:t>
      </w:r>
      <w:r w:rsidR="009911D0" w:rsidRPr="003A0055">
        <w:rPr>
          <w:sz w:val="22"/>
          <w:szCs w:val="22"/>
        </w:rPr>
        <w:t xml:space="preserve"> to reach their own conclusion upon the case, it is only part of the evidence.  What is lacking is evidence of the</w:t>
      </w:r>
      <w:r w:rsidR="005A3B77" w:rsidRPr="003A0055">
        <w:rPr>
          <w:sz w:val="22"/>
          <w:szCs w:val="22"/>
        </w:rPr>
        <w:t xml:space="preserve"> demeanour of the witnesses, their condour or their partis</w:t>
      </w:r>
      <w:r w:rsidR="008B1560" w:rsidRPr="003A0055">
        <w:rPr>
          <w:sz w:val="22"/>
          <w:szCs w:val="22"/>
        </w:rPr>
        <w:t xml:space="preserve">anship, ad all the </w:t>
      </w:r>
      <w:r w:rsidR="00515304" w:rsidRPr="003A0055">
        <w:rPr>
          <w:sz w:val="22"/>
          <w:szCs w:val="22"/>
        </w:rPr>
        <w:t>incidental elements</w:t>
      </w:r>
      <w:r w:rsidR="008B1560" w:rsidRPr="003A0055">
        <w:rPr>
          <w:sz w:val="22"/>
          <w:szCs w:val="22"/>
        </w:rPr>
        <w:t xml:space="preserve"> so difficult to describe which</w:t>
      </w:r>
      <w:r w:rsidR="00592308" w:rsidRPr="003A0055">
        <w:rPr>
          <w:sz w:val="22"/>
          <w:szCs w:val="22"/>
        </w:rPr>
        <w:t xml:space="preserve"> make up the </w:t>
      </w:r>
      <w:r w:rsidR="00592308" w:rsidRPr="003A0055">
        <w:rPr>
          <w:sz w:val="22"/>
          <w:szCs w:val="22"/>
        </w:rPr>
        <w:lastRenderedPageBreak/>
        <w:t>atmosphere of an actual trial.  This assistance the trial judge possesses</w:t>
      </w:r>
      <w:r w:rsidR="00C5400B" w:rsidRPr="003A0055">
        <w:rPr>
          <w:sz w:val="22"/>
          <w:szCs w:val="22"/>
        </w:rPr>
        <w:t xml:space="preserve"> in reaching his conclusion, but it is not available to the appella</w:t>
      </w:r>
      <w:r w:rsidR="00F4025E" w:rsidRPr="003A0055">
        <w:rPr>
          <w:sz w:val="22"/>
          <w:szCs w:val="22"/>
        </w:rPr>
        <w:t xml:space="preserve">te court.  So far as the case stands on paper, it not infrequently happens that a decision either way may seem equally open.  </w:t>
      </w:r>
      <w:r w:rsidR="00993537" w:rsidRPr="003A0055">
        <w:rPr>
          <w:sz w:val="22"/>
          <w:szCs w:val="22"/>
        </w:rPr>
        <w:t xml:space="preserve">When this is so, and it may be said of the present case, then the decision </w:t>
      </w:r>
      <w:r w:rsidR="00022336" w:rsidRPr="003A0055">
        <w:rPr>
          <w:sz w:val="22"/>
          <w:szCs w:val="22"/>
        </w:rPr>
        <w:t>either way may seem equally open.  When this is so, and it may be said of the present case, then the decision of the</w:t>
      </w:r>
      <w:r w:rsidR="00CB7991" w:rsidRPr="003A0055">
        <w:rPr>
          <w:sz w:val="22"/>
          <w:szCs w:val="22"/>
        </w:rPr>
        <w:t xml:space="preserve"> trial judge, who has enjoyed advantages not available to the appellate court, becomes of paramount importa</w:t>
      </w:r>
      <w:r w:rsidR="00CF44B5" w:rsidRPr="003A0055">
        <w:rPr>
          <w:sz w:val="22"/>
          <w:szCs w:val="22"/>
        </w:rPr>
        <w:t>nce and ou</w:t>
      </w:r>
      <w:r w:rsidR="0031644D">
        <w:rPr>
          <w:sz w:val="22"/>
          <w:szCs w:val="22"/>
        </w:rPr>
        <w:t>gh</w:t>
      </w:r>
      <w:r w:rsidR="00CF44B5" w:rsidRPr="003A0055">
        <w:rPr>
          <w:sz w:val="22"/>
          <w:szCs w:val="22"/>
        </w:rPr>
        <w:t>t not to be disturbed.  This is not an abrogation of the powers of a court of appeal on questions of fact.</w:t>
      </w:r>
      <w:r w:rsidR="00657481" w:rsidRPr="003A0055">
        <w:rPr>
          <w:sz w:val="22"/>
          <w:szCs w:val="22"/>
        </w:rPr>
        <w:t xml:space="preserve">  The judgment of the trial judge on the facts may be demonstrated on the printed</w:t>
      </w:r>
      <w:r w:rsidR="005A4F6E" w:rsidRPr="003A0055">
        <w:rPr>
          <w:sz w:val="22"/>
          <w:szCs w:val="22"/>
        </w:rPr>
        <w:t xml:space="preserve"> evidence to be affected by material inconsistencies and inaccuracies, or he may be shown to have failed to appreciate the weight or bearing of circumstances admitted or proved, or otherwise to have gone completely wrong.  See also </w:t>
      </w:r>
      <w:r w:rsidR="005A4F6E" w:rsidRPr="008860BF">
        <w:rPr>
          <w:i/>
          <w:sz w:val="22"/>
          <w:szCs w:val="22"/>
        </w:rPr>
        <w:t>Hughes</w:t>
      </w:r>
      <w:r w:rsidR="005A4F6E" w:rsidRPr="003A0055">
        <w:rPr>
          <w:sz w:val="22"/>
          <w:szCs w:val="22"/>
        </w:rPr>
        <w:t xml:space="preserve"> </w:t>
      </w:r>
      <w:proofErr w:type="spellStart"/>
      <w:r w:rsidR="005A4F6E" w:rsidRPr="003A0055">
        <w:rPr>
          <w:sz w:val="22"/>
          <w:szCs w:val="22"/>
        </w:rPr>
        <w:t>vs</w:t>
      </w:r>
      <w:proofErr w:type="spellEnd"/>
      <w:r w:rsidR="005A4F6E" w:rsidRPr="003A0055">
        <w:rPr>
          <w:sz w:val="22"/>
          <w:szCs w:val="22"/>
        </w:rPr>
        <w:t xml:space="preserve"> </w:t>
      </w:r>
      <w:proofErr w:type="spellStart"/>
      <w:r w:rsidR="005A4F6E" w:rsidRPr="008860BF">
        <w:rPr>
          <w:i/>
          <w:sz w:val="22"/>
          <w:szCs w:val="22"/>
        </w:rPr>
        <w:t>Graniteside</w:t>
      </w:r>
      <w:proofErr w:type="spellEnd"/>
      <w:r w:rsidR="005A4F6E" w:rsidRPr="008860BF">
        <w:rPr>
          <w:i/>
          <w:sz w:val="22"/>
          <w:szCs w:val="22"/>
        </w:rPr>
        <w:t xml:space="preserve"> Holdings (</w:t>
      </w:r>
      <w:proofErr w:type="spellStart"/>
      <w:r w:rsidR="005A4F6E" w:rsidRPr="008860BF">
        <w:rPr>
          <w:i/>
          <w:sz w:val="22"/>
          <w:szCs w:val="22"/>
        </w:rPr>
        <w:t>Pvt</w:t>
      </w:r>
      <w:proofErr w:type="spellEnd"/>
      <w:r w:rsidR="005A4F6E" w:rsidRPr="008860BF">
        <w:rPr>
          <w:i/>
          <w:sz w:val="22"/>
          <w:szCs w:val="22"/>
        </w:rPr>
        <w:t>) Ltd</w:t>
      </w:r>
      <w:r w:rsidR="005A4F6E" w:rsidRPr="003A0055">
        <w:rPr>
          <w:sz w:val="22"/>
          <w:szCs w:val="22"/>
        </w:rPr>
        <w:t xml:space="preserve"> SC 13</w:t>
      </w:r>
      <w:r w:rsidR="007C3BF0" w:rsidRPr="003A0055">
        <w:rPr>
          <w:sz w:val="22"/>
          <w:szCs w:val="22"/>
        </w:rPr>
        <w:t>/84 (unreported) at 10-14.”</w:t>
      </w:r>
    </w:p>
    <w:p w:rsidR="00CF2BBA" w:rsidRDefault="00CF2BBA" w:rsidP="00C97D58">
      <w:pPr>
        <w:ind w:firstLine="720"/>
        <w:jc w:val="both"/>
      </w:pPr>
    </w:p>
    <w:p w:rsidR="00CF2BBA" w:rsidRDefault="00035763" w:rsidP="00D677A9">
      <w:pPr>
        <w:spacing w:line="360" w:lineRule="auto"/>
        <w:ind w:firstLine="720"/>
        <w:jc w:val="both"/>
      </w:pPr>
      <w:r>
        <w:t>Thes</w:t>
      </w:r>
      <w:r w:rsidR="00D91777">
        <w:t xml:space="preserve">e are extensive </w:t>
      </w:r>
      <w:r w:rsidR="00536035">
        <w:t xml:space="preserve">remarks on the </w:t>
      </w:r>
      <w:r>
        <w:t>approach</w:t>
      </w:r>
      <w:r w:rsidR="00536035">
        <w:t xml:space="preserve"> the court </w:t>
      </w:r>
      <w:r>
        <w:t>should t</w:t>
      </w:r>
      <w:r w:rsidR="006A193E">
        <w:t xml:space="preserve">ake in such cases.  It is when the findings of the </w:t>
      </w:r>
      <w:r w:rsidR="00C33AA2">
        <w:t xml:space="preserve">tribunal </w:t>
      </w:r>
      <w:r w:rsidR="00C33AA2" w:rsidRPr="0078443D">
        <w:rPr>
          <w:i/>
        </w:rPr>
        <w:t>a quo</w:t>
      </w:r>
      <w:r w:rsidR="00C33AA2">
        <w:t xml:space="preserve"> are clearly shown to</w:t>
      </w:r>
      <w:r w:rsidR="00A41C2A">
        <w:t xml:space="preserve"> be</w:t>
      </w:r>
      <w:r w:rsidR="00C33AA2">
        <w:t xml:space="preserve"> grossly unreasonable that they may be interfered with.</w:t>
      </w:r>
      <w:r w:rsidR="004D30E2">
        <w:t xml:space="preserve">  The same position was </w:t>
      </w:r>
      <w:r w:rsidR="00A41C2A">
        <w:t>underscored</w:t>
      </w:r>
      <w:r w:rsidR="004D30E2">
        <w:t xml:space="preserve"> </w:t>
      </w:r>
      <w:r w:rsidR="00A41C2A">
        <w:t>in</w:t>
      </w:r>
      <w:r w:rsidR="004D30E2">
        <w:t xml:space="preserve"> the case of </w:t>
      </w:r>
      <w:proofErr w:type="spellStart"/>
      <w:r w:rsidR="00A41C2A">
        <w:rPr>
          <w:i/>
        </w:rPr>
        <w:t>Nyaho</w:t>
      </w:r>
      <w:r w:rsidR="004D30E2" w:rsidRPr="007C1377">
        <w:rPr>
          <w:i/>
        </w:rPr>
        <w:t>ndo</w:t>
      </w:r>
      <w:proofErr w:type="spellEnd"/>
      <w:r w:rsidR="004D30E2">
        <w:t xml:space="preserve"> v </w:t>
      </w:r>
      <w:proofErr w:type="spellStart"/>
      <w:r w:rsidR="004D30E2" w:rsidRPr="007C1377">
        <w:rPr>
          <w:i/>
        </w:rPr>
        <w:t>Hoko</w:t>
      </w:r>
      <w:r w:rsidR="00A41C2A">
        <w:rPr>
          <w:i/>
        </w:rPr>
        <w:t>nya</w:t>
      </w:r>
      <w:proofErr w:type="spellEnd"/>
      <w:r w:rsidR="00A41C2A">
        <w:rPr>
          <w:i/>
        </w:rPr>
        <w:t xml:space="preserve"> and O</w:t>
      </w:r>
      <w:r w:rsidR="00D24AE7" w:rsidRPr="007C1377">
        <w:rPr>
          <w:i/>
        </w:rPr>
        <w:t>thers</w:t>
      </w:r>
      <w:r w:rsidR="00853B6D">
        <w:t xml:space="preserve"> 1997 (2) ZLR 475</w:t>
      </w:r>
      <w:r w:rsidR="006B6C0C">
        <w:t>.</w:t>
      </w:r>
    </w:p>
    <w:p w:rsidR="006B6C0C" w:rsidRDefault="006B6C0C" w:rsidP="003700BD">
      <w:pPr>
        <w:ind w:firstLine="720"/>
        <w:jc w:val="both"/>
      </w:pPr>
    </w:p>
    <w:p w:rsidR="006B6C0C" w:rsidRDefault="006B6C0C" w:rsidP="00D677A9">
      <w:pPr>
        <w:spacing w:line="360" w:lineRule="auto"/>
        <w:ind w:firstLine="720"/>
        <w:jc w:val="both"/>
      </w:pPr>
      <w:r>
        <w:t>In response</w:t>
      </w:r>
      <w:r w:rsidR="00853B6D">
        <w:t>,</w:t>
      </w:r>
      <w:r>
        <w:t xml:space="preserve"> the respondent averred that it </w:t>
      </w:r>
      <w:r w:rsidR="00617313">
        <w:t xml:space="preserve">is </w:t>
      </w:r>
      <w:proofErr w:type="spellStart"/>
      <w:r w:rsidR="00617313">
        <w:t>Muzara</w:t>
      </w:r>
      <w:proofErr w:type="spellEnd"/>
      <w:r w:rsidR="00617313">
        <w:t xml:space="preserve"> who</w:t>
      </w:r>
      <w:r w:rsidR="00113E25">
        <w:t xml:space="preserve"> </w:t>
      </w:r>
      <w:r w:rsidR="00617313">
        <w:t>should</w:t>
      </w:r>
      <w:r w:rsidR="00113E25">
        <w:t xml:space="preserve"> be solely held responsible </w:t>
      </w:r>
      <w:r w:rsidR="000D57DE">
        <w:t>for</w:t>
      </w:r>
      <w:r w:rsidR="00113E25">
        <w:t xml:space="preserve"> the theft</w:t>
      </w:r>
      <w:r w:rsidR="00617313">
        <w:t>.</w:t>
      </w:r>
      <w:r w:rsidR="00113E25">
        <w:t xml:space="preserve"> </w:t>
      </w:r>
      <w:r w:rsidR="00617313">
        <w:t>It</w:t>
      </w:r>
      <w:r w:rsidR="00113E25">
        <w:t xml:space="preserve"> is submitted in paragraph 2.1.8 of the respondent’s heads of argument;</w:t>
      </w:r>
    </w:p>
    <w:p w:rsidR="00EE2933" w:rsidRDefault="00EE2933" w:rsidP="003700BD">
      <w:pPr>
        <w:ind w:firstLine="720"/>
        <w:jc w:val="both"/>
      </w:pPr>
    </w:p>
    <w:p w:rsidR="00EE2933" w:rsidRDefault="00EE2933" w:rsidP="003700BD">
      <w:pPr>
        <w:spacing w:line="276" w:lineRule="auto"/>
        <w:ind w:left="2160" w:hanging="1440"/>
        <w:jc w:val="both"/>
      </w:pPr>
      <w:r>
        <w:t>“2.1.8.</w:t>
      </w:r>
      <w:r>
        <w:tab/>
        <w:t xml:space="preserve">The above statement shows the sole mastermind of the theft of </w:t>
      </w:r>
      <w:r w:rsidR="00F150E3">
        <w:t xml:space="preserve">     </w:t>
      </w:r>
      <w:r>
        <w:t xml:space="preserve">$100 to be </w:t>
      </w:r>
      <w:proofErr w:type="spellStart"/>
      <w:r>
        <w:t>Happ</w:t>
      </w:r>
      <w:r w:rsidR="00AA48D4">
        <w:t>y</w:t>
      </w:r>
      <w:r>
        <w:t>more</w:t>
      </w:r>
      <w:proofErr w:type="spellEnd"/>
      <w:r>
        <w:t xml:space="preserve"> </w:t>
      </w:r>
      <w:proofErr w:type="spellStart"/>
      <w:r>
        <w:t>Muzara</w:t>
      </w:r>
      <w:proofErr w:type="spellEnd"/>
      <w:r>
        <w:t xml:space="preserve"> and not the Respondent.</w:t>
      </w:r>
      <w:r w:rsidR="00F150E3">
        <w:t>”</w:t>
      </w:r>
    </w:p>
    <w:p w:rsidR="00F150E3" w:rsidRDefault="00F150E3" w:rsidP="00F150E3">
      <w:pPr>
        <w:spacing w:line="360" w:lineRule="auto"/>
        <w:jc w:val="both"/>
      </w:pPr>
    </w:p>
    <w:p w:rsidR="00F150E3" w:rsidRDefault="00F150E3" w:rsidP="00F150E3">
      <w:pPr>
        <w:spacing w:line="360" w:lineRule="auto"/>
        <w:jc w:val="both"/>
      </w:pPr>
      <w:r>
        <w:t>In other words, the</w:t>
      </w:r>
      <w:r w:rsidR="00650346">
        <w:t xml:space="preserve"> Disciplinary Committee erred in </w:t>
      </w:r>
      <w:r w:rsidR="00C93149">
        <w:t>relying</w:t>
      </w:r>
      <w:r w:rsidR="00650346">
        <w:t xml:space="preserve"> on the accomplice evidence of </w:t>
      </w:r>
      <w:proofErr w:type="spellStart"/>
      <w:r w:rsidR="00650346">
        <w:t>Muzar</w:t>
      </w:r>
      <w:r w:rsidR="00BF1287">
        <w:t>a</w:t>
      </w:r>
      <w:proofErr w:type="spellEnd"/>
      <w:r w:rsidR="00BF1287">
        <w:t xml:space="preserve">.  The Appeals Board correctly held such evidence to </w:t>
      </w:r>
      <w:r w:rsidR="00441611">
        <w:t>be</w:t>
      </w:r>
      <w:r w:rsidR="00BF1287">
        <w:t xml:space="preserve"> suspect and therefore unreliable</w:t>
      </w:r>
      <w:r w:rsidR="00FE50FA">
        <w:t>, argued the respondent.</w:t>
      </w:r>
    </w:p>
    <w:p w:rsidR="00906DD2" w:rsidRDefault="00906DD2" w:rsidP="003700BD">
      <w:pPr>
        <w:jc w:val="both"/>
      </w:pPr>
      <w:r>
        <w:tab/>
      </w:r>
    </w:p>
    <w:p w:rsidR="00906DD2" w:rsidRDefault="00906DD2" w:rsidP="00F150E3">
      <w:pPr>
        <w:spacing w:line="360" w:lineRule="auto"/>
        <w:jc w:val="both"/>
      </w:pPr>
      <w:r>
        <w:tab/>
        <w:t xml:space="preserve">A look at the </w:t>
      </w:r>
      <w:r w:rsidR="008E6488">
        <w:t>Appeals</w:t>
      </w:r>
      <w:r w:rsidR="001F74F6">
        <w:t xml:space="preserve"> Board’s decision shows that it </w:t>
      </w:r>
      <w:r w:rsidR="00FE50FA">
        <w:t>wa</w:t>
      </w:r>
      <w:r w:rsidR="00BC4C80">
        <w:t xml:space="preserve">s </w:t>
      </w:r>
      <w:r w:rsidR="00FE50FA">
        <w:t>mainly influenced</w:t>
      </w:r>
      <w:r w:rsidR="001F74F6">
        <w:t xml:space="preserve"> by </w:t>
      </w:r>
      <w:proofErr w:type="spellStart"/>
      <w:r w:rsidR="001F74F6">
        <w:t>Muzara’s</w:t>
      </w:r>
      <w:proofErr w:type="spellEnd"/>
      <w:r w:rsidR="009D66C9">
        <w:t xml:space="preserve"> s</w:t>
      </w:r>
      <w:r w:rsidR="001F74F6">
        <w:t xml:space="preserve">tatus as </w:t>
      </w:r>
      <w:r w:rsidR="00771BE2">
        <w:t>an accomplice witness.  T</w:t>
      </w:r>
      <w:r w:rsidR="00ED4D8A">
        <w:t>his is reflected in the remarks;</w:t>
      </w:r>
    </w:p>
    <w:p w:rsidR="00E569EE" w:rsidRDefault="00E569EE" w:rsidP="003700BD">
      <w:pPr>
        <w:jc w:val="both"/>
      </w:pPr>
    </w:p>
    <w:p w:rsidR="00E569EE" w:rsidRPr="00AD52EC" w:rsidRDefault="00E569EE" w:rsidP="006A4A59">
      <w:pPr>
        <w:spacing w:line="276" w:lineRule="auto"/>
        <w:ind w:left="720"/>
        <w:jc w:val="both"/>
        <w:rPr>
          <w:sz w:val="22"/>
          <w:szCs w:val="22"/>
        </w:rPr>
      </w:pPr>
      <w:r w:rsidRPr="00AD52EC">
        <w:rPr>
          <w:sz w:val="22"/>
          <w:szCs w:val="22"/>
        </w:rPr>
        <w:t xml:space="preserve">“The NEC Appeals Board however took particular notice on the </w:t>
      </w:r>
      <w:r w:rsidR="0023171C" w:rsidRPr="00AD52EC">
        <w:rPr>
          <w:sz w:val="22"/>
          <w:szCs w:val="22"/>
        </w:rPr>
        <w:t>opinion</w:t>
      </w:r>
      <w:r w:rsidRPr="00AD52EC">
        <w:rPr>
          <w:sz w:val="22"/>
          <w:szCs w:val="22"/>
        </w:rPr>
        <w:t xml:space="preserve"> that there was</w:t>
      </w:r>
      <w:r w:rsidR="00743FB1" w:rsidRPr="00AD52EC">
        <w:rPr>
          <w:sz w:val="22"/>
          <w:szCs w:val="22"/>
        </w:rPr>
        <w:t xml:space="preserve"> connivance between the appellant and </w:t>
      </w:r>
      <w:proofErr w:type="spellStart"/>
      <w:r w:rsidR="00743FB1" w:rsidRPr="00AD52EC">
        <w:rPr>
          <w:sz w:val="22"/>
          <w:szCs w:val="22"/>
        </w:rPr>
        <w:t>Happymore</w:t>
      </w:r>
      <w:proofErr w:type="spellEnd"/>
      <w:r w:rsidR="00743FB1" w:rsidRPr="00AD52EC">
        <w:rPr>
          <w:sz w:val="22"/>
          <w:szCs w:val="22"/>
        </w:rPr>
        <w:t xml:space="preserve"> </w:t>
      </w:r>
      <w:proofErr w:type="spellStart"/>
      <w:r w:rsidR="00743FB1" w:rsidRPr="00AD52EC">
        <w:rPr>
          <w:sz w:val="22"/>
          <w:szCs w:val="22"/>
        </w:rPr>
        <w:t>Muzara</w:t>
      </w:r>
      <w:proofErr w:type="spellEnd"/>
      <w:r w:rsidR="00743FB1" w:rsidRPr="00AD52EC">
        <w:rPr>
          <w:sz w:val="22"/>
          <w:szCs w:val="22"/>
        </w:rPr>
        <w:t>.  It felt that ordinarily one would have</w:t>
      </w:r>
      <w:r w:rsidR="00AA48D4" w:rsidRPr="00AD52EC">
        <w:rPr>
          <w:sz w:val="22"/>
          <w:szCs w:val="22"/>
        </w:rPr>
        <w:t xml:space="preserve"> expected consistency in this alliance but it turned out the accomplice conveniently resigned days later and turned against the appellant who he is alleged to have connived with.  The NEC Appeals Board observed that under these</w:t>
      </w:r>
      <w:r w:rsidR="00B17EF5" w:rsidRPr="00AD52EC">
        <w:rPr>
          <w:sz w:val="22"/>
          <w:szCs w:val="22"/>
        </w:rPr>
        <w:t xml:space="preserve"> circumstances, it left question marks as to</w:t>
      </w:r>
      <w:r w:rsidR="00BC4C80">
        <w:rPr>
          <w:sz w:val="22"/>
          <w:szCs w:val="22"/>
        </w:rPr>
        <w:t xml:space="preserve"> his</w:t>
      </w:r>
      <w:r w:rsidR="00B17EF5" w:rsidRPr="00AD52EC">
        <w:rPr>
          <w:sz w:val="22"/>
          <w:szCs w:val="22"/>
        </w:rPr>
        <w:t xml:space="preserve"> credibility as a witness.  It felt that having suddenly resigned, it would have been expected of him to be bitter seeing he </w:t>
      </w:r>
      <w:r w:rsidR="00B17EF5" w:rsidRPr="00AD52EC">
        <w:rPr>
          <w:sz w:val="22"/>
          <w:szCs w:val="22"/>
        </w:rPr>
        <w:lastRenderedPageBreak/>
        <w:t>had just had an issue with the bank</w:t>
      </w:r>
      <w:r w:rsidR="00241B6D" w:rsidRPr="00AD52EC">
        <w:rPr>
          <w:sz w:val="22"/>
          <w:szCs w:val="22"/>
        </w:rPr>
        <w:t>.  However, during investigations, he admitted that he indeed attempted to defraud the bank but soon after he was seen with the Branch Manager of the same branch, exposing an unco</w:t>
      </w:r>
      <w:r w:rsidR="001A0129" w:rsidRPr="00AD52EC">
        <w:rPr>
          <w:sz w:val="22"/>
          <w:szCs w:val="22"/>
        </w:rPr>
        <w:t>mmon familiarity between the two, which again clouded his whole credibility as a witness.”</w:t>
      </w:r>
    </w:p>
    <w:p w:rsidR="00D71E12" w:rsidRPr="00AD52EC" w:rsidRDefault="00D71E12" w:rsidP="00AD52EC">
      <w:pPr>
        <w:spacing w:line="276" w:lineRule="auto"/>
        <w:jc w:val="both"/>
        <w:rPr>
          <w:sz w:val="22"/>
          <w:szCs w:val="22"/>
        </w:rPr>
      </w:pPr>
    </w:p>
    <w:p w:rsidR="00D71E12" w:rsidRDefault="00D71E12" w:rsidP="00F150E3">
      <w:pPr>
        <w:spacing w:line="360" w:lineRule="auto"/>
        <w:jc w:val="both"/>
      </w:pPr>
      <w:r>
        <w:tab/>
        <w:t xml:space="preserve">It is not clear how the Appeals Board overrode the Disciplinary Committee in its assessment of the </w:t>
      </w:r>
      <w:r w:rsidR="00F42E1B">
        <w:t>credibility</w:t>
      </w:r>
      <w:r w:rsidR="002B242B">
        <w:t xml:space="preserve"> of the witness.  The authorit</w:t>
      </w:r>
      <w:r w:rsidR="00237956">
        <w:t>i</w:t>
      </w:r>
      <w:r w:rsidR="002B242B">
        <w:t xml:space="preserve">es referred to show that it is the Disciplinary Committee that was best placed to </w:t>
      </w:r>
      <w:r w:rsidR="00237956">
        <w:t>ca</w:t>
      </w:r>
      <w:r w:rsidR="00F42E1B">
        <w:t>rry out such</w:t>
      </w:r>
      <w:r w:rsidR="002A7FB1">
        <w:t xml:space="preserve"> assessment.  There must be gross misdirection </w:t>
      </w:r>
      <w:r w:rsidR="00F57D90">
        <w:t xml:space="preserve">in that assessment </w:t>
      </w:r>
      <w:r w:rsidR="002A7FB1">
        <w:t xml:space="preserve">for it to be </w:t>
      </w:r>
      <w:proofErr w:type="spellStart"/>
      <w:r w:rsidR="002A7FB1">
        <w:t>overr</w:t>
      </w:r>
      <w:r w:rsidR="009D75F7">
        <w:t>ide</w:t>
      </w:r>
      <w:r w:rsidR="00E97336">
        <w:t>n</w:t>
      </w:r>
      <w:proofErr w:type="spellEnd"/>
      <w:r w:rsidR="009D75F7">
        <w:t xml:space="preserve"> </w:t>
      </w:r>
      <w:r w:rsidR="00F57D90">
        <w:t>by</w:t>
      </w:r>
      <w:r w:rsidR="009D75F7">
        <w:t xml:space="preserve"> that of the Appeals Board.</w:t>
      </w:r>
      <w:r w:rsidR="00237956">
        <w:t xml:space="preserve"> </w:t>
      </w:r>
    </w:p>
    <w:p w:rsidR="007F1A67" w:rsidRDefault="007F1A67" w:rsidP="00AD52EC">
      <w:pPr>
        <w:jc w:val="both"/>
      </w:pPr>
    </w:p>
    <w:p w:rsidR="007F1A67" w:rsidRDefault="007F1A67" w:rsidP="00F150E3">
      <w:pPr>
        <w:spacing w:line="360" w:lineRule="auto"/>
        <w:jc w:val="both"/>
      </w:pPr>
      <w:r>
        <w:tab/>
        <w:t xml:space="preserve">Apart from </w:t>
      </w:r>
      <w:proofErr w:type="spellStart"/>
      <w:r>
        <w:t>Muz</w:t>
      </w:r>
      <w:r w:rsidR="00D43381">
        <w:t>a</w:t>
      </w:r>
      <w:r>
        <w:t>ra’s</w:t>
      </w:r>
      <w:proofErr w:type="spellEnd"/>
      <w:r>
        <w:t xml:space="preserve"> testimony, </w:t>
      </w:r>
      <w:r w:rsidR="00F57D90">
        <w:t>there are</w:t>
      </w:r>
      <w:r w:rsidR="00D43381">
        <w:t xml:space="preserve"> other features in the case that</w:t>
      </w:r>
      <w:r w:rsidR="003B323E">
        <w:t xml:space="preserve"> tend to incriminate the respondent.</w:t>
      </w:r>
    </w:p>
    <w:p w:rsidR="003B323E" w:rsidRDefault="003B323E" w:rsidP="00AD52EC">
      <w:pPr>
        <w:jc w:val="both"/>
      </w:pPr>
    </w:p>
    <w:p w:rsidR="003B323E" w:rsidRDefault="002729B3" w:rsidP="00F150E3">
      <w:pPr>
        <w:spacing w:line="360" w:lineRule="auto"/>
        <w:jc w:val="both"/>
      </w:pPr>
      <w:r>
        <w:tab/>
        <w:t>The A</w:t>
      </w:r>
      <w:r w:rsidR="007C713E">
        <w:t>ppeals Board made reference to a</w:t>
      </w:r>
      <w:r>
        <w:t>n email, dated 2 January 2013</w:t>
      </w:r>
      <w:r w:rsidR="00AF21BC">
        <w:t xml:space="preserve">, authored </w:t>
      </w:r>
      <w:r w:rsidR="00B100D2">
        <w:t>by</w:t>
      </w:r>
      <w:r w:rsidR="00AF21BC">
        <w:t xml:space="preserve"> the respondent, wherein he sought assistance in </w:t>
      </w:r>
      <w:r w:rsidR="00B100D2">
        <w:t>tracing</w:t>
      </w:r>
      <w:r w:rsidR="00AF21BC">
        <w:t xml:space="preserve"> the $100</w:t>
      </w:r>
      <w:proofErr w:type="gramStart"/>
      <w:r w:rsidR="00AF21BC">
        <w:t>,00</w:t>
      </w:r>
      <w:proofErr w:type="gramEnd"/>
      <w:r w:rsidR="00AF21BC">
        <w:t xml:space="preserve"> discrepancy.  The Appeals Board’s </w:t>
      </w:r>
      <w:r w:rsidR="00A53E66">
        <w:t>reasoning</w:t>
      </w:r>
      <w:r w:rsidR="008F3FBF">
        <w:t xml:space="preserve"> was that </w:t>
      </w:r>
      <w:r w:rsidR="00A53E66">
        <w:t xml:space="preserve">it was </w:t>
      </w:r>
      <w:r w:rsidR="00A32D07">
        <w:t>“</w:t>
      </w:r>
      <w:r w:rsidR="00A53E66">
        <w:t>highly unlikely that the app</w:t>
      </w:r>
      <w:r w:rsidR="002661B4">
        <w:t>ellant would on the following day, January 3, 2013,</w:t>
      </w:r>
      <w:r w:rsidR="00D739F3">
        <w:t xml:space="preserve"> co</w:t>
      </w:r>
      <w:r w:rsidR="00426CAE">
        <w:t>nnive with</w:t>
      </w:r>
      <w:r w:rsidR="001C0277">
        <w:t xml:space="preserve"> a co-custodian</w:t>
      </w:r>
      <w:r w:rsidR="008F2944">
        <w:t xml:space="preserve"> to stea</w:t>
      </w:r>
      <w:r w:rsidR="006074F2">
        <w:t xml:space="preserve">l the missing $100 which he </w:t>
      </w:r>
      <w:r w:rsidR="001C0277">
        <w:t>had reported</w:t>
      </w:r>
      <w:r w:rsidR="006074F2">
        <w:t xml:space="preserve"> himself to</w:t>
      </w:r>
      <w:r w:rsidR="00A32D07">
        <w:t xml:space="preserve"> Head Office.”</w:t>
      </w:r>
    </w:p>
    <w:p w:rsidR="008F3FBF" w:rsidRDefault="008F3FBF" w:rsidP="00AD52EC">
      <w:pPr>
        <w:jc w:val="both"/>
      </w:pPr>
    </w:p>
    <w:p w:rsidR="008F3FBF" w:rsidRDefault="008F3FBF" w:rsidP="00F150E3">
      <w:pPr>
        <w:spacing w:line="360" w:lineRule="auto"/>
        <w:jc w:val="both"/>
      </w:pPr>
      <w:r>
        <w:tab/>
        <w:t>However, the record of the discipl</w:t>
      </w:r>
      <w:r w:rsidR="003E3BB0">
        <w:t>inary</w:t>
      </w:r>
      <w:r w:rsidR="00C22B9D">
        <w:t xml:space="preserve"> hearing </w:t>
      </w:r>
      <w:r w:rsidR="003E3BB0">
        <w:t xml:space="preserve">shows that the respondent </w:t>
      </w:r>
      <w:r w:rsidR="00C22B9D">
        <w:t>distanced himself from this email.</w:t>
      </w:r>
      <w:r w:rsidR="00FB3988">
        <w:t xml:space="preserve"> He </w:t>
      </w:r>
      <w:r w:rsidR="00C22B9D">
        <w:t>denied</w:t>
      </w:r>
      <w:r w:rsidR="00FB3988">
        <w:t xml:space="preserve"> authorship thereof.  It can thus not be used to aid his defence.  </w:t>
      </w:r>
    </w:p>
    <w:p w:rsidR="00F44385" w:rsidRDefault="00F44385" w:rsidP="00AD52EC">
      <w:pPr>
        <w:jc w:val="both"/>
      </w:pPr>
    </w:p>
    <w:p w:rsidR="00F44385" w:rsidRDefault="00F44385" w:rsidP="00CF5438">
      <w:pPr>
        <w:spacing w:line="360" w:lineRule="auto"/>
        <w:jc w:val="both"/>
      </w:pPr>
      <w:r>
        <w:tab/>
        <w:t xml:space="preserve">It appears the difficulty the respondent found </w:t>
      </w:r>
      <w:r w:rsidR="004D5E27">
        <w:t>himself</w:t>
      </w:r>
      <w:r>
        <w:t xml:space="preserve"> in is that this email refers to a surplus </w:t>
      </w:r>
      <w:r w:rsidR="001E3311">
        <w:t xml:space="preserve">“as from 17 – 18 December 2012.” The </w:t>
      </w:r>
      <w:r w:rsidR="004D5E27">
        <w:t>transa</w:t>
      </w:r>
      <w:r w:rsidR="00693EF5">
        <w:t>ction being reversed or corrected</w:t>
      </w:r>
      <w:r w:rsidR="00CB04DE">
        <w:t xml:space="preserve"> was done on </w:t>
      </w:r>
      <w:r w:rsidR="00693EF5">
        <w:t>15 December 2012</w:t>
      </w:r>
      <w:r w:rsidR="00D74A62">
        <w:t>.  If the ATM</w:t>
      </w:r>
      <w:r w:rsidR="00046631">
        <w:t xml:space="preserve"> transactions were </w:t>
      </w:r>
      <w:r w:rsidR="00EF07BA">
        <w:t>balancing prior</w:t>
      </w:r>
      <w:r w:rsidR="00046631">
        <w:t xml:space="preserve"> to the period indic</w:t>
      </w:r>
      <w:r w:rsidR="00602BC1">
        <w:t>a</w:t>
      </w:r>
      <w:r w:rsidR="00046631">
        <w:t xml:space="preserve">ted in the email, the surplus </w:t>
      </w:r>
      <w:r w:rsidR="004E5827">
        <w:t>could</w:t>
      </w:r>
      <w:r w:rsidR="007233C7">
        <w:t xml:space="preserve"> not</w:t>
      </w:r>
      <w:r w:rsidR="004E5827">
        <w:t xml:space="preserve"> p</w:t>
      </w:r>
      <w:r w:rsidR="00046631">
        <w:t xml:space="preserve">ossibly arise out of the December </w:t>
      </w:r>
      <w:r w:rsidR="00E23C48">
        <w:t xml:space="preserve">15 transaction.  Any reference to that transaction as the </w:t>
      </w:r>
      <w:r w:rsidR="003F0685">
        <w:t>source</w:t>
      </w:r>
      <w:r w:rsidR="00E23C48">
        <w:t xml:space="preserve"> of the discrepancy </w:t>
      </w:r>
      <w:r w:rsidR="007A0D29">
        <w:t>could</w:t>
      </w:r>
      <w:r w:rsidR="00E23C48">
        <w:t xml:space="preserve"> </w:t>
      </w:r>
      <w:r w:rsidR="00766028">
        <w:t>o</w:t>
      </w:r>
      <w:r w:rsidR="00E23C48">
        <w:t xml:space="preserve">nly be </w:t>
      </w:r>
      <w:r w:rsidR="00766028">
        <w:t>fraudulent.</w:t>
      </w:r>
    </w:p>
    <w:p w:rsidR="00766028" w:rsidRDefault="00766028" w:rsidP="00AD52EC">
      <w:pPr>
        <w:jc w:val="both"/>
      </w:pPr>
    </w:p>
    <w:p w:rsidR="008D1668" w:rsidRDefault="00766028" w:rsidP="00F150E3">
      <w:pPr>
        <w:spacing w:line="360" w:lineRule="auto"/>
        <w:jc w:val="both"/>
      </w:pPr>
      <w:r>
        <w:tab/>
        <w:t>The situation is compound</w:t>
      </w:r>
      <w:r w:rsidR="007A0D29">
        <w:t>ed</w:t>
      </w:r>
      <w:r>
        <w:t xml:space="preserve"> by</w:t>
      </w:r>
      <w:r w:rsidR="00E22869">
        <w:t xml:space="preserve"> the respondent’s </w:t>
      </w:r>
      <w:r w:rsidR="007A0D29">
        <w:t>endorsement</w:t>
      </w:r>
      <w:r w:rsidR="003C72C6">
        <w:t xml:space="preserve"> of the</w:t>
      </w:r>
      <w:r>
        <w:t xml:space="preserve"> </w:t>
      </w:r>
      <w:r w:rsidR="003C72C6">
        <w:t>reversal, join</w:t>
      </w:r>
      <w:r w:rsidR="007A0D29">
        <w:t xml:space="preserve">tly with </w:t>
      </w:r>
      <w:proofErr w:type="spellStart"/>
      <w:r w:rsidR="007A0D29">
        <w:t>Muzara</w:t>
      </w:r>
      <w:proofErr w:type="spellEnd"/>
      <w:r w:rsidR="007A0D29">
        <w:t>.  Given the pat</w:t>
      </w:r>
      <w:r w:rsidR="003C72C6">
        <w:t xml:space="preserve">ent </w:t>
      </w:r>
      <w:r w:rsidR="00783AEB">
        <w:t xml:space="preserve">anomalies, it is most </w:t>
      </w:r>
      <w:r w:rsidR="008F5FE5">
        <w:t>improbable</w:t>
      </w:r>
      <w:r w:rsidR="00783AEB">
        <w:t xml:space="preserve"> </w:t>
      </w:r>
      <w:r w:rsidR="007D13BC">
        <w:t>he “blindly”</w:t>
      </w:r>
      <w:r w:rsidR="008F6C6A">
        <w:t xml:space="preserve"> </w:t>
      </w:r>
      <w:r w:rsidR="007D13BC">
        <w:t xml:space="preserve">made such an </w:t>
      </w:r>
      <w:r w:rsidR="006F0532">
        <w:t>endorsement. The facts inexorably point</w:t>
      </w:r>
      <w:r w:rsidR="008F6C6A">
        <w:t xml:space="preserve"> to his </w:t>
      </w:r>
      <w:r w:rsidR="006F0532">
        <w:t>awareness</w:t>
      </w:r>
      <w:r w:rsidR="008F6C6A">
        <w:t xml:space="preserve"> of the fraudulent </w:t>
      </w:r>
      <w:r w:rsidR="00234008">
        <w:t xml:space="preserve">nature </w:t>
      </w:r>
      <w:r w:rsidR="00C234B8">
        <w:t>o</w:t>
      </w:r>
      <w:r w:rsidR="008F6C6A">
        <w:t xml:space="preserve">f the transaction.  </w:t>
      </w:r>
    </w:p>
    <w:p w:rsidR="007C6A3A" w:rsidRDefault="007C6A3A" w:rsidP="007C6A3A">
      <w:pPr>
        <w:jc w:val="both"/>
      </w:pPr>
    </w:p>
    <w:p w:rsidR="008D1668" w:rsidRDefault="008D1668" w:rsidP="00F150E3">
      <w:pPr>
        <w:spacing w:line="360" w:lineRule="auto"/>
        <w:jc w:val="both"/>
      </w:pPr>
      <w:r>
        <w:tab/>
        <w:t xml:space="preserve">Taking into account all the </w:t>
      </w:r>
      <w:r w:rsidR="00E9777F">
        <w:t>features</w:t>
      </w:r>
      <w:r w:rsidR="00EE17B9">
        <w:t xml:space="preserve"> making up this case, the </w:t>
      </w:r>
      <w:r w:rsidR="00E9777F">
        <w:t xml:space="preserve">Disciplinary </w:t>
      </w:r>
      <w:proofErr w:type="spellStart"/>
      <w:r w:rsidR="00E9777F">
        <w:t>Committe</w:t>
      </w:r>
      <w:proofErr w:type="spellEnd"/>
      <w:r w:rsidR="00A22A9F">
        <w:t xml:space="preserve"> cannot be faulted for </w:t>
      </w:r>
      <w:r w:rsidR="00E9777F">
        <w:t>returning</w:t>
      </w:r>
      <w:r w:rsidR="00A22A9F">
        <w:t xml:space="preserve"> a verdict </w:t>
      </w:r>
      <w:r w:rsidR="0008657B">
        <w:t xml:space="preserve">of guilty.  It can </w:t>
      </w:r>
      <w:r w:rsidR="00E9777F">
        <w:t>certainly</w:t>
      </w:r>
      <w:r w:rsidR="0008657B">
        <w:t xml:space="preserve"> not be said that its decision was grossl</w:t>
      </w:r>
      <w:r w:rsidR="00B570D5">
        <w:t>y</w:t>
      </w:r>
      <w:r w:rsidR="0008657B">
        <w:t xml:space="preserve"> unreasonable in the circumstances.</w:t>
      </w:r>
    </w:p>
    <w:p w:rsidR="00B570D5" w:rsidRDefault="00B570D5" w:rsidP="00AD52EC">
      <w:pPr>
        <w:jc w:val="both"/>
      </w:pPr>
    </w:p>
    <w:p w:rsidR="00BE2067" w:rsidRDefault="00B570D5" w:rsidP="00F150E3">
      <w:pPr>
        <w:spacing w:line="360" w:lineRule="auto"/>
        <w:jc w:val="both"/>
      </w:pPr>
      <w:r>
        <w:tab/>
      </w:r>
      <w:r w:rsidR="002D06CD">
        <w:t xml:space="preserve">Even if one were to entertain doubt in associating the respondent with </w:t>
      </w:r>
      <w:proofErr w:type="spellStart"/>
      <w:r w:rsidR="00FD3C0C">
        <w:t>Muzara’s</w:t>
      </w:r>
      <w:proofErr w:type="spellEnd"/>
      <w:r w:rsidR="00FD3C0C">
        <w:t xml:space="preserve"> intention to steal</w:t>
      </w:r>
      <w:r w:rsidR="001668C8">
        <w:t xml:space="preserve"> </w:t>
      </w:r>
      <w:r w:rsidR="00FD3C0C">
        <w:t>the $100.00 surplus</w:t>
      </w:r>
      <w:r w:rsidR="003B2BB0">
        <w:t>,</w:t>
      </w:r>
      <w:r w:rsidR="00FD3C0C">
        <w:t xml:space="preserve"> </w:t>
      </w:r>
      <w:r w:rsidR="001668C8">
        <w:t xml:space="preserve">he cannot be exempted from the fraudulent </w:t>
      </w:r>
      <w:r w:rsidR="00B15B8A">
        <w:t xml:space="preserve">entry.  The facts looked at </w:t>
      </w:r>
      <w:r w:rsidR="006F6815">
        <w:t>militate</w:t>
      </w:r>
      <w:r w:rsidR="00405E87">
        <w:t xml:space="preserve"> against his </w:t>
      </w:r>
      <w:r w:rsidR="003B2BB0">
        <w:t>innocence.</w:t>
      </w:r>
      <w:r w:rsidR="001002C8">
        <w:t xml:space="preserve"> They show participation</w:t>
      </w:r>
      <w:r w:rsidR="00405E87">
        <w:t xml:space="preserve"> in a fraudulent </w:t>
      </w:r>
      <w:r w:rsidR="00AC4D2C">
        <w:t>transaction.  It matters not whether the intention was actually to steal, or</w:t>
      </w:r>
      <w:r w:rsidR="001002C8">
        <w:t xml:space="preserve"> to</w:t>
      </w:r>
      <w:r w:rsidR="00AC4D2C">
        <w:t xml:space="preserve"> clear, by fraudulent </w:t>
      </w:r>
      <w:r w:rsidR="001002C8">
        <w:t>means</w:t>
      </w:r>
      <w:r w:rsidR="00AC4D2C">
        <w:t xml:space="preserve">, ATM transactions </w:t>
      </w:r>
      <w:r w:rsidR="00CF5179">
        <w:t>they</w:t>
      </w:r>
      <w:r w:rsidR="00BE2067">
        <w:t xml:space="preserve"> found not to be balancing. His actions, in my view, would be with</w:t>
      </w:r>
      <w:r w:rsidR="00541497">
        <w:t>in the ambit of the charges in</w:t>
      </w:r>
      <w:r w:rsidR="00BE2067">
        <w:t xml:space="preserve"> first count, being </w:t>
      </w:r>
      <w:r w:rsidR="00BE2067" w:rsidRPr="007C6A3A">
        <w:rPr>
          <w:i/>
        </w:rPr>
        <w:t>theft or fraud</w:t>
      </w:r>
      <w:r w:rsidR="00D253E4">
        <w:t>.</w:t>
      </w:r>
    </w:p>
    <w:p w:rsidR="00BE2067" w:rsidRDefault="00BE2067" w:rsidP="00AD52EC">
      <w:pPr>
        <w:jc w:val="both"/>
      </w:pPr>
    </w:p>
    <w:p w:rsidR="00243B9B" w:rsidRDefault="00BE2067" w:rsidP="00F150E3">
      <w:pPr>
        <w:spacing w:line="360" w:lineRule="auto"/>
        <w:jc w:val="both"/>
      </w:pPr>
      <w:r>
        <w:tab/>
      </w:r>
      <w:r w:rsidR="00D253E4">
        <w:t>If doubt i</w:t>
      </w:r>
      <w:r w:rsidR="007C6A3A">
        <w:t xml:space="preserve">s entertained in respect of </w:t>
      </w:r>
      <w:r w:rsidR="007C6A3A" w:rsidRPr="00EF7452">
        <w:rPr>
          <w:i/>
        </w:rPr>
        <w:t>theft or fraud</w:t>
      </w:r>
      <w:r w:rsidR="00D253E4">
        <w:t>, the</w:t>
      </w:r>
      <w:r w:rsidR="00FA5E6D">
        <w:t xml:space="preserve"> respondent would </w:t>
      </w:r>
      <w:r w:rsidR="00127E47">
        <w:t>certain</w:t>
      </w:r>
      <w:r w:rsidR="004171A4">
        <w:t>ly</w:t>
      </w:r>
      <w:r w:rsidR="00127E47">
        <w:t xml:space="preserve"> not </w:t>
      </w:r>
      <w:r w:rsidR="004171A4">
        <w:t>escape</w:t>
      </w:r>
      <w:r w:rsidR="00127E47">
        <w:t xml:space="preserve"> liability for the second count, which is </w:t>
      </w:r>
      <w:r w:rsidR="00127E47" w:rsidRPr="00E91BC2">
        <w:rPr>
          <w:i/>
        </w:rPr>
        <w:t>falsification of records</w:t>
      </w:r>
      <w:r w:rsidR="00127E47">
        <w:t xml:space="preserve">.  A false </w:t>
      </w:r>
      <w:r w:rsidR="00FC4DFC">
        <w:t>entry for $100</w:t>
      </w:r>
      <w:proofErr w:type="gramStart"/>
      <w:r w:rsidR="00FC4DFC">
        <w:t>,00</w:t>
      </w:r>
      <w:proofErr w:type="gramEnd"/>
      <w:r w:rsidR="00FC4DFC">
        <w:t xml:space="preserve"> </w:t>
      </w:r>
      <w:r w:rsidR="004171A4">
        <w:t xml:space="preserve">was raised and misrepresented </w:t>
      </w:r>
      <w:r w:rsidR="00FC4DFC">
        <w:t xml:space="preserve">as an ATM difference </w:t>
      </w:r>
      <w:r w:rsidR="004171A4">
        <w:t>traced</w:t>
      </w:r>
      <w:r w:rsidR="00FC4DFC">
        <w:t xml:space="preserve"> to an account </w:t>
      </w:r>
      <w:r w:rsidR="003B30FD">
        <w:t>whose transactions had</w:t>
      </w:r>
      <w:r w:rsidR="00243B9B">
        <w:t xml:space="preserve"> not created such a difference.</w:t>
      </w:r>
    </w:p>
    <w:p w:rsidR="00243B9B" w:rsidRDefault="00243B9B" w:rsidP="00CF5438">
      <w:pPr>
        <w:jc w:val="both"/>
      </w:pPr>
    </w:p>
    <w:p w:rsidR="009252ED" w:rsidRDefault="00243B9B" w:rsidP="00F150E3">
      <w:pPr>
        <w:spacing w:line="360" w:lineRule="auto"/>
        <w:jc w:val="both"/>
      </w:pPr>
      <w:r>
        <w:tab/>
        <w:t xml:space="preserve">In my view, the Appeals Board’s </w:t>
      </w:r>
      <w:r w:rsidR="009252ED">
        <w:t>decision does not show a justifiable basis for tampering with the verdict of guilty, in respect of both charges.</w:t>
      </w:r>
    </w:p>
    <w:p w:rsidR="009252ED" w:rsidRDefault="009252ED" w:rsidP="00AD52EC">
      <w:pPr>
        <w:jc w:val="both"/>
      </w:pPr>
    </w:p>
    <w:p w:rsidR="00E9143F" w:rsidRDefault="009252ED" w:rsidP="00F150E3">
      <w:pPr>
        <w:spacing w:line="360" w:lineRule="auto"/>
        <w:jc w:val="both"/>
      </w:pPr>
      <w:r>
        <w:tab/>
        <w:t>On penalty, the Appeals Board substituted dismissal with a severe written warning</w:t>
      </w:r>
      <w:r w:rsidR="005502CE">
        <w:t>.  The Appeals Board’s decision</w:t>
      </w:r>
      <w:r w:rsidR="0062117B">
        <w:t xml:space="preserve"> is unclear. </w:t>
      </w:r>
      <w:r w:rsidR="005502CE">
        <w:t>It is not clear whether it had substituted the conviction for the second count</w:t>
      </w:r>
      <w:r w:rsidR="00FF6F1F">
        <w:t xml:space="preserve"> -</w:t>
      </w:r>
      <w:r w:rsidR="00A9174C">
        <w:t xml:space="preserve"> falsification of record</w:t>
      </w:r>
      <w:r w:rsidR="00FF6F1F">
        <w:t xml:space="preserve"> -</w:t>
      </w:r>
      <w:r w:rsidR="00A9174C">
        <w:t xml:space="preserve"> with some other charge.  It should have</w:t>
      </w:r>
      <w:r w:rsidR="00FF6F1F">
        <w:t xml:space="preserve"> made it clear and specific, in respect of w</w:t>
      </w:r>
      <w:r w:rsidR="00A9174C">
        <w:t xml:space="preserve">hat charge, in terms </w:t>
      </w:r>
      <w:r w:rsidR="00C23161">
        <w:t>of which</w:t>
      </w:r>
      <w:r w:rsidR="00FA44D2">
        <w:t xml:space="preserve"> provisions of the Code,</w:t>
      </w:r>
      <w:r w:rsidR="00763C34">
        <w:t xml:space="preserve"> it was returning</w:t>
      </w:r>
      <w:r w:rsidR="00FA44D2">
        <w:t xml:space="preserve"> a verdict of guilty.</w:t>
      </w:r>
      <w:r w:rsidR="009302FB">
        <w:t xml:space="preserve">  This portion of its determination </w:t>
      </w:r>
      <w:r w:rsidR="007B28F7">
        <w:t xml:space="preserve">is </w:t>
      </w:r>
      <w:proofErr w:type="gramStart"/>
      <w:r w:rsidR="007B28F7">
        <w:t>vague,</w:t>
      </w:r>
      <w:proofErr w:type="gramEnd"/>
      <w:r w:rsidR="007B28F7">
        <w:t xml:space="preserve"> making it difficult to appreciate on what basis </w:t>
      </w:r>
      <w:r w:rsidR="00E9143F">
        <w:t>the severe written warning was imposed.</w:t>
      </w:r>
    </w:p>
    <w:p w:rsidR="00E9143F" w:rsidRDefault="00E9143F" w:rsidP="00AD52EC">
      <w:pPr>
        <w:jc w:val="both"/>
      </w:pPr>
    </w:p>
    <w:p w:rsidR="00B570D5" w:rsidRDefault="00E9143F" w:rsidP="00F150E3">
      <w:pPr>
        <w:spacing w:line="360" w:lineRule="auto"/>
        <w:jc w:val="both"/>
      </w:pPr>
      <w:r>
        <w:tab/>
        <w:t>In paragraph 14 of its heads of argument, the appellant submits that the Appeals Board</w:t>
      </w:r>
      <w:r w:rsidR="00602FA0">
        <w:t xml:space="preserve"> found the respondent not guilty of theft, but “however </w:t>
      </w:r>
      <w:r w:rsidR="00254FEA">
        <w:t>confirmed</w:t>
      </w:r>
      <w:r w:rsidR="00602FA0">
        <w:t xml:space="preserve"> that the respondent was</w:t>
      </w:r>
      <w:r w:rsidR="00254FEA">
        <w:t xml:space="preserve"> guilty</w:t>
      </w:r>
      <w:r w:rsidR="006F6815">
        <w:t xml:space="preserve"> </w:t>
      </w:r>
      <w:r w:rsidR="00E91871">
        <w:t>of falsification of records.”</w:t>
      </w:r>
      <w:r w:rsidR="00AB1C53">
        <w:t xml:space="preserve"> </w:t>
      </w:r>
      <w:r w:rsidR="00254FEA">
        <w:t>A</w:t>
      </w:r>
      <w:r w:rsidR="00E91871">
        <w:t xml:space="preserve"> reading of the Appeals Board’s det</w:t>
      </w:r>
      <w:r w:rsidR="00AB1C53">
        <w:t>ermination, as already indicated</w:t>
      </w:r>
      <w:r w:rsidR="00254FEA">
        <w:t>,</w:t>
      </w:r>
      <w:r w:rsidR="00AB1C53">
        <w:t xml:space="preserve"> does not </w:t>
      </w:r>
      <w:r w:rsidR="000646DF">
        <w:t>indicate</w:t>
      </w:r>
      <w:r w:rsidR="002C639A">
        <w:t xml:space="preserve"> such confirmation</w:t>
      </w:r>
      <w:r w:rsidR="00C11E0F">
        <w:t xml:space="preserve">.  The verdict returned </w:t>
      </w:r>
      <w:r w:rsidR="000646DF">
        <w:t>by the Appeals Board is not precise</w:t>
      </w:r>
      <w:r w:rsidR="00C11E0F">
        <w:t xml:space="preserve"> and </w:t>
      </w:r>
      <w:r w:rsidR="00884882">
        <w:t>concise</w:t>
      </w:r>
      <w:r w:rsidR="00C11E0F">
        <w:t xml:space="preserve"> as to which </w:t>
      </w:r>
      <w:r w:rsidR="00C11E0F">
        <w:lastRenderedPageBreak/>
        <w:t>charge that verdict</w:t>
      </w:r>
      <w:r w:rsidR="007E1BE8">
        <w:t xml:space="preserve"> relates. </w:t>
      </w:r>
      <w:r w:rsidR="0011522B">
        <w:t xml:space="preserve"> At best, it leads to an </w:t>
      </w:r>
      <w:r w:rsidR="00BD4D18">
        <w:t>assumption</w:t>
      </w:r>
      <w:r w:rsidR="0011522B">
        <w:t xml:space="preserve"> that it cleared the respondent on the fir</w:t>
      </w:r>
      <w:r w:rsidR="00BD56B2">
        <w:t>st</w:t>
      </w:r>
      <w:r w:rsidR="000646DF">
        <w:t xml:space="preserve"> </w:t>
      </w:r>
      <w:r w:rsidR="00E17951">
        <w:t>charge</w:t>
      </w:r>
      <w:r w:rsidR="00BD56B2">
        <w:t xml:space="preserve"> -</w:t>
      </w:r>
      <w:r w:rsidR="00E17951">
        <w:t xml:space="preserve"> theft or fraud</w:t>
      </w:r>
      <w:r w:rsidR="00BD56B2">
        <w:t>,</w:t>
      </w:r>
      <w:r w:rsidR="00E17951">
        <w:t xml:space="preserve"> and found him guilty of the second charge – falsification of re</w:t>
      </w:r>
      <w:r w:rsidR="00E54B59">
        <w:t>cords.</w:t>
      </w:r>
    </w:p>
    <w:p w:rsidR="00E54B59" w:rsidRDefault="00E54B59" w:rsidP="00AD52EC">
      <w:pPr>
        <w:jc w:val="both"/>
      </w:pPr>
    </w:p>
    <w:p w:rsidR="00E54B59" w:rsidRDefault="00E54B59" w:rsidP="00F150E3">
      <w:pPr>
        <w:spacing w:line="360" w:lineRule="auto"/>
        <w:jc w:val="both"/>
      </w:pPr>
      <w:r>
        <w:tab/>
        <w:t xml:space="preserve">Be that as it may, the </w:t>
      </w:r>
      <w:r w:rsidR="008751C4">
        <w:t>Disciplinary Committee</w:t>
      </w:r>
      <w:r w:rsidR="00BD56B2">
        <w:t>’s</w:t>
      </w:r>
      <w:r w:rsidR="008751C4">
        <w:t xml:space="preserve"> </w:t>
      </w:r>
      <w:r w:rsidR="00C64914">
        <w:t xml:space="preserve">determination found the respondent guilty of both charges.  Both are </w:t>
      </w:r>
      <w:r w:rsidR="002650EA">
        <w:t>dismissible</w:t>
      </w:r>
      <w:r w:rsidR="00947589">
        <w:t xml:space="preserve"> offences in terms of the Code</w:t>
      </w:r>
      <w:r w:rsidR="006D2D7F">
        <w:t>.</w:t>
      </w:r>
      <w:r w:rsidR="00947589">
        <w:t xml:space="preserve"> </w:t>
      </w:r>
      <w:r w:rsidR="006D2D7F">
        <w:t>There</w:t>
      </w:r>
      <w:r w:rsidR="00947589">
        <w:t xml:space="preserve"> was </w:t>
      </w:r>
      <w:r w:rsidR="003614B7">
        <w:t>therefore no</w:t>
      </w:r>
      <w:r w:rsidR="006D2D7F">
        <w:t xml:space="preserve"> room</w:t>
      </w:r>
      <w:r w:rsidR="003614B7">
        <w:t xml:space="preserve"> to change the penalty.</w:t>
      </w:r>
    </w:p>
    <w:p w:rsidR="003614B7" w:rsidRDefault="003614B7" w:rsidP="00AD52EC">
      <w:pPr>
        <w:jc w:val="both"/>
      </w:pPr>
    </w:p>
    <w:p w:rsidR="003614B7" w:rsidRDefault="003614B7" w:rsidP="00F150E3">
      <w:pPr>
        <w:spacing w:line="360" w:lineRule="auto"/>
        <w:jc w:val="both"/>
      </w:pPr>
      <w:r>
        <w:tab/>
        <w:t xml:space="preserve">Even if the respondent was found guilty of the second count only – falsification </w:t>
      </w:r>
      <w:r w:rsidR="0067396E">
        <w:t>of</w:t>
      </w:r>
      <w:r>
        <w:t xml:space="preserve"> records – he cannot </w:t>
      </w:r>
      <w:r w:rsidR="00523E4D">
        <w:t>escape</w:t>
      </w:r>
      <w:r w:rsidR="00A66210">
        <w:t xml:space="preserve"> the ultimate penalty.  It is an offence the appellant, as employer, certainly view</w:t>
      </w:r>
      <w:r w:rsidR="00045839">
        <w:t>ed</w:t>
      </w:r>
      <w:r w:rsidR="00A66210">
        <w:t xml:space="preserve"> seriously.  Its</w:t>
      </w:r>
      <w:r w:rsidR="00B37379">
        <w:t xml:space="preserve"> discretion on penalty cannot be substituted with that of the Appeals Board.  The Appeals Board could only do so in the event of a clear and serious misdirection on the part of the </w:t>
      </w:r>
      <w:r w:rsidR="00045839">
        <w:t xml:space="preserve">Disciplinary Committee. </w:t>
      </w:r>
      <w:r w:rsidR="00B37379">
        <w:t xml:space="preserve"> See</w:t>
      </w:r>
      <w:r w:rsidR="001C0EEA">
        <w:t xml:space="preserve"> </w:t>
      </w:r>
      <w:proofErr w:type="spellStart"/>
      <w:r w:rsidR="001C0EEA" w:rsidRPr="00CC45CB">
        <w:rPr>
          <w:i/>
        </w:rPr>
        <w:t>Innscor</w:t>
      </w:r>
      <w:proofErr w:type="spellEnd"/>
      <w:r w:rsidR="001C0EEA" w:rsidRPr="00CC45CB">
        <w:rPr>
          <w:i/>
        </w:rPr>
        <w:t xml:space="preserve"> Africa (</w:t>
      </w:r>
      <w:proofErr w:type="spellStart"/>
      <w:r w:rsidR="001C0EEA" w:rsidRPr="00CC45CB">
        <w:rPr>
          <w:i/>
        </w:rPr>
        <w:t>Pvt</w:t>
      </w:r>
      <w:proofErr w:type="spellEnd"/>
      <w:r w:rsidR="001C0EEA" w:rsidRPr="00CC45CB">
        <w:rPr>
          <w:i/>
        </w:rPr>
        <w:t>) Ltd</w:t>
      </w:r>
      <w:r w:rsidR="001C0EEA">
        <w:t xml:space="preserve"> v </w:t>
      </w:r>
      <w:proofErr w:type="spellStart"/>
      <w:r w:rsidR="001C0EEA" w:rsidRPr="00CC45CB">
        <w:rPr>
          <w:i/>
        </w:rPr>
        <w:t>Letron</w:t>
      </w:r>
      <w:proofErr w:type="spellEnd"/>
      <w:r w:rsidR="001C0EEA" w:rsidRPr="00CC45CB">
        <w:rPr>
          <w:i/>
        </w:rPr>
        <w:t xml:space="preserve"> </w:t>
      </w:r>
      <w:proofErr w:type="spellStart"/>
      <w:r w:rsidR="001C0EEA" w:rsidRPr="00CC45CB">
        <w:rPr>
          <w:i/>
        </w:rPr>
        <w:t>Chimoto</w:t>
      </w:r>
      <w:proofErr w:type="spellEnd"/>
      <w:r w:rsidR="001C0EEA">
        <w:t xml:space="preserve"> SC 6/12, </w:t>
      </w:r>
      <w:proofErr w:type="spellStart"/>
      <w:r w:rsidR="001C0EEA" w:rsidRPr="00CC45CB">
        <w:rPr>
          <w:i/>
        </w:rPr>
        <w:t>Mashonaland</w:t>
      </w:r>
      <w:proofErr w:type="spellEnd"/>
      <w:r w:rsidR="001C0EEA" w:rsidRPr="00CC45CB">
        <w:rPr>
          <w:i/>
        </w:rPr>
        <w:t xml:space="preserve"> Turf Club</w:t>
      </w:r>
      <w:r w:rsidR="001C0EEA">
        <w:t xml:space="preserve"> v </w:t>
      </w:r>
      <w:r w:rsidR="00C759AE">
        <w:rPr>
          <w:i/>
        </w:rPr>
        <w:t xml:space="preserve">George </w:t>
      </w:r>
      <w:proofErr w:type="spellStart"/>
      <w:r w:rsidR="00C759AE">
        <w:rPr>
          <w:i/>
        </w:rPr>
        <w:t>Muta</w:t>
      </w:r>
      <w:r w:rsidR="001C0EEA" w:rsidRPr="00CC45CB">
        <w:rPr>
          <w:i/>
        </w:rPr>
        <w:t>ngadu</w:t>
      </w:r>
      <w:r w:rsidR="00B53946" w:rsidRPr="00CC45CB">
        <w:rPr>
          <w:i/>
        </w:rPr>
        <w:t>ra</w:t>
      </w:r>
      <w:proofErr w:type="spellEnd"/>
      <w:r w:rsidR="00B53946">
        <w:t xml:space="preserve"> SC 5/12, and </w:t>
      </w:r>
      <w:r w:rsidR="00B53946" w:rsidRPr="00CC45CB">
        <w:rPr>
          <w:i/>
        </w:rPr>
        <w:t>Standard Chartered Bank</w:t>
      </w:r>
      <w:r w:rsidR="00B53946">
        <w:t xml:space="preserve"> v </w:t>
      </w:r>
      <w:proofErr w:type="spellStart"/>
      <w:r w:rsidR="00B53946" w:rsidRPr="00CC45CB">
        <w:rPr>
          <w:i/>
        </w:rPr>
        <w:t>Chapuka</w:t>
      </w:r>
      <w:proofErr w:type="spellEnd"/>
      <w:r w:rsidR="00B53946" w:rsidRPr="00CC45CB">
        <w:rPr>
          <w:i/>
        </w:rPr>
        <w:t xml:space="preserve"> </w:t>
      </w:r>
      <w:r w:rsidR="00B53946">
        <w:t>SC 125/04</w:t>
      </w:r>
      <w:r w:rsidR="00CC45CB">
        <w:t>.</w:t>
      </w:r>
    </w:p>
    <w:p w:rsidR="00B37379" w:rsidRDefault="00B37379" w:rsidP="00AD52EC">
      <w:pPr>
        <w:jc w:val="both"/>
      </w:pPr>
    </w:p>
    <w:p w:rsidR="00B37379" w:rsidRDefault="00D532B3" w:rsidP="00F150E3">
      <w:pPr>
        <w:spacing w:line="360" w:lineRule="auto"/>
        <w:jc w:val="both"/>
      </w:pPr>
      <w:r>
        <w:t>No such misdirection has been demonstrated.  The appeal, in the circumstances, must succeed.</w:t>
      </w:r>
    </w:p>
    <w:p w:rsidR="00D532B3" w:rsidRDefault="00D532B3" w:rsidP="00F150E3">
      <w:pPr>
        <w:spacing w:line="360" w:lineRule="auto"/>
        <w:jc w:val="both"/>
      </w:pPr>
    </w:p>
    <w:p w:rsidR="00D532B3" w:rsidRDefault="00D532B3" w:rsidP="00F150E3">
      <w:pPr>
        <w:spacing w:line="360" w:lineRule="auto"/>
        <w:jc w:val="both"/>
      </w:pPr>
      <w:r>
        <w:t>It is according</w:t>
      </w:r>
      <w:r w:rsidR="0051227B">
        <w:t>ly ordered that;</w:t>
      </w:r>
    </w:p>
    <w:p w:rsidR="0051227B" w:rsidRDefault="0051227B" w:rsidP="00F150E3">
      <w:pPr>
        <w:spacing w:line="360" w:lineRule="auto"/>
        <w:jc w:val="both"/>
      </w:pPr>
    </w:p>
    <w:p w:rsidR="0051227B" w:rsidRDefault="0051227B" w:rsidP="0051227B">
      <w:pPr>
        <w:pStyle w:val="ListParagraph"/>
        <w:numPr>
          <w:ilvl w:val="0"/>
          <w:numId w:val="1"/>
        </w:numPr>
        <w:spacing w:line="360" w:lineRule="auto"/>
        <w:jc w:val="both"/>
      </w:pPr>
      <w:r>
        <w:t>The appeal be and is hereby allowed.</w:t>
      </w:r>
    </w:p>
    <w:p w:rsidR="0051227B" w:rsidRDefault="000D5BF4" w:rsidP="0051227B">
      <w:pPr>
        <w:pStyle w:val="ListParagraph"/>
        <w:numPr>
          <w:ilvl w:val="0"/>
          <w:numId w:val="1"/>
        </w:numPr>
        <w:spacing w:line="360" w:lineRule="auto"/>
        <w:jc w:val="both"/>
      </w:pPr>
      <w:r>
        <w:t>The determination of the National Employment Council Appeal Board of 10 April 2013 be and is hereby set aside.</w:t>
      </w:r>
    </w:p>
    <w:p w:rsidR="0051227B" w:rsidRDefault="00FA72E0" w:rsidP="0051227B">
      <w:pPr>
        <w:pStyle w:val="ListParagraph"/>
        <w:numPr>
          <w:ilvl w:val="0"/>
          <w:numId w:val="1"/>
        </w:numPr>
        <w:spacing w:line="360" w:lineRule="auto"/>
        <w:jc w:val="both"/>
      </w:pPr>
      <w:r>
        <w:t xml:space="preserve">The determination of the Disciplinary Committee of 26 January 2013 be and is hereby upheld.  </w:t>
      </w:r>
    </w:p>
    <w:p w:rsidR="00FA72E0" w:rsidRDefault="00FA72E0" w:rsidP="0051227B">
      <w:pPr>
        <w:pStyle w:val="ListParagraph"/>
        <w:numPr>
          <w:ilvl w:val="0"/>
          <w:numId w:val="1"/>
        </w:numPr>
        <w:spacing w:line="360" w:lineRule="auto"/>
        <w:jc w:val="both"/>
      </w:pPr>
      <w:r>
        <w:t>The respondent shall bear the appellant’s costs.</w:t>
      </w:r>
    </w:p>
    <w:p w:rsidR="00B570D5" w:rsidRDefault="00B570D5" w:rsidP="00F150E3">
      <w:pPr>
        <w:spacing w:line="360" w:lineRule="auto"/>
        <w:jc w:val="both"/>
      </w:pPr>
    </w:p>
    <w:p w:rsidR="00E54EBB" w:rsidRDefault="00E54EBB" w:rsidP="00F150E3">
      <w:pPr>
        <w:spacing w:line="360" w:lineRule="auto"/>
        <w:jc w:val="both"/>
      </w:pPr>
    </w:p>
    <w:p w:rsidR="00737064" w:rsidRDefault="00A24408" w:rsidP="00FD183C">
      <w:pPr>
        <w:spacing w:line="360" w:lineRule="auto"/>
        <w:jc w:val="both"/>
      </w:pPr>
      <w:proofErr w:type="spellStart"/>
      <w:r w:rsidRPr="00A24408">
        <w:rPr>
          <w:i/>
        </w:rPr>
        <w:t>Dube</w:t>
      </w:r>
      <w:proofErr w:type="spellEnd"/>
      <w:r w:rsidRPr="00A24408">
        <w:rPr>
          <w:i/>
        </w:rPr>
        <w:t xml:space="preserve">, </w:t>
      </w:r>
      <w:proofErr w:type="spellStart"/>
      <w:r w:rsidRPr="00A24408">
        <w:rPr>
          <w:i/>
        </w:rPr>
        <w:t>Manikai</w:t>
      </w:r>
      <w:proofErr w:type="spellEnd"/>
      <w:r w:rsidRPr="00A24408">
        <w:rPr>
          <w:i/>
        </w:rPr>
        <w:t xml:space="preserve"> &amp; </w:t>
      </w:r>
      <w:proofErr w:type="spellStart"/>
      <w:r w:rsidRPr="00A24408">
        <w:rPr>
          <w:i/>
        </w:rPr>
        <w:t>Hwach</w:t>
      </w:r>
      <w:r w:rsidR="00ED26F2">
        <w:t>a</w:t>
      </w:r>
      <w:proofErr w:type="spellEnd"/>
      <w:r>
        <w:t>, appellant’s legal practitioners</w:t>
      </w:r>
    </w:p>
    <w:sectPr w:rsidR="00737064" w:rsidSect="005E2F8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39" w:rsidRDefault="000B4F39" w:rsidP="005E2F89">
      <w:r>
        <w:separator/>
      </w:r>
    </w:p>
  </w:endnote>
  <w:endnote w:type="continuationSeparator" w:id="0">
    <w:p w:rsidR="000B4F39" w:rsidRDefault="000B4F39" w:rsidP="005E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072400"/>
      <w:docPartObj>
        <w:docPartGallery w:val="Page Numbers (Bottom of Page)"/>
        <w:docPartUnique/>
      </w:docPartObj>
    </w:sdtPr>
    <w:sdtEndPr>
      <w:rPr>
        <w:noProof/>
      </w:rPr>
    </w:sdtEndPr>
    <w:sdtContent>
      <w:p w:rsidR="00B53946" w:rsidRDefault="00B53946">
        <w:pPr>
          <w:pStyle w:val="Footer"/>
          <w:jc w:val="center"/>
        </w:pPr>
        <w:r>
          <w:fldChar w:fldCharType="begin"/>
        </w:r>
        <w:r>
          <w:instrText xml:space="preserve"> PAGE   \* MERGEFORMAT </w:instrText>
        </w:r>
        <w:r>
          <w:fldChar w:fldCharType="separate"/>
        </w:r>
        <w:r w:rsidR="0092069B">
          <w:rPr>
            <w:noProof/>
          </w:rPr>
          <w:t>2</w:t>
        </w:r>
        <w:r>
          <w:rPr>
            <w:noProof/>
          </w:rPr>
          <w:fldChar w:fldCharType="end"/>
        </w:r>
      </w:p>
    </w:sdtContent>
  </w:sdt>
  <w:p w:rsidR="00B53946" w:rsidRDefault="00B53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39" w:rsidRDefault="000B4F39" w:rsidP="005E2F89">
      <w:r>
        <w:separator/>
      </w:r>
    </w:p>
  </w:footnote>
  <w:footnote w:type="continuationSeparator" w:id="0">
    <w:p w:rsidR="000B4F39" w:rsidRDefault="000B4F39" w:rsidP="005E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946" w:rsidRPr="005E2F89" w:rsidRDefault="00B53946">
    <w:pPr>
      <w:pStyle w:val="Header"/>
      <w:rPr>
        <w:lang w:val="en-ZW"/>
      </w:rPr>
    </w:pPr>
    <w:r>
      <w:rPr>
        <w:lang w:val="en-ZW"/>
      </w:rPr>
      <w:tab/>
    </w:r>
    <w:r>
      <w:rPr>
        <w:lang w:val="en-ZW"/>
      </w:rPr>
      <w:tab/>
      <w:t>JUDGMENT NO. LC/H/</w:t>
    </w:r>
    <w:r w:rsidR="0092069B">
      <w:rPr>
        <w:lang w:val="en-ZW"/>
      </w:rPr>
      <w:t>589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83577"/>
    <w:multiLevelType w:val="hybridMultilevel"/>
    <w:tmpl w:val="DEC23B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21"/>
    <w:rsid w:val="00022336"/>
    <w:rsid w:val="00023116"/>
    <w:rsid w:val="00035763"/>
    <w:rsid w:val="00042AE7"/>
    <w:rsid w:val="00045839"/>
    <w:rsid w:val="00046631"/>
    <w:rsid w:val="000623E7"/>
    <w:rsid w:val="000646DF"/>
    <w:rsid w:val="00067F18"/>
    <w:rsid w:val="00070814"/>
    <w:rsid w:val="00073838"/>
    <w:rsid w:val="00073A37"/>
    <w:rsid w:val="00085089"/>
    <w:rsid w:val="00085637"/>
    <w:rsid w:val="0008657B"/>
    <w:rsid w:val="000A1E43"/>
    <w:rsid w:val="000B4F39"/>
    <w:rsid w:val="000D27BF"/>
    <w:rsid w:val="000D57DE"/>
    <w:rsid w:val="000D5BF4"/>
    <w:rsid w:val="000F2988"/>
    <w:rsid w:val="001002C8"/>
    <w:rsid w:val="00113E25"/>
    <w:rsid w:val="0011522B"/>
    <w:rsid w:val="00121A49"/>
    <w:rsid w:val="00127E47"/>
    <w:rsid w:val="00152B4E"/>
    <w:rsid w:val="00157226"/>
    <w:rsid w:val="001668C8"/>
    <w:rsid w:val="00195A69"/>
    <w:rsid w:val="001A0129"/>
    <w:rsid w:val="001B3905"/>
    <w:rsid w:val="001C0277"/>
    <w:rsid w:val="001C0B1A"/>
    <w:rsid w:val="001C0EEA"/>
    <w:rsid w:val="001C24E5"/>
    <w:rsid w:val="001E3311"/>
    <w:rsid w:val="001F205C"/>
    <w:rsid w:val="001F74F6"/>
    <w:rsid w:val="00202CB0"/>
    <w:rsid w:val="002239B2"/>
    <w:rsid w:val="0023171C"/>
    <w:rsid w:val="00234008"/>
    <w:rsid w:val="002372D9"/>
    <w:rsid w:val="0023761A"/>
    <w:rsid w:val="00237956"/>
    <w:rsid w:val="00240B74"/>
    <w:rsid w:val="00241B6D"/>
    <w:rsid w:val="00243B9B"/>
    <w:rsid w:val="00254FEA"/>
    <w:rsid w:val="002650EA"/>
    <w:rsid w:val="002661B4"/>
    <w:rsid w:val="002729B3"/>
    <w:rsid w:val="002946B7"/>
    <w:rsid w:val="002A7FB1"/>
    <w:rsid w:val="002B242B"/>
    <w:rsid w:val="002B4521"/>
    <w:rsid w:val="002C40F3"/>
    <w:rsid w:val="002C5065"/>
    <w:rsid w:val="002C639A"/>
    <w:rsid w:val="002D06CD"/>
    <w:rsid w:val="002F79F3"/>
    <w:rsid w:val="0031644D"/>
    <w:rsid w:val="00317BCB"/>
    <w:rsid w:val="00325620"/>
    <w:rsid w:val="00334CE6"/>
    <w:rsid w:val="00360081"/>
    <w:rsid w:val="003614B7"/>
    <w:rsid w:val="003700BD"/>
    <w:rsid w:val="00382A53"/>
    <w:rsid w:val="003A0055"/>
    <w:rsid w:val="003A5FCB"/>
    <w:rsid w:val="003B1976"/>
    <w:rsid w:val="003B2BB0"/>
    <w:rsid w:val="003B30FD"/>
    <w:rsid w:val="003B323E"/>
    <w:rsid w:val="003C72C6"/>
    <w:rsid w:val="003D78F5"/>
    <w:rsid w:val="003E3BB0"/>
    <w:rsid w:val="003F0685"/>
    <w:rsid w:val="00405E87"/>
    <w:rsid w:val="004134EB"/>
    <w:rsid w:val="004171A4"/>
    <w:rsid w:val="00426CAE"/>
    <w:rsid w:val="00441611"/>
    <w:rsid w:val="00466B91"/>
    <w:rsid w:val="0047086D"/>
    <w:rsid w:val="004B5C63"/>
    <w:rsid w:val="004B683E"/>
    <w:rsid w:val="004D30E2"/>
    <w:rsid w:val="004D5E27"/>
    <w:rsid w:val="004E5827"/>
    <w:rsid w:val="004E7523"/>
    <w:rsid w:val="005116AF"/>
    <w:rsid w:val="0051227B"/>
    <w:rsid w:val="005124CB"/>
    <w:rsid w:val="00515304"/>
    <w:rsid w:val="00523E4D"/>
    <w:rsid w:val="00533C7B"/>
    <w:rsid w:val="00536035"/>
    <w:rsid w:val="00541497"/>
    <w:rsid w:val="005502CE"/>
    <w:rsid w:val="005807A8"/>
    <w:rsid w:val="00592308"/>
    <w:rsid w:val="005A13F1"/>
    <w:rsid w:val="005A3B77"/>
    <w:rsid w:val="005A4F6E"/>
    <w:rsid w:val="005B003D"/>
    <w:rsid w:val="005B043F"/>
    <w:rsid w:val="005E2F89"/>
    <w:rsid w:val="005E52CF"/>
    <w:rsid w:val="00602BC1"/>
    <w:rsid w:val="00602FA0"/>
    <w:rsid w:val="006074F2"/>
    <w:rsid w:val="00610084"/>
    <w:rsid w:val="00617313"/>
    <w:rsid w:val="006208CC"/>
    <w:rsid w:val="0062117B"/>
    <w:rsid w:val="00634B86"/>
    <w:rsid w:val="006403C7"/>
    <w:rsid w:val="00650346"/>
    <w:rsid w:val="00650728"/>
    <w:rsid w:val="00657481"/>
    <w:rsid w:val="0066471D"/>
    <w:rsid w:val="0067396E"/>
    <w:rsid w:val="00693EF5"/>
    <w:rsid w:val="006A193E"/>
    <w:rsid w:val="006A4A59"/>
    <w:rsid w:val="006B68D4"/>
    <w:rsid w:val="006B6C0C"/>
    <w:rsid w:val="006C4ADE"/>
    <w:rsid w:val="006C6F80"/>
    <w:rsid w:val="006D2D7F"/>
    <w:rsid w:val="006F013B"/>
    <w:rsid w:val="006F0532"/>
    <w:rsid w:val="006F41AE"/>
    <w:rsid w:val="006F6815"/>
    <w:rsid w:val="00713DE6"/>
    <w:rsid w:val="007233C7"/>
    <w:rsid w:val="00725F02"/>
    <w:rsid w:val="00734A6B"/>
    <w:rsid w:val="00737064"/>
    <w:rsid w:val="00743FB1"/>
    <w:rsid w:val="00760659"/>
    <w:rsid w:val="00762F84"/>
    <w:rsid w:val="00763C34"/>
    <w:rsid w:val="00766028"/>
    <w:rsid w:val="007701F0"/>
    <w:rsid w:val="00771BE2"/>
    <w:rsid w:val="00783AEB"/>
    <w:rsid w:val="0078443D"/>
    <w:rsid w:val="00796CC2"/>
    <w:rsid w:val="007A0D29"/>
    <w:rsid w:val="007B039C"/>
    <w:rsid w:val="007B28F7"/>
    <w:rsid w:val="007C1377"/>
    <w:rsid w:val="007C3BF0"/>
    <w:rsid w:val="007C6A3A"/>
    <w:rsid w:val="007C713E"/>
    <w:rsid w:val="007D13BC"/>
    <w:rsid w:val="007E1BE8"/>
    <w:rsid w:val="007F1A67"/>
    <w:rsid w:val="008059C3"/>
    <w:rsid w:val="0083630F"/>
    <w:rsid w:val="00853B6D"/>
    <w:rsid w:val="008751C4"/>
    <w:rsid w:val="00884882"/>
    <w:rsid w:val="008860BF"/>
    <w:rsid w:val="008B1560"/>
    <w:rsid w:val="008D1668"/>
    <w:rsid w:val="008E6488"/>
    <w:rsid w:val="008F2944"/>
    <w:rsid w:val="008F3FBF"/>
    <w:rsid w:val="008F5FE5"/>
    <w:rsid w:val="008F6C6A"/>
    <w:rsid w:val="00905A07"/>
    <w:rsid w:val="00906DD2"/>
    <w:rsid w:val="0092069B"/>
    <w:rsid w:val="009252ED"/>
    <w:rsid w:val="009302FB"/>
    <w:rsid w:val="00937C67"/>
    <w:rsid w:val="00941F0C"/>
    <w:rsid w:val="00947589"/>
    <w:rsid w:val="009754DD"/>
    <w:rsid w:val="00981226"/>
    <w:rsid w:val="009911D0"/>
    <w:rsid w:val="00993537"/>
    <w:rsid w:val="009A4BFF"/>
    <w:rsid w:val="009A734F"/>
    <w:rsid w:val="009D608D"/>
    <w:rsid w:val="009D66C9"/>
    <w:rsid w:val="009D75F7"/>
    <w:rsid w:val="00A22A9F"/>
    <w:rsid w:val="00A2427D"/>
    <w:rsid w:val="00A24408"/>
    <w:rsid w:val="00A3087E"/>
    <w:rsid w:val="00A32D07"/>
    <w:rsid w:val="00A41C2A"/>
    <w:rsid w:val="00A513C2"/>
    <w:rsid w:val="00A53E66"/>
    <w:rsid w:val="00A57545"/>
    <w:rsid w:val="00A578FF"/>
    <w:rsid w:val="00A66210"/>
    <w:rsid w:val="00A66BC7"/>
    <w:rsid w:val="00A731CA"/>
    <w:rsid w:val="00A9174C"/>
    <w:rsid w:val="00AA1C7B"/>
    <w:rsid w:val="00AA36F6"/>
    <w:rsid w:val="00AA48D4"/>
    <w:rsid w:val="00AA5001"/>
    <w:rsid w:val="00AB1C53"/>
    <w:rsid w:val="00AC0EC6"/>
    <w:rsid w:val="00AC4D2C"/>
    <w:rsid w:val="00AD52EC"/>
    <w:rsid w:val="00AD5DA4"/>
    <w:rsid w:val="00AF21BC"/>
    <w:rsid w:val="00B100D2"/>
    <w:rsid w:val="00B15B8A"/>
    <w:rsid w:val="00B15F97"/>
    <w:rsid w:val="00B17800"/>
    <w:rsid w:val="00B17EF5"/>
    <w:rsid w:val="00B221A3"/>
    <w:rsid w:val="00B37379"/>
    <w:rsid w:val="00B459DC"/>
    <w:rsid w:val="00B53946"/>
    <w:rsid w:val="00B56FAA"/>
    <w:rsid w:val="00B570D5"/>
    <w:rsid w:val="00B80BFA"/>
    <w:rsid w:val="00B80DB8"/>
    <w:rsid w:val="00B93930"/>
    <w:rsid w:val="00BA083E"/>
    <w:rsid w:val="00BA46A4"/>
    <w:rsid w:val="00BC4B77"/>
    <w:rsid w:val="00BC4C80"/>
    <w:rsid w:val="00BD3F76"/>
    <w:rsid w:val="00BD4D18"/>
    <w:rsid w:val="00BD56B2"/>
    <w:rsid w:val="00BE068A"/>
    <w:rsid w:val="00BE2067"/>
    <w:rsid w:val="00BF1287"/>
    <w:rsid w:val="00C11E0F"/>
    <w:rsid w:val="00C12A05"/>
    <w:rsid w:val="00C22B9D"/>
    <w:rsid w:val="00C23161"/>
    <w:rsid w:val="00C234B8"/>
    <w:rsid w:val="00C262F6"/>
    <w:rsid w:val="00C279EB"/>
    <w:rsid w:val="00C31F1D"/>
    <w:rsid w:val="00C33AA2"/>
    <w:rsid w:val="00C5400B"/>
    <w:rsid w:val="00C64914"/>
    <w:rsid w:val="00C759AE"/>
    <w:rsid w:val="00C901DC"/>
    <w:rsid w:val="00C93149"/>
    <w:rsid w:val="00C932F8"/>
    <w:rsid w:val="00C97D58"/>
    <w:rsid w:val="00CA325D"/>
    <w:rsid w:val="00CA54E1"/>
    <w:rsid w:val="00CB04DE"/>
    <w:rsid w:val="00CB5A03"/>
    <w:rsid w:val="00CB7991"/>
    <w:rsid w:val="00CC45CB"/>
    <w:rsid w:val="00CF2BBA"/>
    <w:rsid w:val="00CF44B5"/>
    <w:rsid w:val="00CF5179"/>
    <w:rsid w:val="00CF5438"/>
    <w:rsid w:val="00D24AE7"/>
    <w:rsid w:val="00D253E4"/>
    <w:rsid w:val="00D31AB1"/>
    <w:rsid w:val="00D40852"/>
    <w:rsid w:val="00D43381"/>
    <w:rsid w:val="00D532B3"/>
    <w:rsid w:val="00D54EBA"/>
    <w:rsid w:val="00D677A9"/>
    <w:rsid w:val="00D71E12"/>
    <w:rsid w:val="00D73089"/>
    <w:rsid w:val="00D739F3"/>
    <w:rsid w:val="00D74A62"/>
    <w:rsid w:val="00D91777"/>
    <w:rsid w:val="00DA1AB3"/>
    <w:rsid w:val="00DB07A8"/>
    <w:rsid w:val="00DC29D2"/>
    <w:rsid w:val="00DD12BA"/>
    <w:rsid w:val="00E15740"/>
    <w:rsid w:val="00E17951"/>
    <w:rsid w:val="00E22869"/>
    <w:rsid w:val="00E23C48"/>
    <w:rsid w:val="00E34F31"/>
    <w:rsid w:val="00E54B59"/>
    <w:rsid w:val="00E54EBB"/>
    <w:rsid w:val="00E55999"/>
    <w:rsid w:val="00E569EE"/>
    <w:rsid w:val="00E6392F"/>
    <w:rsid w:val="00E9143F"/>
    <w:rsid w:val="00E91871"/>
    <w:rsid w:val="00E91BC2"/>
    <w:rsid w:val="00E97336"/>
    <w:rsid w:val="00E9777F"/>
    <w:rsid w:val="00EA2A83"/>
    <w:rsid w:val="00EA58BA"/>
    <w:rsid w:val="00EA6033"/>
    <w:rsid w:val="00EB3C9A"/>
    <w:rsid w:val="00ED26F2"/>
    <w:rsid w:val="00ED4BB7"/>
    <w:rsid w:val="00ED4D8A"/>
    <w:rsid w:val="00EE17B9"/>
    <w:rsid w:val="00EE2933"/>
    <w:rsid w:val="00EF07BA"/>
    <w:rsid w:val="00EF6891"/>
    <w:rsid w:val="00EF7452"/>
    <w:rsid w:val="00F150E3"/>
    <w:rsid w:val="00F27E81"/>
    <w:rsid w:val="00F4025E"/>
    <w:rsid w:val="00F42E1B"/>
    <w:rsid w:val="00F44385"/>
    <w:rsid w:val="00F523A7"/>
    <w:rsid w:val="00F57D90"/>
    <w:rsid w:val="00F8657C"/>
    <w:rsid w:val="00F87DBA"/>
    <w:rsid w:val="00FA44D2"/>
    <w:rsid w:val="00FA4CCE"/>
    <w:rsid w:val="00FA5E6D"/>
    <w:rsid w:val="00FA72E0"/>
    <w:rsid w:val="00FB1B4D"/>
    <w:rsid w:val="00FB3988"/>
    <w:rsid w:val="00FC41AD"/>
    <w:rsid w:val="00FC4DFC"/>
    <w:rsid w:val="00FD183C"/>
    <w:rsid w:val="00FD3C0C"/>
    <w:rsid w:val="00FE50FA"/>
    <w:rsid w:val="00FF65D1"/>
    <w:rsid w:val="00FF6F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521"/>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5E2F89"/>
    <w:pPr>
      <w:tabs>
        <w:tab w:val="center" w:pos="4513"/>
        <w:tab w:val="right" w:pos="9026"/>
      </w:tabs>
    </w:pPr>
  </w:style>
  <w:style w:type="character" w:customStyle="1" w:styleId="HeaderChar">
    <w:name w:val="Header Char"/>
    <w:basedOn w:val="DefaultParagraphFont"/>
    <w:link w:val="Header"/>
    <w:uiPriority w:val="99"/>
    <w:rsid w:val="005E2F89"/>
    <w:rPr>
      <w:rFonts w:ascii="Tahoma" w:eastAsia="Times New Roman" w:hAnsi="Tahoma" w:cs="Times New Roman"/>
      <w:sz w:val="24"/>
      <w:szCs w:val="24"/>
      <w:lang w:val="en-US"/>
    </w:rPr>
  </w:style>
  <w:style w:type="paragraph" w:styleId="Footer">
    <w:name w:val="footer"/>
    <w:basedOn w:val="Normal"/>
    <w:link w:val="FooterChar"/>
    <w:uiPriority w:val="99"/>
    <w:unhideWhenUsed/>
    <w:rsid w:val="005E2F89"/>
    <w:pPr>
      <w:tabs>
        <w:tab w:val="center" w:pos="4513"/>
        <w:tab w:val="right" w:pos="9026"/>
      </w:tabs>
    </w:pPr>
  </w:style>
  <w:style w:type="character" w:customStyle="1" w:styleId="FooterChar">
    <w:name w:val="Footer Char"/>
    <w:basedOn w:val="DefaultParagraphFont"/>
    <w:link w:val="Footer"/>
    <w:uiPriority w:val="99"/>
    <w:rsid w:val="005E2F89"/>
    <w:rPr>
      <w:rFonts w:ascii="Tahoma" w:eastAsia="Times New Roman" w:hAnsi="Tahoma" w:cs="Times New Roman"/>
      <w:sz w:val="24"/>
      <w:szCs w:val="24"/>
      <w:lang w:val="en-US"/>
    </w:rPr>
  </w:style>
  <w:style w:type="paragraph" w:styleId="ListParagraph">
    <w:name w:val="List Paragraph"/>
    <w:basedOn w:val="Normal"/>
    <w:uiPriority w:val="34"/>
    <w:qFormat/>
    <w:rsid w:val="005122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521"/>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5E2F89"/>
    <w:pPr>
      <w:tabs>
        <w:tab w:val="center" w:pos="4513"/>
        <w:tab w:val="right" w:pos="9026"/>
      </w:tabs>
    </w:pPr>
  </w:style>
  <w:style w:type="character" w:customStyle="1" w:styleId="HeaderChar">
    <w:name w:val="Header Char"/>
    <w:basedOn w:val="DefaultParagraphFont"/>
    <w:link w:val="Header"/>
    <w:uiPriority w:val="99"/>
    <w:rsid w:val="005E2F89"/>
    <w:rPr>
      <w:rFonts w:ascii="Tahoma" w:eastAsia="Times New Roman" w:hAnsi="Tahoma" w:cs="Times New Roman"/>
      <w:sz w:val="24"/>
      <w:szCs w:val="24"/>
      <w:lang w:val="en-US"/>
    </w:rPr>
  </w:style>
  <w:style w:type="paragraph" w:styleId="Footer">
    <w:name w:val="footer"/>
    <w:basedOn w:val="Normal"/>
    <w:link w:val="FooterChar"/>
    <w:uiPriority w:val="99"/>
    <w:unhideWhenUsed/>
    <w:rsid w:val="005E2F89"/>
    <w:pPr>
      <w:tabs>
        <w:tab w:val="center" w:pos="4513"/>
        <w:tab w:val="right" w:pos="9026"/>
      </w:tabs>
    </w:pPr>
  </w:style>
  <w:style w:type="character" w:customStyle="1" w:styleId="FooterChar">
    <w:name w:val="Footer Char"/>
    <w:basedOn w:val="DefaultParagraphFont"/>
    <w:link w:val="Footer"/>
    <w:uiPriority w:val="99"/>
    <w:rsid w:val="005E2F89"/>
    <w:rPr>
      <w:rFonts w:ascii="Tahoma" w:eastAsia="Times New Roman" w:hAnsi="Tahoma" w:cs="Times New Roman"/>
      <w:sz w:val="24"/>
      <w:szCs w:val="24"/>
      <w:lang w:val="en-US"/>
    </w:rPr>
  </w:style>
  <w:style w:type="paragraph" w:styleId="ListParagraph">
    <w:name w:val="List Paragraph"/>
    <w:basedOn w:val="Normal"/>
    <w:uiPriority w:val="34"/>
    <w:qFormat/>
    <w:rsid w:val="00512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1232-ECB8-4FB3-AA97-6F18C6DD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88</cp:revision>
  <dcterms:created xsi:type="dcterms:W3CDTF">2016-08-10T14:09:00Z</dcterms:created>
  <dcterms:modified xsi:type="dcterms:W3CDTF">2016-09-19T08:11:00Z</dcterms:modified>
</cp:coreProperties>
</file>