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8FF" w:rsidRDefault="004425D5" w:rsidP="00B33977">
      <w:pPr>
        <w:spacing w:line="360" w:lineRule="auto"/>
        <w:jc w:val="both"/>
        <w:rPr>
          <w:b/>
          <w:sz w:val="28"/>
          <w:szCs w:val="28"/>
        </w:rPr>
      </w:pPr>
      <w:r>
        <w:rPr>
          <w:b/>
          <w:sz w:val="28"/>
          <w:szCs w:val="28"/>
        </w:rPr>
        <w:t>IN THE LABOUR COURT OF ZIMBABWE</w:t>
      </w:r>
      <w:r>
        <w:rPr>
          <w:b/>
          <w:sz w:val="28"/>
          <w:szCs w:val="28"/>
        </w:rPr>
        <w:tab/>
        <w:t xml:space="preserve">       JUDGMENT NO LC/H/263/13</w:t>
      </w:r>
    </w:p>
    <w:p w:rsidR="004425D5" w:rsidRDefault="004425D5" w:rsidP="00B33977">
      <w:pPr>
        <w:spacing w:line="360" w:lineRule="auto"/>
        <w:jc w:val="both"/>
        <w:rPr>
          <w:b/>
          <w:sz w:val="28"/>
          <w:szCs w:val="28"/>
        </w:rPr>
      </w:pPr>
      <w:r>
        <w:rPr>
          <w:b/>
          <w:sz w:val="28"/>
          <w:szCs w:val="28"/>
        </w:rPr>
        <w:t>HELD AT HARARE 12</w:t>
      </w:r>
      <w:r w:rsidRPr="004425D5">
        <w:rPr>
          <w:b/>
          <w:sz w:val="28"/>
          <w:szCs w:val="28"/>
          <w:vertAlign w:val="superscript"/>
        </w:rPr>
        <w:t>TH</w:t>
      </w:r>
      <w:r>
        <w:rPr>
          <w:b/>
          <w:sz w:val="28"/>
          <w:szCs w:val="28"/>
        </w:rPr>
        <w:t xml:space="preserve"> JUNE 2013</w:t>
      </w:r>
      <w:r>
        <w:rPr>
          <w:b/>
          <w:sz w:val="28"/>
          <w:szCs w:val="28"/>
        </w:rPr>
        <w:tab/>
      </w:r>
      <w:r>
        <w:rPr>
          <w:b/>
          <w:sz w:val="28"/>
          <w:szCs w:val="28"/>
        </w:rPr>
        <w:tab/>
        <w:t xml:space="preserve">       CASE NO LC/H/498/11</w:t>
      </w:r>
    </w:p>
    <w:p w:rsidR="004425D5" w:rsidRDefault="004425D5" w:rsidP="00B33977">
      <w:pPr>
        <w:spacing w:line="360" w:lineRule="auto"/>
        <w:jc w:val="both"/>
        <w:rPr>
          <w:b/>
          <w:sz w:val="28"/>
          <w:szCs w:val="28"/>
        </w:rPr>
      </w:pPr>
    </w:p>
    <w:p w:rsidR="004425D5" w:rsidRDefault="004425D5" w:rsidP="00B33977">
      <w:pPr>
        <w:spacing w:line="360" w:lineRule="auto"/>
        <w:jc w:val="both"/>
        <w:rPr>
          <w:b/>
          <w:sz w:val="28"/>
          <w:szCs w:val="28"/>
        </w:rPr>
      </w:pPr>
      <w:r>
        <w:rPr>
          <w:b/>
          <w:sz w:val="28"/>
          <w:szCs w:val="28"/>
        </w:rPr>
        <w:t>FBC BANK LIMITED</w:t>
      </w:r>
      <w:r>
        <w:rPr>
          <w:b/>
          <w:sz w:val="28"/>
          <w:szCs w:val="28"/>
        </w:rPr>
        <w:tab/>
      </w:r>
      <w:r>
        <w:rPr>
          <w:b/>
          <w:sz w:val="28"/>
          <w:szCs w:val="28"/>
        </w:rPr>
        <w:tab/>
      </w:r>
      <w:r>
        <w:rPr>
          <w:b/>
          <w:sz w:val="28"/>
          <w:szCs w:val="28"/>
        </w:rPr>
        <w:tab/>
      </w:r>
      <w:r>
        <w:rPr>
          <w:b/>
          <w:sz w:val="28"/>
          <w:szCs w:val="28"/>
        </w:rPr>
        <w:tab/>
        <w:t>Appellant</w:t>
      </w:r>
    </w:p>
    <w:p w:rsidR="004425D5" w:rsidRDefault="004425D5" w:rsidP="00B33977">
      <w:pPr>
        <w:spacing w:line="360" w:lineRule="auto"/>
        <w:jc w:val="both"/>
        <w:rPr>
          <w:b/>
          <w:sz w:val="28"/>
          <w:szCs w:val="28"/>
        </w:rPr>
      </w:pPr>
      <w:r>
        <w:rPr>
          <w:b/>
          <w:sz w:val="28"/>
          <w:szCs w:val="28"/>
        </w:rPr>
        <w:t>DUMISANI NKOMO</w:t>
      </w:r>
      <w:r>
        <w:rPr>
          <w:b/>
          <w:sz w:val="28"/>
          <w:szCs w:val="28"/>
        </w:rPr>
        <w:tab/>
      </w:r>
      <w:r>
        <w:rPr>
          <w:b/>
          <w:sz w:val="28"/>
          <w:szCs w:val="28"/>
        </w:rPr>
        <w:tab/>
      </w:r>
      <w:r>
        <w:rPr>
          <w:b/>
          <w:sz w:val="28"/>
          <w:szCs w:val="28"/>
        </w:rPr>
        <w:tab/>
      </w:r>
      <w:r>
        <w:rPr>
          <w:b/>
          <w:sz w:val="28"/>
          <w:szCs w:val="28"/>
        </w:rPr>
        <w:tab/>
        <w:t>Respondent</w:t>
      </w:r>
    </w:p>
    <w:p w:rsidR="004425D5" w:rsidRDefault="004425D5" w:rsidP="00B33977">
      <w:pPr>
        <w:spacing w:line="360" w:lineRule="auto"/>
        <w:jc w:val="both"/>
        <w:rPr>
          <w:b/>
          <w:sz w:val="28"/>
          <w:szCs w:val="28"/>
        </w:rPr>
      </w:pPr>
    </w:p>
    <w:p w:rsidR="004425D5" w:rsidRDefault="004425D5" w:rsidP="00B33977">
      <w:pPr>
        <w:spacing w:line="360" w:lineRule="auto"/>
        <w:jc w:val="both"/>
        <w:rPr>
          <w:sz w:val="28"/>
          <w:szCs w:val="28"/>
        </w:rPr>
      </w:pPr>
      <w:r>
        <w:rPr>
          <w:sz w:val="28"/>
          <w:szCs w:val="28"/>
        </w:rPr>
        <w:t>Before The Honourable G Musariri, President</w:t>
      </w:r>
    </w:p>
    <w:p w:rsidR="004425D5" w:rsidRDefault="004425D5" w:rsidP="00B33977">
      <w:pPr>
        <w:spacing w:line="360" w:lineRule="auto"/>
        <w:jc w:val="both"/>
        <w:rPr>
          <w:b/>
          <w:sz w:val="28"/>
          <w:szCs w:val="28"/>
        </w:rPr>
      </w:pPr>
      <w:r>
        <w:rPr>
          <w:b/>
          <w:sz w:val="28"/>
          <w:szCs w:val="28"/>
        </w:rPr>
        <w:t>For Appellant</w:t>
      </w:r>
      <w:r>
        <w:rPr>
          <w:b/>
          <w:sz w:val="28"/>
          <w:szCs w:val="28"/>
        </w:rPr>
        <w:tab/>
      </w:r>
      <w:r>
        <w:rPr>
          <w:b/>
          <w:sz w:val="28"/>
          <w:szCs w:val="28"/>
        </w:rPr>
        <w:tab/>
        <w:t xml:space="preserve">Mr A.K. </w:t>
      </w:r>
      <w:proofErr w:type="spellStart"/>
      <w:r>
        <w:rPr>
          <w:b/>
          <w:sz w:val="28"/>
          <w:szCs w:val="28"/>
        </w:rPr>
        <w:t>Maguchu</w:t>
      </w:r>
      <w:proofErr w:type="spellEnd"/>
      <w:r>
        <w:rPr>
          <w:b/>
          <w:sz w:val="28"/>
          <w:szCs w:val="28"/>
        </w:rPr>
        <w:t>, Attorney</w:t>
      </w:r>
    </w:p>
    <w:p w:rsidR="004425D5" w:rsidRDefault="004425D5" w:rsidP="00B33977">
      <w:pPr>
        <w:spacing w:line="360" w:lineRule="auto"/>
        <w:jc w:val="both"/>
        <w:rPr>
          <w:b/>
          <w:sz w:val="28"/>
          <w:szCs w:val="28"/>
        </w:rPr>
      </w:pPr>
      <w:r>
        <w:rPr>
          <w:b/>
          <w:sz w:val="28"/>
          <w:szCs w:val="28"/>
        </w:rPr>
        <w:t>For Respondent</w:t>
      </w:r>
      <w:r>
        <w:rPr>
          <w:b/>
          <w:sz w:val="28"/>
          <w:szCs w:val="28"/>
        </w:rPr>
        <w:tab/>
      </w:r>
      <w:r>
        <w:rPr>
          <w:b/>
          <w:sz w:val="28"/>
          <w:szCs w:val="28"/>
        </w:rPr>
        <w:tab/>
        <w:t xml:space="preserve">Mr P.G. </w:t>
      </w:r>
      <w:proofErr w:type="spellStart"/>
      <w:r>
        <w:rPr>
          <w:b/>
          <w:sz w:val="28"/>
          <w:szCs w:val="28"/>
        </w:rPr>
        <w:t>Mutasa</w:t>
      </w:r>
      <w:proofErr w:type="spellEnd"/>
      <w:r>
        <w:rPr>
          <w:b/>
          <w:sz w:val="28"/>
          <w:szCs w:val="28"/>
        </w:rPr>
        <w:t>, Unionist</w:t>
      </w:r>
    </w:p>
    <w:p w:rsidR="004425D5" w:rsidRDefault="004425D5" w:rsidP="00B33977">
      <w:pPr>
        <w:spacing w:line="360" w:lineRule="auto"/>
        <w:jc w:val="both"/>
        <w:rPr>
          <w:b/>
          <w:sz w:val="28"/>
          <w:szCs w:val="28"/>
        </w:rPr>
      </w:pPr>
    </w:p>
    <w:p w:rsidR="004425D5" w:rsidRDefault="004425D5" w:rsidP="00B33977">
      <w:pPr>
        <w:spacing w:line="360" w:lineRule="auto"/>
        <w:jc w:val="both"/>
        <w:rPr>
          <w:b/>
          <w:sz w:val="28"/>
          <w:szCs w:val="28"/>
        </w:rPr>
      </w:pPr>
      <w:r>
        <w:rPr>
          <w:b/>
          <w:sz w:val="28"/>
          <w:szCs w:val="28"/>
        </w:rPr>
        <w:t>MUSARIRI, G:</w:t>
      </w:r>
    </w:p>
    <w:p w:rsidR="004425D5" w:rsidRDefault="004425D5" w:rsidP="00B33977">
      <w:pPr>
        <w:spacing w:line="360" w:lineRule="auto"/>
        <w:jc w:val="both"/>
        <w:rPr>
          <w:b/>
          <w:sz w:val="28"/>
          <w:szCs w:val="28"/>
        </w:rPr>
      </w:pPr>
    </w:p>
    <w:p w:rsidR="004425D5" w:rsidRDefault="004425D5" w:rsidP="00B33977">
      <w:pPr>
        <w:spacing w:line="360" w:lineRule="auto"/>
        <w:jc w:val="both"/>
        <w:rPr>
          <w:sz w:val="28"/>
          <w:szCs w:val="28"/>
        </w:rPr>
      </w:pPr>
      <w:r>
        <w:rPr>
          <w:sz w:val="28"/>
          <w:szCs w:val="28"/>
        </w:rPr>
        <w:t>Appellant grounds of appeal are two-fold.  They read as follows,</w:t>
      </w:r>
    </w:p>
    <w:p w:rsidR="00237376" w:rsidRDefault="00237376" w:rsidP="00B33977">
      <w:pPr>
        <w:spacing w:line="360" w:lineRule="auto"/>
        <w:ind w:left="1440" w:hanging="720"/>
        <w:jc w:val="both"/>
        <w:rPr>
          <w:i/>
          <w:sz w:val="28"/>
          <w:szCs w:val="28"/>
        </w:rPr>
      </w:pPr>
      <w:r>
        <w:rPr>
          <w:sz w:val="28"/>
          <w:szCs w:val="28"/>
        </w:rPr>
        <w:t>“</w:t>
      </w:r>
      <w:r>
        <w:rPr>
          <w:i/>
          <w:sz w:val="28"/>
          <w:szCs w:val="28"/>
        </w:rPr>
        <w:t>1.</w:t>
      </w:r>
      <w:r>
        <w:rPr>
          <w:i/>
          <w:sz w:val="28"/>
          <w:szCs w:val="28"/>
        </w:rPr>
        <w:tab/>
        <w:t>The arbitrator erred grossly on the facts and at law by finding that the Appellant had the onus of proving on which date Respondent was served with the appeal hearing decision.</w:t>
      </w:r>
    </w:p>
    <w:p w:rsidR="00237376" w:rsidRDefault="00237376" w:rsidP="00B33977">
      <w:pPr>
        <w:spacing w:line="360" w:lineRule="auto"/>
        <w:ind w:left="1440" w:hanging="720"/>
        <w:jc w:val="both"/>
        <w:rPr>
          <w:i/>
          <w:sz w:val="28"/>
          <w:szCs w:val="28"/>
        </w:rPr>
      </w:pPr>
      <w:r>
        <w:rPr>
          <w:i/>
          <w:sz w:val="28"/>
          <w:szCs w:val="28"/>
        </w:rPr>
        <w:t>2.</w:t>
      </w:r>
      <w:r>
        <w:rPr>
          <w:i/>
          <w:sz w:val="28"/>
          <w:szCs w:val="28"/>
        </w:rPr>
        <w:tab/>
        <w:t>The arbitrator erred grossly on the facts and at law by making an uncorroborated allegation that an employee always has an interest to protect his employer’s case and finding that whatever the employee then says as a witness is false.”</w:t>
      </w:r>
    </w:p>
    <w:p w:rsidR="00237376" w:rsidRDefault="00237376" w:rsidP="00B33977">
      <w:pPr>
        <w:spacing w:line="360" w:lineRule="auto"/>
        <w:jc w:val="both"/>
        <w:rPr>
          <w:sz w:val="28"/>
          <w:szCs w:val="28"/>
        </w:rPr>
      </w:pPr>
      <w:r>
        <w:rPr>
          <w:sz w:val="28"/>
          <w:szCs w:val="28"/>
        </w:rPr>
        <w:lastRenderedPageBreak/>
        <w:t xml:space="preserve">The critical issue </w:t>
      </w:r>
      <w:r>
        <w:rPr>
          <w:sz w:val="28"/>
          <w:szCs w:val="28"/>
          <w:u w:val="single"/>
        </w:rPr>
        <w:t>in</w:t>
      </w:r>
      <w:r>
        <w:rPr>
          <w:sz w:val="28"/>
          <w:szCs w:val="28"/>
        </w:rPr>
        <w:t xml:space="preserve"> </w:t>
      </w:r>
      <w:proofErr w:type="spellStart"/>
      <w:r w:rsidRPr="00237376">
        <w:rPr>
          <w:sz w:val="28"/>
          <w:szCs w:val="28"/>
          <w:u w:val="single"/>
        </w:rPr>
        <w:t>casu</w:t>
      </w:r>
      <w:proofErr w:type="spellEnd"/>
      <w:r>
        <w:rPr>
          <w:sz w:val="28"/>
          <w:szCs w:val="28"/>
        </w:rPr>
        <w:t xml:space="preserve"> is whether Respondent filed his appeal (against his dismissal</w:t>
      </w:r>
      <w:r w:rsidR="00A74F8F">
        <w:rPr>
          <w:sz w:val="28"/>
          <w:szCs w:val="28"/>
        </w:rPr>
        <w:t xml:space="preserve">) timeously to a Labour Officer.  The matter is governed by the provisions of the </w:t>
      </w:r>
      <w:r w:rsidR="00A74F8F">
        <w:rPr>
          <w:sz w:val="28"/>
          <w:szCs w:val="28"/>
          <w:u w:val="single"/>
        </w:rPr>
        <w:t>Labour (National Employment Code of Conduct) Regulations</w:t>
      </w:r>
      <w:r w:rsidR="00A74F8F">
        <w:rPr>
          <w:sz w:val="28"/>
          <w:szCs w:val="28"/>
        </w:rPr>
        <w:t xml:space="preserve"> S.I. 15/06 (hereafter called the </w:t>
      </w:r>
      <w:r w:rsidR="00AA7DCA">
        <w:rPr>
          <w:sz w:val="28"/>
          <w:szCs w:val="28"/>
        </w:rPr>
        <w:t>C</w:t>
      </w:r>
      <w:r w:rsidR="00A74F8F">
        <w:rPr>
          <w:sz w:val="28"/>
          <w:szCs w:val="28"/>
        </w:rPr>
        <w:t>ode).  Section 8 (6) of the Code provides that,</w:t>
      </w:r>
    </w:p>
    <w:p w:rsidR="00A74F8F" w:rsidRDefault="00A74F8F" w:rsidP="00B33977">
      <w:pPr>
        <w:spacing w:after="0" w:line="360" w:lineRule="auto"/>
        <w:ind w:left="1440" w:hanging="720"/>
        <w:jc w:val="both"/>
        <w:rPr>
          <w:i/>
          <w:sz w:val="28"/>
          <w:szCs w:val="28"/>
        </w:rPr>
      </w:pPr>
      <w:r>
        <w:rPr>
          <w:i/>
          <w:sz w:val="28"/>
          <w:szCs w:val="28"/>
        </w:rPr>
        <w:t>“(6)</w:t>
      </w:r>
      <w:r>
        <w:rPr>
          <w:i/>
          <w:sz w:val="28"/>
          <w:szCs w:val="28"/>
        </w:rPr>
        <w:tab/>
        <w:t>A person or party who is aggrieved by a decision or manner in which an appeal is handled by his or her employer or the Appeals</w:t>
      </w:r>
    </w:p>
    <w:p w:rsidR="00A74F8F" w:rsidRDefault="00A74F8F" w:rsidP="00B33977">
      <w:pPr>
        <w:spacing w:after="0" w:line="360" w:lineRule="auto"/>
        <w:ind w:left="1440" w:hanging="720"/>
        <w:jc w:val="both"/>
        <w:rPr>
          <w:sz w:val="28"/>
          <w:szCs w:val="28"/>
        </w:rPr>
      </w:pPr>
      <w:r>
        <w:rPr>
          <w:i/>
          <w:sz w:val="28"/>
          <w:szCs w:val="28"/>
        </w:rPr>
        <w:tab/>
        <w:t>Officer or Appeals Committee,</w:t>
      </w:r>
      <w:r w:rsidR="00B33977">
        <w:rPr>
          <w:i/>
          <w:sz w:val="28"/>
          <w:szCs w:val="28"/>
        </w:rPr>
        <w:t xml:space="preserve"> as the case may be, may refer the case to a Labour Officer or an Employment Council Agent, as the case may be, within </w:t>
      </w:r>
      <w:r w:rsidR="00B33977">
        <w:rPr>
          <w:i/>
          <w:sz w:val="28"/>
          <w:szCs w:val="28"/>
          <w:u w:val="single"/>
        </w:rPr>
        <w:t>seven working days</w:t>
      </w:r>
      <w:r w:rsidR="00B33977">
        <w:rPr>
          <w:i/>
          <w:sz w:val="28"/>
          <w:szCs w:val="28"/>
        </w:rPr>
        <w:t xml:space="preserve"> of receipt of such decision.”  (</w:t>
      </w:r>
      <w:r w:rsidR="00B33977">
        <w:rPr>
          <w:sz w:val="28"/>
          <w:szCs w:val="28"/>
        </w:rPr>
        <w:t>The underlining for emphasis is mine.)</w:t>
      </w:r>
    </w:p>
    <w:p w:rsidR="00B33977" w:rsidRDefault="00B33977" w:rsidP="00B33977">
      <w:pPr>
        <w:spacing w:after="0" w:line="360" w:lineRule="auto"/>
        <w:jc w:val="both"/>
        <w:rPr>
          <w:sz w:val="28"/>
          <w:szCs w:val="28"/>
        </w:rPr>
      </w:pPr>
      <w:r>
        <w:rPr>
          <w:sz w:val="28"/>
          <w:szCs w:val="28"/>
        </w:rPr>
        <w:t xml:space="preserve">The dispute </w:t>
      </w:r>
      <w:proofErr w:type="spellStart"/>
      <w:r>
        <w:rPr>
          <w:sz w:val="28"/>
          <w:szCs w:val="28"/>
        </w:rPr>
        <w:t>centers</w:t>
      </w:r>
      <w:proofErr w:type="spellEnd"/>
      <w:r>
        <w:rPr>
          <w:sz w:val="28"/>
          <w:szCs w:val="28"/>
        </w:rPr>
        <w:t xml:space="preserve"> on the following:</w:t>
      </w:r>
    </w:p>
    <w:p w:rsidR="00B33977" w:rsidRDefault="00B33977" w:rsidP="00B33977">
      <w:pPr>
        <w:pStyle w:val="ListParagraph"/>
        <w:numPr>
          <w:ilvl w:val="0"/>
          <w:numId w:val="1"/>
        </w:numPr>
        <w:spacing w:after="0" w:line="360" w:lineRule="auto"/>
        <w:jc w:val="both"/>
        <w:rPr>
          <w:sz w:val="28"/>
          <w:szCs w:val="28"/>
        </w:rPr>
      </w:pPr>
      <w:r>
        <w:rPr>
          <w:sz w:val="28"/>
          <w:szCs w:val="28"/>
        </w:rPr>
        <w:t xml:space="preserve">Appellant claimed that it served the appeal decision on Respondent on </w:t>
      </w:r>
      <w:r>
        <w:rPr>
          <w:sz w:val="28"/>
          <w:szCs w:val="28"/>
          <w:u w:val="single"/>
        </w:rPr>
        <w:t>15</w:t>
      </w:r>
      <w:r w:rsidRPr="00B33977">
        <w:rPr>
          <w:sz w:val="28"/>
          <w:szCs w:val="28"/>
          <w:u w:val="single"/>
          <w:vertAlign w:val="superscript"/>
        </w:rPr>
        <w:t>th</w:t>
      </w:r>
      <w:r>
        <w:rPr>
          <w:sz w:val="28"/>
          <w:szCs w:val="28"/>
          <w:u w:val="single"/>
        </w:rPr>
        <w:t xml:space="preserve"> April 2010.</w:t>
      </w:r>
    </w:p>
    <w:p w:rsidR="00B33977" w:rsidRDefault="00B33977" w:rsidP="00B33977">
      <w:pPr>
        <w:pStyle w:val="ListParagraph"/>
        <w:numPr>
          <w:ilvl w:val="0"/>
          <w:numId w:val="1"/>
        </w:numPr>
        <w:spacing w:after="0" w:line="360" w:lineRule="auto"/>
        <w:jc w:val="both"/>
        <w:rPr>
          <w:sz w:val="28"/>
          <w:szCs w:val="28"/>
        </w:rPr>
      </w:pPr>
      <w:r>
        <w:rPr>
          <w:sz w:val="28"/>
          <w:szCs w:val="28"/>
        </w:rPr>
        <w:t xml:space="preserve">Respondent averred that he received the decision </w:t>
      </w:r>
      <w:proofErr w:type="gramStart"/>
      <w:r>
        <w:rPr>
          <w:sz w:val="28"/>
          <w:szCs w:val="28"/>
        </w:rPr>
        <w:t xml:space="preserve">on  </w:t>
      </w:r>
      <w:r>
        <w:rPr>
          <w:sz w:val="28"/>
          <w:szCs w:val="28"/>
          <w:u w:val="single"/>
        </w:rPr>
        <w:t>28</w:t>
      </w:r>
      <w:r w:rsidRPr="00B33977">
        <w:rPr>
          <w:sz w:val="28"/>
          <w:szCs w:val="28"/>
          <w:u w:val="single"/>
          <w:vertAlign w:val="superscript"/>
        </w:rPr>
        <w:t>th</w:t>
      </w:r>
      <w:proofErr w:type="gramEnd"/>
      <w:r>
        <w:rPr>
          <w:sz w:val="28"/>
          <w:szCs w:val="28"/>
          <w:u w:val="single"/>
        </w:rPr>
        <w:t xml:space="preserve"> April 2010.</w:t>
      </w:r>
    </w:p>
    <w:p w:rsidR="00B33977" w:rsidRPr="00B33977" w:rsidRDefault="00B33977" w:rsidP="00B33977">
      <w:pPr>
        <w:pStyle w:val="ListParagraph"/>
        <w:numPr>
          <w:ilvl w:val="0"/>
          <w:numId w:val="1"/>
        </w:numPr>
        <w:spacing w:after="0" w:line="360" w:lineRule="auto"/>
        <w:jc w:val="both"/>
        <w:rPr>
          <w:sz w:val="28"/>
          <w:szCs w:val="28"/>
        </w:rPr>
      </w:pPr>
      <w:r>
        <w:rPr>
          <w:sz w:val="28"/>
          <w:szCs w:val="28"/>
        </w:rPr>
        <w:t xml:space="preserve">Respondent referred the matter to the Labour Officer on </w:t>
      </w:r>
      <w:r>
        <w:rPr>
          <w:sz w:val="28"/>
          <w:szCs w:val="28"/>
          <w:u w:val="single"/>
        </w:rPr>
        <w:t>6</w:t>
      </w:r>
      <w:r w:rsidRPr="00B33977">
        <w:rPr>
          <w:sz w:val="28"/>
          <w:szCs w:val="28"/>
          <w:u w:val="single"/>
          <w:vertAlign w:val="superscript"/>
        </w:rPr>
        <w:t>th</w:t>
      </w:r>
      <w:r>
        <w:rPr>
          <w:sz w:val="28"/>
          <w:szCs w:val="28"/>
          <w:u w:val="single"/>
        </w:rPr>
        <w:t xml:space="preserve"> May 2010.</w:t>
      </w:r>
    </w:p>
    <w:p w:rsidR="00B33977" w:rsidRDefault="00B33977" w:rsidP="00B33977">
      <w:pPr>
        <w:spacing w:after="0" w:line="360" w:lineRule="auto"/>
        <w:jc w:val="both"/>
        <w:rPr>
          <w:sz w:val="28"/>
          <w:szCs w:val="28"/>
        </w:rPr>
      </w:pPr>
      <w:r w:rsidRPr="00F607AE">
        <w:rPr>
          <w:sz w:val="28"/>
          <w:szCs w:val="28"/>
        </w:rPr>
        <w:t>Going by Appe</w:t>
      </w:r>
      <w:r w:rsidR="00F607AE" w:rsidRPr="00F607AE">
        <w:rPr>
          <w:sz w:val="28"/>
          <w:szCs w:val="28"/>
        </w:rPr>
        <w:t>llant</w:t>
      </w:r>
      <w:r w:rsidR="00F607AE">
        <w:rPr>
          <w:sz w:val="28"/>
          <w:szCs w:val="28"/>
        </w:rPr>
        <w:t xml:space="preserve">’s case, referral to the Labour Officer was out of </w:t>
      </w:r>
      <w:proofErr w:type="gramStart"/>
      <w:r w:rsidR="00F607AE">
        <w:rPr>
          <w:sz w:val="28"/>
          <w:szCs w:val="28"/>
        </w:rPr>
        <w:t>time  by</w:t>
      </w:r>
      <w:proofErr w:type="gramEnd"/>
      <w:r w:rsidR="00F607AE">
        <w:rPr>
          <w:sz w:val="28"/>
          <w:szCs w:val="28"/>
        </w:rPr>
        <w:t xml:space="preserve"> close on 2 weeks.  According to Respondent’s case the referral was within the </w:t>
      </w:r>
      <w:r w:rsidR="00F607AE">
        <w:rPr>
          <w:sz w:val="28"/>
          <w:szCs w:val="28"/>
          <w:u w:val="single"/>
        </w:rPr>
        <w:t>seven working days</w:t>
      </w:r>
      <w:r w:rsidR="00F607AE">
        <w:rPr>
          <w:sz w:val="28"/>
          <w:szCs w:val="28"/>
        </w:rPr>
        <w:t xml:space="preserve">’ limit provided by the Code.  The Honourable Arbitrator found that Appellant </w:t>
      </w:r>
    </w:p>
    <w:p w:rsidR="00F607AE" w:rsidRPr="00AA7DCA" w:rsidRDefault="00F607AE" w:rsidP="00AA7DCA">
      <w:pPr>
        <w:spacing w:after="0" w:line="360" w:lineRule="auto"/>
        <w:ind w:left="720"/>
        <w:jc w:val="both"/>
        <w:rPr>
          <w:i/>
          <w:sz w:val="28"/>
          <w:szCs w:val="28"/>
          <w:u w:val="single"/>
        </w:rPr>
      </w:pPr>
      <w:r>
        <w:rPr>
          <w:i/>
          <w:sz w:val="28"/>
          <w:szCs w:val="28"/>
        </w:rPr>
        <w:t>“</w:t>
      </w:r>
      <w:proofErr w:type="gramStart"/>
      <w:r>
        <w:rPr>
          <w:i/>
          <w:sz w:val="28"/>
          <w:szCs w:val="28"/>
        </w:rPr>
        <w:t>failed</w:t>
      </w:r>
      <w:proofErr w:type="gramEnd"/>
      <w:r>
        <w:rPr>
          <w:i/>
          <w:sz w:val="28"/>
          <w:szCs w:val="28"/>
        </w:rPr>
        <w:t xml:space="preserve"> to establish that the outcome was delivered on Claimant, on 15</w:t>
      </w:r>
      <w:r w:rsidRPr="00F607AE">
        <w:rPr>
          <w:i/>
          <w:sz w:val="28"/>
          <w:szCs w:val="28"/>
          <w:vertAlign w:val="superscript"/>
        </w:rPr>
        <w:t>th</w:t>
      </w:r>
      <w:r>
        <w:rPr>
          <w:i/>
          <w:sz w:val="28"/>
          <w:szCs w:val="28"/>
        </w:rPr>
        <w:t xml:space="preserve"> April 2010.  </w:t>
      </w:r>
      <w:r>
        <w:rPr>
          <w:i/>
          <w:sz w:val="28"/>
          <w:szCs w:val="28"/>
          <w:u w:val="single"/>
        </w:rPr>
        <w:t>It has not discharged the onus of proof.</w:t>
      </w:r>
      <w:r w:rsidR="00AA7DCA">
        <w:rPr>
          <w:i/>
          <w:sz w:val="28"/>
          <w:szCs w:val="28"/>
        </w:rPr>
        <w:t xml:space="preserve">  </w:t>
      </w:r>
      <w:r w:rsidRPr="00F607AE">
        <w:rPr>
          <w:i/>
          <w:sz w:val="28"/>
          <w:szCs w:val="28"/>
        </w:rPr>
        <w:t xml:space="preserve">I am inclined to concur with Claimant </w:t>
      </w:r>
      <w:r>
        <w:rPr>
          <w:i/>
          <w:sz w:val="28"/>
          <w:szCs w:val="28"/>
        </w:rPr>
        <w:t xml:space="preserve">position that delivery was </w:t>
      </w:r>
      <w:proofErr w:type="gramStart"/>
      <w:r>
        <w:rPr>
          <w:i/>
          <w:sz w:val="28"/>
          <w:szCs w:val="28"/>
        </w:rPr>
        <w:t>effected</w:t>
      </w:r>
      <w:proofErr w:type="gramEnd"/>
      <w:r>
        <w:rPr>
          <w:i/>
          <w:sz w:val="28"/>
          <w:szCs w:val="28"/>
        </w:rPr>
        <w:t xml:space="preserve"> on 28 April 2010. That being the case, Claimant was not out of time by lodging its appeal on 6 May 2010.  This was within the seven (7) day time-limit prescribed by the law.”</w:t>
      </w:r>
    </w:p>
    <w:p w:rsidR="00F607AE" w:rsidRDefault="00F607AE" w:rsidP="00F607AE">
      <w:pPr>
        <w:spacing w:after="0" w:line="360" w:lineRule="auto"/>
        <w:ind w:left="720"/>
        <w:jc w:val="both"/>
        <w:rPr>
          <w:sz w:val="28"/>
          <w:szCs w:val="28"/>
        </w:rPr>
      </w:pPr>
      <w:r>
        <w:rPr>
          <w:sz w:val="28"/>
          <w:szCs w:val="28"/>
        </w:rPr>
        <w:t>(The underlining for emphasis is mine.)</w:t>
      </w:r>
    </w:p>
    <w:p w:rsidR="00F607AE" w:rsidRDefault="00F607AE" w:rsidP="00F607AE">
      <w:pPr>
        <w:spacing w:after="0" w:line="360" w:lineRule="auto"/>
        <w:jc w:val="both"/>
        <w:rPr>
          <w:sz w:val="28"/>
          <w:szCs w:val="28"/>
        </w:rPr>
      </w:pPr>
      <w:r>
        <w:rPr>
          <w:sz w:val="28"/>
          <w:szCs w:val="28"/>
        </w:rPr>
        <w:lastRenderedPageBreak/>
        <w:t xml:space="preserve">1 </w:t>
      </w:r>
      <w:proofErr w:type="gramStart"/>
      <w:r>
        <w:rPr>
          <w:sz w:val="28"/>
          <w:szCs w:val="28"/>
        </w:rPr>
        <w:t>agree</w:t>
      </w:r>
      <w:proofErr w:type="gramEnd"/>
      <w:r>
        <w:rPr>
          <w:sz w:val="28"/>
          <w:szCs w:val="28"/>
        </w:rPr>
        <w:t xml:space="preserve"> with the Arbitrator.  He correctly noted that the onus lay on Appellant to prove the date of delivery.  Appellant claimed it delivered the appeal decision on date X.  Therefore</w:t>
      </w:r>
      <w:r w:rsidR="00AA7DCA">
        <w:rPr>
          <w:sz w:val="28"/>
          <w:szCs w:val="28"/>
        </w:rPr>
        <w:t xml:space="preserve"> it</w:t>
      </w:r>
      <w:r>
        <w:rPr>
          <w:sz w:val="28"/>
          <w:szCs w:val="28"/>
        </w:rPr>
        <w:t xml:space="preserve"> argued that the referral was out o</w:t>
      </w:r>
      <w:r w:rsidR="00AA7DCA">
        <w:rPr>
          <w:sz w:val="28"/>
          <w:szCs w:val="28"/>
        </w:rPr>
        <w:t>f</w:t>
      </w:r>
      <w:r>
        <w:rPr>
          <w:sz w:val="28"/>
          <w:szCs w:val="28"/>
        </w:rPr>
        <w:t xml:space="preserve"> time.  </w:t>
      </w:r>
      <w:r w:rsidRPr="00F607AE">
        <w:rPr>
          <w:sz w:val="28"/>
          <w:szCs w:val="28"/>
          <w:u w:val="single"/>
        </w:rPr>
        <w:t>It is trite law that he who alleges must prove</w:t>
      </w:r>
      <w:r w:rsidRPr="00F607AE">
        <w:rPr>
          <w:sz w:val="28"/>
          <w:szCs w:val="28"/>
        </w:rPr>
        <w:t>.  What evidence did Appellant tender to prove delivery.  It relied on e-mail</w:t>
      </w:r>
      <w:r>
        <w:rPr>
          <w:sz w:val="28"/>
          <w:szCs w:val="28"/>
        </w:rPr>
        <w:t xml:space="preserve"> exchanges between Mr Israel </w:t>
      </w:r>
      <w:proofErr w:type="spellStart"/>
      <w:r>
        <w:rPr>
          <w:sz w:val="28"/>
          <w:szCs w:val="28"/>
        </w:rPr>
        <w:t>Murefu</w:t>
      </w:r>
      <w:proofErr w:type="spellEnd"/>
      <w:r>
        <w:rPr>
          <w:sz w:val="28"/>
          <w:szCs w:val="28"/>
        </w:rPr>
        <w:t xml:space="preserve"> and Mr Godfrey </w:t>
      </w:r>
      <w:proofErr w:type="spellStart"/>
      <w:r>
        <w:rPr>
          <w:sz w:val="28"/>
          <w:szCs w:val="28"/>
        </w:rPr>
        <w:t>Tarunga</w:t>
      </w:r>
      <w:proofErr w:type="spellEnd"/>
      <w:r>
        <w:rPr>
          <w:sz w:val="28"/>
          <w:szCs w:val="28"/>
        </w:rPr>
        <w:t>.  The exchange</w:t>
      </w:r>
      <w:r w:rsidR="00A664D8">
        <w:rPr>
          <w:sz w:val="28"/>
          <w:szCs w:val="28"/>
        </w:rPr>
        <w:t>s took place</w:t>
      </w:r>
      <w:r w:rsidR="00780AB6">
        <w:rPr>
          <w:sz w:val="28"/>
          <w:szCs w:val="28"/>
        </w:rPr>
        <w:t xml:space="preserve"> on </w:t>
      </w:r>
      <w:r w:rsidR="00780AB6">
        <w:rPr>
          <w:sz w:val="28"/>
          <w:szCs w:val="28"/>
          <w:u w:val="single"/>
        </w:rPr>
        <w:t>10</w:t>
      </w:r>
      <w:r w:rsidR="00780AB6" w:rsidRPr="00780AB6">
        <w:rPr>
          <w:sz w:val="28"/>
          <w:szCs w:val="28"/>
          <w:u w:val="single"/>
          <w:vertAlign w:val="superscript"/>
        </w:rPr>
        <w:t>th</w:t>
      </w:r>
      <w:r w:rsidR="00780AB6">
        <w:rPr>
          <w:sz w:val="28"/>
          <w:szCs w:val="28"/>
          <w:u w:val="single"/>
        </w:rPr>
        <w:t xml:space="preserve"> May 2010.</w:t>
      </w:r>
      <w:r w:rsidR="00780AB6">
        <w:rPr>
          <w:sz w:val="28"/>
          <w:szCs w:val="28"/>
        </w:rPr>
        <w:t xml:space="preserve">  </w:t>
      </w:r>
      <w:proofErr w:type="spellStart"/>
      <w:r w:rsidR="00780AB6">
        <w:rPr>
          <w:sz w:val="28"/>
          <w:szCs w:val="28"/>
        </w:rPr>
        <w:t>Murefu</w:t>
      </w:r>
      <w:proofErr w:type="spellEnd"/>
      <w:r w:rsidR="00780AB6">
        <w:rPr>
          <w:sz w:val="28"/>
          <w:szCs w:val="28"/>
        </w:rPr>
        <w:t xml:space="preserve"> first asks the date on which the decision was “handed over” to Respondent.  </w:t>
      </w:r>
      <w:proofErr w:type="spellStart"/>
      <w:r w:rsidR="00780AB6">
        <w:rPr>
          <w:sz w:val="28"/>
          <w:szCs w:val="28"/>
        </w:rPr>
        <w:t>Tarunga’s</w:t>
      </w:r>
      <w:proofErr w:type="spellEnd"/>
      <w:r w:rsidR="00780AB6">
        <w:rPr>
          <w:sz w:val="28"/>
          <w:szCs w:val="28"/>
        </w:rPr>
        <w:t xml:space="preserve"> cryptic response was “</w:t>
      </w:r>
      <w:r w:rsidR="00AA7DCA">
        <w:rPr>
          <w:sz w:val="28"/>
          <w:szCs w:val="28"/>
        </w:rPr>
        <w:t>15/04/2010”.  That was the sole</w:t>
      </w:r>
      <w:r w:rsidR="00780AB6">
        <w:rPr>
          <w:sz w:val="28"/>
          <w:szCs w:val="28"/>
        </w:rPr>
        <w:t xml:space="preserve"> evidence relied upon by Appellant.  Thus the proof is the word of </w:t>
      </w:r>
      <w:proofErr w:type="spellStart"/>
      <w:r w:rsidR="00780AB6">
        <w:rPr>
          <w:sz w:val="28"/>
          <w:szCs w:val="28"/>
        </w:rPr>
        <w:t>Tarunga</w:t>
      </w:r>
      <w:proofErr w:type="spellEnd"/>
      <w:r w:rsidR="00780AB6">
        <w:rPr>
          <w:sz w:val="28"/>
          <w:szCs w:val="28"/>
        </w:rPr>
        <w:t xml:space="preserve">.  It is </w:t>
      </w:r>
      <w:r w:rsidR="00780AB6">
        <w:rPr>
          <w:sz w:val="28"/>
          <w:szCs w:val="28"/>
          <w:u w:val="single"/>
        </w:rPr>
        <w:t>hearsay</w:t>
      </w:r>
      <w:r w:rsidR="00780AB6">
        <w:rPr>
          <w:sz w:val="28"/>
          <w:szCs w:val="28"/>
        </w:rPr>
        <w:t xml:space="preserve"> to the extent that </w:t>
      </w:r>
      <w:proofErr w:type="spellStart"/>
      <w:r w:rsidR="00780AB6">
        <w:rPr>
          <w:sz w:val="28"/>
          <w:szCs w:val="28"/>
        </w:rPr>
        <w:t>Tarunga</w:t>
      </w:r>
      <w:proofErr w:type="spellEnd"/>
      <w:r w:rsidR="00780AB6">
        <w:rPr>
          <w:sz w:val="28"/>
          <w:szCs w:val="28"/>
        </w:rPr>
        <w:t xml:space="preserve"> did not attend arbitration proceedings.  It does not give details of </w:t>
      </w:r>
      <w:r w:rsidR="00780AB6" w:rsidRPr="00780AB6">
        <w:rPr>
          <w:sz w:val="28"/>
          <w:szCs w:val="28"/>
          <w:u w:val="single"/>
        </w:rPr>
        <w:t>where</w:t>
      </w:r>
      <w:r w:rsidR="00780AB6">
        <w:rPr>
          <w:sz w:val="28"/>
          <w:szCs w:val="28"/>
        </w:rPr>
        <w:t xml:space="preserve"> and </w:t>
      </w:r>
      <w:r w:rsidR="00780AB6" w:rsidRPr="00780AB6">
        <w:rPr>
          <w:sz w:val="28"/>
          <w:szCs w:val="28"/>
          <w:u w:val="single"/>
        </w:rPr>
        <w:t>how</w:t>
      </w:r>
      <w:r w:rsidR="00780AB6">
        <w:rPr>
          <w:sz w:val="28"/>
          <w:szCs w:val="28"/>
        </w:rPr>
        <w:t xml:space="preserve"> the decision was delivered.  </w:t>
      </w:r>
      <w:proofErr w:type="spellStart"/>
      <w:r w:rsidR="00780AB6">
        <w:rPr>
          <w:sz w:val="28"/>
          <w:szCs w:val="28"/>
        </w:rPr>
        <w:t>Tarunga</w:t>
      </w:r>
      <w:proofErr w:type="spellEnd"/>
      <w:r w:rsidR="00780AB6">
        <w:rPr>
          <w:sz w:val="28"/>
          <w:szCs w:val="28"/>
        </w:rPr>
        <w:t xml:space="preserve"> was not availed for cross-examination.  Thus his cryptic word (or is it date) remained untested by cross-examination.  As against this one expects critical communications in banks to be accompanied by proof delivery.  Thus one would expect to see the recipient’s signature or stamp on a duplicate copy or in a delivery book.  Such proof should </w:t>
      </w:r>
      <w:r w:rsidR="00AA7DCA">
        <w:rPr>
          <w:sz w:val="28"/>
          <w:szCs w:val="28"/>
        </w:rPr>
        <w:t>d</w:t>
      </w:r>
      <w:bookmarkStart w:id="0" w:name="_GoBack"/>
      <w:bookmarkEnd w:id="0"/>
      <w:r w:rsidR="00780AB6">
        <w:rPr>
          <w:sz w:val="28"/>
          <w:szCs w:val="28"/>
        </w:rPr>
        <w:t xml:space="preserve">ate contemporaneously with the delivery. All this is absent in this case.  The proof is dated close on 3 weeks after the alleged delivery.  Rather suspiciously it comes only after Respondent had referred the matter to a Labour Officer.  Faced with the same circumstances I would have discredited the proof tendered by Appellant.  That the Arbitrator found that </w:t>
      </w:r>
      <w:proofErr w:type="spellStart"/>
      <w:r w:rsidR="00780AB6">
        <w:rPr>
          <w:sz w:val="28"/>
          <w:szCs w:val="28"/>
        </w:rPr>
        <w:t>Tarunga</w:t>
      </w:r>
      <w:proofErr w:type="spellEnd"/>
      <w:r w:rsidR="00780AB6">
        <w:rPr>
          <w:sz w:val="28"/>
          <w:szCs w:val="28"/>
        </w:rPr>
        <w:t xml:space="preserve"> had an interest in the matter is really immaterial.  Appellant had the onus to prove delivery.  It failed to do so.  </w:t>
      </w:r>
      <w:proofErr w:type="gramStart"/>
      <w:r w:rsidR="00780AB6">
        <w:rPr>
          <w:sz w:val="28"/>
          <w:szCs w:val="28"/>
        </w:rPr>
        <w:t>Period.</w:t>
      </w:r>
      <w:proofErr w:type="gramEnd"/>
      <w:r w:rsidR="00780AB6">
        <w:rPr>
          <w:sz w:val="28"/>
          <w:szCs w:val="28"/>
        </w:rPr>
        <w:t xml:space="preserve">  That was the end of the matter.</w:t>
      </w:r>
    </w:p>
    <w:p w:rsidR="00780AB6" w:rsidRDefault="00780AB6" w:rsidP="00F607AE">
      <w:pPr>
        <w:spacing w:after="0" w:line="360" w:lineRule="auto"/>
        <w:jc w:val="both"/>
        <w:rPr>
          <w:sz w:val="28"/>
          <w:szCs w:val="28"/>
        </w:rPr>
      </w:pPr>
    </w:p>
    <w:p w:rsidR="00780AB6" w:rsidRDefault="00780AB6" w:rsidP="00F607AE">
      <w:pPr>
        <w:spacing w:after="0" w:line="360" w:lineRule="auto"/>
        <w:jc w:val="both"/>
        <w:rPr>
          <w:sz w:val="28"/>
          <w:szCs w:val="28"/>
        </w:rPr>
      </w:pPr>
    </w:p>
    <w:p w:rsidR="00780AB6" w:rsidRDefault="00780AB6" w:rsidP="00F607AE">
      <w:pPr>
        <w:spacing w:after="0" w:line="360" w:lineRule="auto"/>
        <w:jc w:val="both"/>
        <w:rPr>
          <w:sz w:val="28"/>
          <w:szCs w:val="28"/>
        </w:rPr>
      </w:pPr>
    </w:p>
    <w:p w:rsidR="00780AB6" w:rsidRDefault="00780AB6" w:rsidP="00F607AE">
      <w:pPr>
        <w:spacing w:after="0" w:line="360" w:lineRule="auto"/>
        <w:jc w:val="both"/>
        <w:rPr>
          <w:sz w:val="28"/>
          <w:szCs w:val="28"/>
        </w:rPr>
      </w:pPr>
    </w:p>
    <w:p w:rsidR="00780AB6" w:rsidRDefault="00780AB6" w:rsidP="00F607AE">
      <w:pPr>
        <w:spacing w:after="0" w:line="360" w:lineRule="auto"/>
        <w:jc w:val="both"/>
        <w:rPr>
          <w:sz w:val="28"/>
          <w:szCs w:val="28"/>
        </w:rPr>
      </w:pPr>
    </w:p>
    <w:p w:rsidR="00780AB6" w:rsidRDefault="00780AB6" w:rsidP="00F607AE">
      <w:pPr>
        <w:spacing w:after="0" w:line="360" w:lineRule="auto"/>
        <w:jc w:val="both"/>
        <w:rPr>
          <w:sz w:val="28"/>
          <w:szCs w:val="28"/>
        </w:rPr>
      </w:pPr>
    </w:p>
    <w:p w:rsidR="00780AB6" w:rsidRDefault="00780AB6" w:rsidP="00F607AE">
      <w:pPr>
        <w:spacing w:after="0" w:line="360" w:lineRule="auto"/>
        <w:jc w:val="both"/>
        <w:rPr>
          <w:sz w:val="28"/>
          <w:szCs w:val="28"/>
        </w:rPr>
      </w:pPr>
    </w:p>
    <w:p w:rsidR="00780AB6" w:rsidRDefault="00780AB6" w:rsidP="00F607AE">
      <w:pPr>
        <w:spacing w:after="0" w:line="360" w:lineRule="auto"/>
        <w:jc w:val="both"/>
        <w:rPr>
          <w:sz w:val="28"/>
          <w:szCs w:val="28"/>
        </w:rPr>
      </w:pPr>
    </w:p>
    <w:p w:rsidR="00780AB6" w:rsidRDefault="00780AB6" w:rsidP="00F607AE">
      <w:pPr>
        <w:spacing w:after="0" w:line="360" w:lineRule="auto"/>
        <w:jc w:val="both"/>
        <w:rPr>
          <w:sz w:val="28"/>
          <w:szCs w:val="28"/>
        </w:rPr>
      </w:pPr>
    </w:p>
    <w:p w:rsidR="00780AB6" w:rsidRDefault="00780AB6" w:rsidP="00F607AE">
      <w:pPr>
        <w:spacing w:after="0" w:line="360" w:lineRule="auto"/>
        <w:jc w:val="both"/>
        <w:rPr>
          <w:sz w:val="28"/>
          <w:szCs w:val="28"/>
        </w:rPr>
      </w:pPr>
    </w:p>
    <w:p w:rsidR="00780AB6" w:rsidRDefault="00780AB6" w:rsidP="00F607AE">
      <w:pPr>
        <w:spacing w:after="0" w:line="360" w:lineRule="auto"/>
        <w:jc w:val="both"/>
        <w:rPr>
          <w:sz w:val="28"/>
          <w:szCs w:val="28"/>
        </w:rPr>
      </w:pPr>
    </w:p>
    <w:p w:rsidR="00780AB6" w:rsidRDefault="00780AB6" w:rsidP="00F607AE">
      <w:pPr>
        <w:spacing w:after="0" w:line="360" w:lineRule="auto"/>
        <w:jc w:val="both"/>
        <w:rPr>
          <w:sz w:val="28"/>
          <w:szCs w:val="28"/>
        </w:rPr>
      </w:pPr>
      <w:r>
        <w:rPr>
          <w:sz w:val="28"/>
          <w:szCs w:val="28"/>
        </w:rPr>
        <w:t>Wherefore it is ordered that,</w:t>
      </w:r>
    </w:p>
    <w:p w:rsidR="00780AB6" w:rsidRDefault="00780AB6" w:rsidP="00F607AE">
      <w:pPr>
        <w:spacing w:after="0" w:line="360" w:lineRule="auto"/>
        <w:jc w:val="both"/>
        <w:rPr>
          <w:sz w:val="28"/>
          <w:szCs w:val="28"/>
        </w:rPr>
      </w:pPr>
    </w:p>
    <w:p w:rsidR="00780AB6" w:rsidRDefault="00780AB6" w:rsidP="00780AB6">
      <w:pPr>
        <w:pStyle w:val="ListParagraph"/>
        <w:numPr>
          <w:ilvl w:val="0"/>
          <w:numId w:val="2"/>
        </w:numPr>
        <w:spacing w:after="0" w:line="360" w:lineRule="auto"/>
        <w:jc w:val="both"/>
        <w:rPr>
          <w:sz w:val="28"/>
          <w:szCs w:val="28"/>
        </w:rPr>
      </w:pPr>
      <w:r>
        <w:rPr>
          <w:sz w:val="28"/>
          <w:szCs w:val="28"/>
        </w:rPr>
        <w:t xml:space="preserve"> The appeal is hereby dismissed; and</w:t>
      </w:r>
    </w:p>
    <w:p w:rsidR="00780AB6" w:rsidRDefault="00780AB6" w:rsidP="00780AB6">
      <w:pPr>
        <w:pStyle w:val="ListParagraph"/>
        <w:spacing w:after="0" w:line="360" w:lineRule="auto"/>
        <w:jc w:val="both"/>
        <w:rPr>
          <w:sz w:val="28"/>
          <w:szCs w:val="28"/>
        </w:rPr>
      </w:pPr>
    </w:p>
    <w:p w:rsidR="00780AB6" w:rsidRDefault="001C7234" w:rsidP="00780AB6">
      <w:pPr>
        <w:pStyle w:val="ListParagraph"/>
        <w:numPr>
          <w:ilvl w:val="0"/>
          <w:numId w:val="2"/>
        </w:numPr>
        <w:spacing w:after="0" w:line="360" w:lineRule="auto"/>
        <w:jc w:val="both"/>
        <w:rPr>
          <w:sz w:val="28"/>
          <w:szCs w:val="28"/>
        </w:rPr>
      </w:pPr>
      <w:r>
        <w:rPr>
          <w:sz w:val="28"/>
          <w:szCs w:val="28"/>
        </w:rPr>
        <w:t>Each party shall bear</w:t>
      </w:r>
      <w:r w:rsidR="00780AB6">
        <w:rPr>
          <w:sz w:val="28"/>
          <w:szCs w:val="28"/>
        </w:rPr>
        <w:t xml:space="preserve"> its own costs.</w:t>
      </w:r>
    </w:p>
    <w:p w:rsidR="001C7234" w:rsidRPr="001C7234" w:rsidRDefault="001C7234" w:rsidP="001C7234">
      <w:pPr>
        <w:pStyle w:val="ListParagraph"/>
        <w:rPr>
          <w:sz w:val="28"/>
          <w:szCs w:val="28"/>
        </w:rPr>
      </w:pPr>
    </w:p>
    <w:p w:rsidR="001C7234" w:rsidRDefault="001C7234" w:rsidP="001C7234">
      <w:pPr>
        <w:spacing w:after="0" w:line="360" w:lineRule="auto"/>
        <w:jc w:val="both"/>
        <w:rPr>
          <w:sz w:val="28"/>
          <w:szCs w:val="28"/>
        </w:rPr>
      </w:pPr>
    </w:p>
    <w:p w:rsidR="001C7234" w:rsidRDefault="001C7234" w:rsidP="001C7234">
      <w:pPr>
        <w:spacing w:after="0" w:line="360" w:lineRule="auto"/>
        <w:jc w:val="both"/>
        <w:rPr>
          <w:sz w:val="28"/>
          <w:szCs w:val="28"/>
        </w:rPr>
      </w:pPr>
    </w:p>
    <w:p w:rsidR="001C7234" w:rsidRDefault="001C7234" w:rsidP="001C7234">
      <w:pPr>
        <w:spacing w:after="0" w:line="360" w:lineRule="auto"/>
        <w:jc w:val="both"/>
        <w:rPr>
          <w:sz w:val="28"/>
          <w:szCs w:val="28"/>
        </w:rPr>
      </w:pPr>
    </w:p>
    <w:p w:rsidR="001C7234" w:rsidRDefault="001C7234" w:rsidP="001C7234">
      <w:pPr>
        <w:spacing w:after="0" w:line="360" w:lineRule="auto"/>
        <w:ind w:left="5040"/>
        <w:jc w:val="both"/>
        <w:rPr>
          <w:b/>
          <w:sz w:val="28"/>
          <w:szCs w:val="28"/>
        </w:rPr>
      </w:pPr>
      <w:r>
        <w:rPr>
          <w:b/>
          <w:sz w:val="28"/>
          <w:szCs w:val="28"/>
        </w:rPr>
        <w:t>G. MUSARIRI</w:t>
      </w:r>
    </w:p>
    <w:p w:rsidR="001C7234" w:rsidRPr="001C7234" w:rsidRDefault="001C7234" w:rsidP="001C7234">
      <w:pPr>
        <w:spacing w:after="0" w:line="360" w:lineRule="auto"/>
        <w:ind w:left="5040"/>
        <w:jc w:val="both"/>
        <w:rPr>
          <w:b/>
          <w:sz w:val="28"/>
          <w:szCs w:val="28"/>
          <w:u w:val="single"/>
        </w:rPr>
      </w:pPr>
      <w:r>
        <w:rPr>
          <w:b/>
          <w:sz w:val="28"/>
          <w:szCs w:val="28"/>
          <w:u w:val="single"/>
        </w:rPr>
        <w:t>PRESIDENT</w:t>
      </w:r>
    </w:p>
    <w:p w:rsidR="00780AB6" w:rsidRDefault="00780AB6" w:rsidP="00780AB6">
      <w:pPr>
        <w:spacing w:after="0" w:line="360" w:lineRule="auto"/>
        <w:jc w:val="both"/>
        <w:rPr>
          <w:sz w:val="28"/>
          <w:szCs w:val="28"/>
        </w:rPr>
      </w:pPr>
    </w:p>
    <w:p w:rsidR="00780AB6" w:rsidRPr="00780AB6" w:rsidRDefault="00780AB6" w:rsidP="00780AB6">
      <w:pPr>
        <w:spacing w:after="0" w:line="360" w:lineRule="auto"/>
        <w:jc w:val="both"/>
        <w:rPr>
          <w:sz w:val="28"/>
          <w:szCs w:val="28"/>
        </w:rPr>
      </w:pPr>
    </w:p>
    <w:p w:rsidR="004425D5" w:rsidRPr="004425D5" w:rsidRDefault="004425D5" w:rsidP="00B33977">
      <w:pPr>
        <w:spacing w:line="360" w:lineRule="auto"/>
        <w:jc w:val="both"/>
        <w:rPr>
          <w:sz w:val="28"/>
          <w:szCs w:val="28"/>
        </w:rPr>
      </w:pPr>
    </w:p>
    <w:sectPr w:rsidR="004425D5" w:rsidRPr="004425D5" w:rsidSect="00237376">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538" w:rsidRDefault="00F75538" w:rsidP="00237376">
      <w:pPr>
        <w:spacing w:after="0" w:line="240" w:lineRule="auto"/>
      </w:pPr>
      <w:r>
        <w:separator/>
      </w:r>
    </w:p>
  </w:endnote>
  <w:endnote w:type="continuationSeparator" w:id="0">
    <w:p w:rsidR="00F75538" w:rsidRDefault="00F75538" w:rsidP="00237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711930"/>
      <w:docPartObj>
        <w:docPartGallery w:val="Page Numbers (Bottom of Page)"/>
        <w:docPartUnique/>
      </w:docPartObj>
    </w:sdtPr>
    <w:sdtEndPr>
      <w:rPr>
        <w:noProof/>
      </w:rPr>
    </w:sdtEndPr>
    <w:sdtContent>
      <w:p w:rsidR="00780AB6" w:rsidRDefault="00780AB6">
        <w:pPr>
          <w:pStyle w:val="Footer"/>
          <w:jc w:val="right"/>
        </w:pPr>
        <w:r>
          <w:fldChar w:fldCharType="begin"/>
        </w:r>
        <w:r>
          <w:instrText xml:space="preserve"> PAGE   \* MERGEFORMAT </w:instrText>
        </w:r>
        <w:r>
          <w:fldChar w:fldCharType="separate"/>
        </w:r>
        <w:r w:rsidR="00AA7DCA">
          <w:rPr>
            <w:noProof/>
          </w:rPr>
          <w:t>3</w:t>
        </w:r>
        <w:r>
          <w:rPr>
            <w:noProof/>
          </w:rPr>
          <w:fldChar w:fldCharType="end"/>
        </w:r>
      </w:p>
    </w:sdtContent>
  </w:sdt>
  <w:p w:rsidR="00780AB6" w:rsidRDefault="00780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538" w:rsidRDefault="00F75538" w:rsidP="00237376">
      <w:pPr>
        <w:spacing w:after="0" w:line="240" w:lineRule="auto"/>
      </w:pPr>
      <w:r>
        <w:separator/>
      </w:r>
    </w:p>
  </w:footnote>
  <w:footnote w:type="continuationSeparator" w:id="0">
    <w:p w:rsidR="00F75538" w:rsidRDefault="00F75538" w:rsidP="002373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AB6" w:rsidRDefault="00780AB6" w:rsidP="00237376">
    <w:pPr>
      <w:spacing w:line="360" w:lineRule="auto"/>
      <w:ind w:left="5040"/>
      <w:rPr>
        <w:b/>
        <w:sz w:val="28"/>
        <w:szCs w:val="28"/>
      </w:rPr>
    </w:pPr>
    <w:r>
      <w:rPr>
        <w:b/>
        <w:sz w:val="28"/>
        <w:szCs w:val="28"/>
      </w:rPr>
      <w:t>JUDGMENT NO LC/H/263/13</w:t>
    </w:r>
  </w:p>
  <w:p w:rsidR="00780AB6" w:rsidRPr="00237376" w:rsidRDefault="00780AB6" w:rsidP="002373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25CE1"/>
    <w:multiLevelType w:val="hybridMultilevel"/>
    <w:tmpl w:val="5210A6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B3A287F"/>
    <w:multiLevelType w:val="hybridMultilevel"/>
    <w:tmpl w:val="8946CB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5D5"/>
    <w:rsid w:val="000C14DE"/>
    <w:rsid w:val="001C7234"/>
    <w:rsid w:val="00237376"/>
    <w:rsid w:val="004425D5"/>
    <w:rsid w:val="005D7531"/>
    <w:rsid w:val="00780AB6"/>
    <w:rsid w:val="00A664D8"/>
    <w:rsid w:val="00A74F8F"/>
    <w:rsid w:val="00AA7DCA"/>
    <w:rsid w:val="00B33977"/>
    <w:rsid w:val="00E248FF"/>
    <w:rsid w:val="00F607AE"/>
    <w:rsid w:val="00F755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376"/>
  </w:style>
  <w:style w:type="paragraph" w:styleId="Footer">
    <w:name w:val="footer"/>
    <w:basedOn w:val="Normal"/>
    <w:link w:val="FooterChar"/>
    <w:uiPriority w:val="99"/>
    <w:unhideWhenUsed/>
    <w:rsid w:val="00237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376"/>
  </w:style>
  <w:style w:type="paragraph" w:styleId="ListParagraph">
    <w:name w:val="List Paragraph"/>
    <w:basedOn w:val="Normal"/>
    <w:uiPriority w:val="34"/>
    <w:qFormat/>
    <w:rsid w:val="00B339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376"/>
  </w:style>
  <w:style w:type="paragraph" w:styleId="Footer">
    <w:name w:val="footer"/>
    <w:basedOn w:val="Normal"/>
    <w:link w:val="FooterChar"/>
    <w:uiPriority w:val="99"/>
    <w:unhideWhenUsed/>
    <w:rsid w:val="00237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376"/>
  </w:style>
  <w:style w:type="paragraph" w:styleId="ListParagraph">
    <w:name w:val="List Paragraph"/>
    <w:basedOn w:val="Normal"/>
    <w:uiPriority w:val="34"/>
    <w:qFormat/>
    <w:rsid w:val="00B33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5EC1E-7DBB-4F0B-8A57-9682D9B0B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4</cp:revision>
  <dcterms:created xsi:type="dcterms:W3CDTF">2013-06-19T07:06:00Z</dcterms:created>
  <dcterms:modified xsi:type="dcterms:W3CDTF">2013-06-20T09:04:00Z</dcterms:modified>
</cp:coreProperties>
</file>