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A0" w:rsidRDefault="006D5EA0" w:rsidP="006D5EA0">
      <w:pPr>
        <w:spacing w:after="0" w:line="360" w:lineRule="auto"/>
        <w:jc w:val="both"/>
        <w:rPr>
          <w:rFonts w:ascii="Times New Roman" w:hAnsi="Times New Roman" w:cs="Times New Roman"/>
          <w:b/>
        </w:rPr>
      </w:pPr>
    </w:p>
    <w:p w:rsidR="006D5EA0" w:rsidRDefault="006D5EA0" w:rsidP="006D5EA0">
      <w:pPr>
        <w:spacing w:after="0" w:line="360" w:lineRule="auto"/>
        <w:jc w:val="both"/>
        <w:rPr>
          <w:rFonts w:ascii="Times New Roman" w:hAnsi="Times New Roman" w:cs="Times New Roman"/>
          <w:b/>
        </w:rPr>
      </w:pPr>
    </w:p>
    <w:p w:rsidR="006D5EA0" w:rsidRDefault="006D5EA0" w:rsidP="006D5EA0">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w:t>
      </w:r>
      <w:r>
        <w:rPr>
          <w:rFonts w:ascii="Times New Roman" w:hAnsi="Times New Roman" w:cs="Times New Roman"/>
          <w:b/>
        </w:rPr>
        <w:t>H/</w:t>
      </w:r>
      <w:r w:rsidR="00E26131">
        <w:rPr>
          <w:rFonts w:ascii="Times New Roman" w:hAnsi="Times New Roman" w:cs="Times New Roman"/>
          <w:b/>
        </w:rPr>
        <w:t>104</w:t>
      </w:r>
      <w:r>
        <w:rPr>
          <w:rFonts w:ascii="Times New Roman" w:hAnsi="Times New Roman" w:cs="Times New Roman"/>
          <w:b/>
        </w:rPr>
        <w:t>/15</w:t>
      </w:r>
    </w:p>
    <w:p w:rsidR="006D5EA0" w:rsidRDefault="006D5EA0" w:rsidP="006D5EA0">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16</w:t>
      </w:r>
      <w:r w:rsidRPr="006D5EA0">
        <w:rPr>
          <w:rFonts w:ascii="Times New Roman" w:hAnsi="Times New Roman" w:cs="Times New Roman"/>
          <w:b/>
          <w:vertAlign w:val="superscript"/>
        </w:rPr>
        <w:t>th</w:t>
      </w:r>
      <w:r>
        <w:rPr>
          <w:rFonts w:ascii="Times New Roman" w:hAnsi="Times New Roman" w:cs="Times New Roman"/>
          <w:b/>
        </w:rPr>
        <w:t xml:space="preserve"> FEBRUARY</w:t>
      </w:r>
      <w:r w:rsidRPr="00854F36">
        <w:rPr>
          <w:rFonts w:ascii="Times New Roman" w:hAnsi="Times New Roman" w:cs="Times New Roman"/>
          <w:b/>
        </w:rPr>
        <w:t>, 201</w:t>
      </w:r>
      <w:r>
        <w:rPr>
          <w:rFonts w:ascii="Times New Roman" w:hAnsi="Times New Roman" w:cs="Times New Roman"/>
          <w:b/>
        </w:rPr>
        <w:t>6</w:t>
      </w:r>
      <w:r w:rsidRPr="00854F36">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t xml:space="preserve"> CASE NO. LC/H/710/15</w:t>
      </w:r>
    </w:p>
    <w:p w:rsidR="006D5EA0" w:rsidRDefault="006D5EA0" w:rsidP="006D5EA0">
      <w:pPr>
        <w:spacing w:after="0" w:line="360" w:lineRule="auto"/>
        <w:ind w:left="5760" w:hanging="5760"/>
        <w:jc w:val="both"/>
        <w:rPr>
          <w:rFonts w:ascii="Times New Roman" w:hAnsi="Times New Roman" w:cs="Times New Roman"/>
          <w:b/>
        </w:rPr>
      </w:pPr>
      <w:r>
        <w:rPr>
          <w:rFonts w:ascii="Times New Roman" w:hAnsi="Times New Roman" w:cs="Times New Roman"/>
          <w:b/>
        </w:rPr>
        <w:t xml:space="preserve">AND </w:t>
      </w:r>
      <w:r w:rsidR="00EC6DA8">
        <w:rPr>
          <w:rFonts w:ascii="Times New Roman" w:hAnsi="Times New Roman" w:cs="Times New Roman"/>
          <w:b/>
        </w:rPr>
        <w:t>4</w:t>
      </w:r>
      <w:bookmarkStart w:id="0" w:name="_GoBack"/>
      <w:bookmarkEnd w:id="0"/>
      <w:r w:rsidR="00E26131" w:rsidRPr="00E26131">
        <w:rPr>
          <w:rFonts w:ascii="Times New Roman" w:hAnsi="Times New Roman" w:cs="Times New Roman"/>
          <w:b/>
          <w:vertAlign w:val="superscript"/>
        </w:rPr>
        <w:t>TH</w:t>
      </w:r>
      <w:r w:rsidR="00E26131">
        <w:rPr>
          <w:rFonts w:ascii="Times New Roman" w:hAnsi="Times New Roman" w:cs="Times New Roman"/>
          <w:b/>
        </w:rPr>
        <w:t xml:space="preserve"> MARCH,</w:t>
      </w:r>
      <w:r>
        <w:rPr>
          <w:rFonts w:ascii="Times New Roman" w:hAnsi="Times New Roman" w:cs="Times New Roman"/>
          <w:b/>
        </w:rPr>
        <w:t xml:space="preserve"> 2016             </w:t>
      </w:r>
      <w:r>
        <w:rPr>
          <w:rFonts w:ascii="Times New Roman" w:hAnsi="Times New Roman" w:cs="Times New Roman"/>
          <w:b/>
        </w:rPr>
        <w:tab/>
        <w:t xml:space="preserve">    </w:t>
      </w:r>
    </w:p>
    <w:p w:rsidR="006D5EA0" w:rsidRDefault="006D5EA0" w:rsidP="006D5EA0">
      <w:pPr>
        <w:spacing w:after="0" w:line="360" w:lineRule="auto"/>
        <w:ind w:left="5760" w:hanging="720"/>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6D5EA0" w:rsidRPr="00854F36" w:rsidRDefault="006D5EA0" w:rsidP="006D5EA0">
      <w:pPr>
        <w:spacing w:after="0" w:line="360" w:lineRule="auto"/>
        <w:jc w:val="both"/>
        <w:rPr>
          <w:rFonts w:ascii="Times New Roman" w:hAnsi="Times New Roman" w:cs="Times New Roman"/>
          <w:b/>
        </w:rPr>
      </w:pPr>
    </w:p>
    <w:p w:rsidR="006D5EA0" w:rsidRPr="000E66B6" w:rsidRDefault="006D5EA0" w:rsidP="006D5EA0">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6D5EA0" w:rsidRDefault="006D5EA0" w:rsidP="006D5EA0">
      <w:pPr>
        <w:spacing w:after="0" w:line="360" w:lineRule="auto"/>
        <w:jc w:val="both"/>
        <w:rPr>
          <w:rFonts w:ascii="Times New Roman" w:hAnsi="Times New Roman" w:cs="Times New Roman"/>
          <w:b/>
          <w:sz w:val="24"/>
          <w:szCs w:val="24"/>
        </w:rPr>
      </w:pPr>
    </w:p>
    <w:p w:rsidR="006D5EA0" w:rsidRPr="006C67E2" w:rsidRDefault="006D5EA0" w:rsidP="006D5E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FAJI KAZEMBE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6D5EA0" w:rsidRPr="006C67E2" w:rsidRDefault="006D5EA0" w:rsidP="006D5E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6D5EA0" w:rsidRDefault="006D5EA0" w:rsidP="006D5E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SHAMVA GOLD MINE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RESPONDENT</w:t>
      </w:r>
    </w:p>
    <w:p w:rsidR="006D5EA0" w:rsidRPr="000E66B6" w:rsidRDefault="006D5EA0" w:rsidP="006D5EA0">
      <w:pPr>
        <w:spacing w:after="0" w:line="360" w:lineRule="auto"/>
        <w:jc w:val="both"/>
        <w:rPr>
          <w:rFonts w:ascii="Times New Roman" w:hAnsi="Times New Roman" w:cs="Times New Roman"/>
          <w:sz w:val="24"/>
          <w:szCs w:val="24"/>
        </w:rPr>
      </w:pPr>
    </w:p>
    <w:p w:rsidR="006D5EA0" w:rsidRPr="000E66B6" w:rsidRDefault="006D5EA0" w:rsidP="006D5E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F.C. Maxwell, J. </w:t>
      </w:r>
    </w:p>
    <w:p w:rsidR="006D5EA0" w:rsidRPr="000E66B6" w:rsidRDefault="006D5EA0" w:rsidP="006D5EA0">
      <w:pPr>
        <w:spacing w:before="120" w:after="0" w:line="360" w:lineRule="auto"/>
        <w:jc w:val="both"/>
        <w:rPr>
          <w:rFonts w:ascii="Times New Roman" w:hAnsi="Times New Roman" w:cs="Times New Roman"/>
          <w:b/>
          <w:sz w:val="24"/>
          <w:szCs w:val="24"/>
        </w:rPr>
      </w:pPr>
    </w:p>
    <w:p w:rsidR="006D5EA0" w:rsidRDefault="006D5EA0" w:rsidP="006D5E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 xml:space="preserve">ant </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In person</w:t>
      </w:r>
    </w:p>
    <w:p w:rsidR="006D5EA0" w:rsidRPr="000E66B6" w:rsidRDefault="006D5EA0" w:rsidP="006D5EA0">
      <w:pPr>
        <w:spacing w:after="0" w:line="240" w:lineRule="auto"/>
        <w:jc w:val="both"/>
        <w:rPr>
          <w:rFonts w:ascii="Times New Roman" w:hAnsi="Times New Roman" w:cs="Times New Roman"/>
          <w:b/>
          <w:sz w:val="24"/>
          <w:szCs w:val="24"/>
        </w:rPr>
      </w:pPr>
    </w:p>
    <w:p w:rsidR="006D5EA0" w:rsidRDefault="006D5EA0" w:rsidP="006D5EA0">
      <w:pPr>
        <w:rPr>
          <w:rFonts w:ascii="Times New Roman" w:hAnsi="Times New Roman" w:cs="Times New Roman"/>
          <w:b/>
          <w:sz w:val="24"/>
          <w:szCs w:val="24"/>
        </w:rPr>
      </w:pPr>
      <w:r w:rsidRPr="00A36495">
        <w:rPr>
          <w:rFonts w:ascii="Times New Roman" w:hAnsi="Times New Roman" w:cs="Times New Roman"/>
          <w:b/>
          <w:sz w:val="24"/>
          <w:szCs w:val="24"/>
        </w:rPr>
        <w:t xml:space="preserve">For Respondent: </w:t>
      </w:r>
      <w:r w:rsidRPr="00A36495">
        <w:rPr>
          <w:rFonts w:ascii="Times New Roman" w:hAnsi="Times New Roman" w:cs="Times New Roman"/>
          <w:b/>
          <w:sz w:val="24"/>
          <w:szCs w:val="24"/>
        </w:rPr>
        <w:tab/>
      </w:r>
      <w:r>
        <w:rPr>
          <w:rFonts w:ascii="Times New Roman" w:hAnsi="Times New Roman" w:cs="Times New Roman"/>
          <w:b/>
          <w:sz w:val="24"/>
          <w:szCs w:val="24"/>
        </w:rPr>
        <w:t>Mr T. Tandi (Legal Practitioner)</w:t>
      </w:r>
    </w:p>
    <w:p w:rsidR="006D5EA0" w:rsidRDefault="006D5EA0" w:rsidP="006D5EA0">
      <w:pPr>
        <w:rPr>
          <w:rFonts w:ascii="Times New Roman" w:hAnsi="Times New Roman" w:cs="Times New Roman"/>
          <w:b/>
          <w:sz w:val="24"/>
          <w:szCs w:val="24"/>
        </w:rPr>
      </w:pPr>
    </w:p>
    <w:p w:rsidR="006D5EA0" w:rsidRDefault="006D5EA0" w:rsidP="006D5EA0">
      <w:pPr>
        <w:rPr>
          <w:rFonts w:ascii="Times New Roman" w:hAnsi="Times New Roman" w:cs="Times New Roman"/>
          <w:b/>
          <w:sz w:val="24"/>
          <w:szCs w:val="24"/>
        </w:rPr>
      </w:pPr>
      <w:r>
        <w:rPr>
          <w:rFonts w:ascii="Times New Roman" w:hAnsi="Times New Roman" w:cs="Times New Roman"/>
          <w:b/>
          <w:sz w:val="24"/>
          <w:szCs w:val="24"/>
        </w:rPr>
        <w:t>MAXWELL, J.</w:t>
      </w:r>
    </w:p>
    <w:p w:rsidR="006D5EA0" w:rsidRDefault="006D5EA0" w:rsidP="006D5EA0">
      <w:pPr>
        <w:rPr>
          <w:rFonts w:ascii="Times New Roman" w:hAnsi="Times New Roman" w:cs="Times New Roman"/>
          <w:b/>
          <w:sz w:val="24"/>
          <w:szCs w:val="24"/>
        </w:rPr>
      </w:pPr>
    </w:p>
    <w:p w:rsidR="00656C62" w:rsidRDefault="006D5EA0" w:rsidP="009C3D2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C3D2A">
        <w:rPr>
          <w:rFonts w:ascii="Times New Roman" w:hAnsi="Times New Roman" w:cs="Times New Roman"/>
          <w:sz w:val="24"/>
          <w:szCs w:val="24"/>
        </w:rPr>
        <w:t>At the hearing of this matter I dismissed the appeal and indicated that reasons would follow. These are they;</w:t>
      </w:r>
    </w:p>
    <w:p w:rsidR="009C3D2A" w:rsidRDefault="009C3D2A" w:rsidP="009C3D2A">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an appeal against a decision of the Disciplinary Committee dismissing appellant. Appellant was employed by Metallon Gold Zimbabwe (Pvt) Limited which operates Shamva Mine. He was charged of theft, gross incompetency and gross negligence in terms of the Code of Conduct. Appellant, who was employed as a Senior Gang Leader was working in a shift in the Smelting Room in May 2015. He left his subordinates to work without supervision and gold slime was stolen.</w:t>
      </w:r>
    </w:p>
    <w:p w:rsidR="009C3D2A" w:rsidRDefault="009C3D2A" w:rsidP="009C3D2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 hearing was conducted. Appellant was convicted of all the charges except theft. He was dismissed from employment. An internal appeal was not successful and dismissal was confirmed. Aggrieved, appellant noted an appeal to this Court on the following grounds;</w:t>
      </w:r>
    </w:p>
    <w:p w:rsidR="009C3D2A" w:rsidRPr="009C3D2A" w:rsidRDefault="009C3D2A" w:rsidP="009C3D2A">
      <w:pPr>
        <w:pStyle w:val="ListParagraph"/>
        <w:numPr>
          <w:ilvl w:val="0"/>
          <w:numId w:val="1"/>
        </w:numPr>
        <w:spacing w:line="240" w:lineRule="auto"/>
        <w:jc w:val="both"/>
      </w:pPr>
      <w:r w:rsidRPr="009C3D2A">
        <w:rPr>
          <w:rFonts w:ascii="Times New Roman" w:hAnsi="Times New Roman" w:cs="Times New Roman"/>
        </w:rPr>
        <w:t>Respondent charged appellant with multiple charges.</w:t>
      </w:r>
    </w:p>
    <w:p w:rsidR="009C3D2A" w:rsidRPr="009C3D2A" w:rsidRDefault="009C3D2A" w:rsidP="009C3D2A">
      <w:pPr>
        <w:pStyle w:val="ListParagraph"/>
        <w:spacing w:line="240" w:lineRule="auto"/>
        <w:ind w:left="1080"/>
        <w:jc w:val="both"/>
      </w:pPr>
    </w:p>
    <w:p w:rsidR="009C3D2A" w:rsidRPr="009C3D2A" w:rsidRDefault="009C3D2A" w:rsidP="009C3D2A">
      <w:pPr>
        <w:pStyle w:val="ListParagraph"/>
        <w:numPr>
          <w:ilvl w:val="0"/>
          <w:numId w:val="1"/>
        </w:numPr>
        <w:spacing w:line="240" w:lineRule="auto"/>
        <w:jc w:val="both"/>
      </w:pPr>
      <w:r w:rsidRPr="009C3D2A">
        <w:rPr>
          <w:rFonts w:ascii="Times New Roman" w:hAnsi="Times New Roman" w:cs="Times New Roman"/>
        </w:rPr>
        <w:t>He was instructed by his senior supervisor to do the job he was doing therefore the charge of gross negligence falls away.</w:t>
      </w:r>
    </w:p>
    <w:p w:rsidR="009C3D2A" w:rsidRDefault="009C3D2A" w:rsidP="009C3D2A">
      <w:pPr>
        <w:pStyle w:val="ListParagraph"/>
      </w:pPr>
    </w:p>
    <w:p w:rsidR="009C3D2A" w:rsidRPr="009C3D2A" w:rsidRDefault="009C3D2A" w:rsidP="009C3D2A">
      <w:pPr>
        <w:pStyle w:val="ListParagraph"/>
        <w:numPr>
          <w:ilvl w:val="0"/>
          <w:numId w:val="1"/>
        </w:numPr>
        <w:spacing w:line="240" w:lineRule="auto"/>
        <w:jc w:val="both"/>
      </w:pPr>
      <w:r w:rsidRPr="009C3D2A">
        <w:rPr>
          <w:rFonts w:ascii="Times New Roman" w:hAnsi="Times New Roman" w:cs="Times New Roman"/>
        </w:rPr>
        <w:t xml:space="preserve">In the present matter the element of habitual and substantial neglect of duty does not exist as he was not charged for the same offence. </w:t>
      </w:r>
    </w:p>
    <w:p w:rsidR="009C3D2A" w:rsidRDefault="009C3D2A" w:rsidP="009C3D2A">
      <w:pPr>
        <w:pStyle w:val="ListParagraph"/>
      </w:pPr>
    </w:p>
    <w:p w:rsidR="009C3D2A" w:rsidRDefault="009C3D2A" w:rsidP="009C3D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affidavit filed together with the Notice of Appeal, it is stated that there is no evidence that appellant was directly involved and that he was made a sacrificial </w:t>
      </w:r>
      <w:r w:rsidR="007A1B22">
        <w:rPr>
          <w:rFonts w:ascii="Times New Roman" w:hAnsi="Times New Roman" w:cs="Times New Roman"/>
          <w:sz w:val="24"/>
          <w:szCs w:val="24"/>
        </w:rPr>
        <w:t>lam</w:t>
      </w:r>
      <w:r w:rsidR="00E26131">
        <w:rPr>
          <w:rFonts w:ascii="Times New Roman" w:hAnsi="Times New Roman" w:cs="Times New Roman"/>
          <w:sz w:val="24"/>
          <w:szCs w:val="24"/>
        </w:rPr>
        <w:t>p</w:t>
      </w:r>
      <w:r>
        <w:rPr>
          <w:rFonts w:ascii="Times New Roman" w:hAnsi="Times New Roman" w:cs="Times New Roman"/>
          <w:sz w:val="24"/>
          <w:szCs w:val="24"/>
        </w:rPr>
        <w:t xml:space="preserve"> (sic) by his superior incompetent supervisors.</w:t>
      </w:r>
    </w:p>
    <w:p w:rsidR="009C3D2A" w:rsidRDefault="009C3D2A" w:rsidP="009C3D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response indicates that appellant cited a non-existent party and that the appeal does not raise any substantive grounds of appeal. Further it is stated that appellant is challenging findings of fact without demonstrating that such findings are irrational as to amount to a misdirection and therefore the Court cannot lightly </w:t>
      </w:r>
      <w:r w:rsidR="007A1B22">
        <w:rPr>
          <w:rFonts w:ascii="Times New Roman" w:hAnsi="Times New Roman" w:cs="Times New Roman"/>
          <w:sz w:val="24"/>
          <w:szCs w:val="24"/>
        </w:rPr>
        <w:t>interfere</w:t>
      </w:r>
      <w:r>
        <w:rPr>
          <w:rFonts w:ascii="Times New Roman" w:hAnsi="Times New Roman" w:cs="Times New Roman"/>
          <w:sz w:val="24"/>
          <w:szCs w:val="24"/>
        </w:rPr>
        <w:t xml:space="preserve"> with such factual findings. It is further </w:t>
      </w:r>
      <w:r w:rsidR="00BD0915">
        <w:rPr>
          <w:rFonts w:ascii="Times New Roman" w:hAnsi="Times New Roman" w:cs="Times New Roman"/>
          <w:sz w:val="24"/>
          <w:szCs w:val="24"/>
        </w:rPr>
        <w:t>submitted that the appeal has no merit and should be dismissed with costs.</w:t>
      </w:r>
    </w:p>
    <w:p w:rsidR="00BD0915" w:rsidRDefault="00BD0915" w:rsidP="009C3D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was represented by the Associated Mine Workers Union from the filing of the appeal. However on the date of the hearing he appeared as a self-actor as his representative was not available ad he was confident enough to prosecute his appeal.</w:t>
      </w:r>
    </w:p>
    <w:p w:rsidR="00BD0915" w:rsidRDefault="00BD0915" w:rsidP="009C3D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has no merit at all. Appellant accepts that the respondent is wrongly cited. He is aware that the proper name of the respondent is Metallon Gold Zimbabwe. When it was pointed out to him that the grounds of appeal do not raise substantive issues, he blames the trade union. He also blames the trade union for citing the wrong respondent. Appellant displayed an attitude of a litigant who leaves the prosecution of his matter totally in the hands of his representative. Clearly he was not involved in the preparation of the papers filed before this Court.  The words of ZIYAMBI JA in </w:t>
      </w:r>
      <w:r w:rsidRPr="00BD0915">
        <w:rPr>
          <w:rFonts w:ascii="Times New Roman" w:hAnsi="Times New Roman" w:cs="Times New Roman"/>
          <w:b/>
          <w:sz w:val="24"/>
          <w:szCs w:val="24"/>
        </w:rPr>
        <w:t>Innocent Kadungure</w:t>
      </w:r>
      <w:r>
        <w:rPr>
          <w:rFonts w:ascii="Times New Roman" w:hAnsi="Times New Roman" w:cs="Times New Roman"/>
          <w:sz w:val="24"/>
          <w:szCs w:val="24"/>
        </w:rPr>
        <w:t xml:space="preserve"> v </w:t>
      </w:r>
      <w:r w:rsidRPr="00BD0915">
        <w:rPr>
          <w:rFonts w:ascii="Times New Roman" w:hAnsi="Times New Roman" w:cs="Times New Roman"/>
          <w:b/>
          <w:sz w:val="24"/>
          <w:szCs w:val="24"/>
        </w:rPr>
        <w:t>Cheryl Chandi Kadungure</w:t>
      </w:r>
      <w:r>
        <w:rPr>
          <w:rFonts w:ascii="Times New Roman" w:hAnsi="Times New Roman" w:cs="Times New Roman"/>
          <w:sz w:val="24"/>
          <w:szCs w:val="24"/>
        </w:rPr>
        <w:t xml:space="preserve"> SC 19/07 are </w:t>
      </w:r>
      <w:r w:rsidR="00E26131">
        <w:rPr>
          <w:rFonts w:ascii="Times New Roman" w:hAnsi="Times New Roman" w:cs="Times New Roman"/>
          <w:sz w:val="24"/>
          <w:szCs w:val="24"/>
        </w:rPr>
        <w:t>a</w:t>
      </w:r>
      <w:r>
        <w:rPr>
          <w:rFonts w:ascii="Times New Roman" w:hAnsi="Times New Roman" w:cs="Times New Roman"/>
          <w:sz w:val="24"/>
          <w:szCs w:val="24"/>
        </w:rPr>
        <w:t>pposite. On page 6 of the cyclostyled judgment. She states;</w:t>
      </w:r>
    </w:p>
    <w:p w:rsidR="00BD0915" w:rsidRDefault="00BD0915" w:rsidP="00BD0915">
      <w:pPr>
        <w:spacing w:line="240" w:lineRule="auto"/>
        <w:ind w:left="720"/>
        <w:jc w:val="both"/>
        <w:rPr>
          <w:rFonts w:ascii="Times New Roman" w:hAnsi="Times New Roman" w:cs="Times New Roman"/>
        </w:rPr>
      </w:pPr>
      <w:r w:rsidRPr="00BD0915">
        <w:rPr>
          <w:rFonts w:ascii="Times New Roman" w:hAnsi="Times New Roman" w:cs="Times New Roman"/>
        </w:rPr>
        <w:lastRenderedPageBreak/>
        <w:t xml:space="preserve">“There is a certain degree of watchfulness which is expected of a client who has given instructions to his legal practitioner </w:t>
      </w:r>
      <w:r>
        <w:rPr>
          <w:rFonts w:ascii="Times New Roman" w:hAnsi="Times New Roman" w:cs="Times New Roman"/>
        </w:rPr>
        <w:t xml:space="preserve">to act on his behalf. He is obliged to take an active part in ensuring that his case is being prosecuted with due diligence. There is a degree to which he cannot sit back and leave the matter in the hands of his legal practitioner. He must ensure that he is being kept informed of the progress of his case and change his legal practitioner if necessary in order to ensure that his case receives the attention it deserves. He must exercise vigilance if he is not to suffer the consequences of his legal practitioner’s incompetence and negligence” </w:t>
      </w:r>
    </w:p>
    <w:p w:rsidR="007A1B22" w:rsidRDefault="007A1B22" w:rsidP="007A1B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though reference is made to a legal practitioner in the quotation above, it is equally applicable to </w:t>
      </w:r>
      <w:r w:rsidR="00E26131">
        <w:rPr>
          <w:rFonts w:ascii="Times New Roman" w:hAnsi="Times New Roman" w:cs="Times New Roman"/>
          <w:sz w:val="24"/>
          <w:szCs w:val="24"/>
        </w:rPr>
        <w:t xml:space="preserve">a </w:t>
      </w:r>
      <w:r>
        <w:rPr>
          <w:rFonts w:ascii="Times New Roman" w:hAnsi="Times New Roman" w:cs="Times New Roman"/>
          <w:sz w:val="24"/>
          <w:szCs w:val="24"/>
        </w:rPr>
        <w:t xml:space="preserve">representative as in this case, from a trade union. Appellant did not act as expected of a diligent litigant. See </w:t>
      </w:r>
      <w:r w:rsidRPr="007A1B22">
        <w:rPr>
          <w:rFonts w:ascii="Times New Roman" w:hAnsi="Times New Roman" w:cs="Times New Roman"/>
          <w:b/>
          <w:sz w:val="24"/>
          <w:szCs w:val="24"/>
        </w:rPr>
        <w:t>Elizabeth Mutizhe</w:t>
      </w:r>
      <w:r>
        <w:rPr>
          <w:rFonts w:ascii="Times New Roman" w:hAnsi="Times New Roman" w:cs="Times New Roman"/>
          <w:sz w:val="24"/>
          <w:szCs w:val="24"/>
        </w:rPr>
        <w:t xml:space="preserve"> v </w:t>
      </w:r>
      <w:r w:rsidRPr="007A1B22">
        <w:rPr>
          <w:rFonts w:ascii="Times New Roman" w:hAnsi="Times New Roman" w:cs="Times New Roman"/>
          <w:b/>
          <w:sz w:val="24"/>
          <w:szCs w:val="24"/>
        </w:rPr>
        <w:t>Loveness Axcillia Ganda and Others</w:t>
      </w:r>
      <w:r>
        <w:rPr>
          <w:rFonts w:ascii="Times New Roman" w:hAnsi="Times New Roman" w:cs="Times New Roman"/>
          <w:sz w:val="24"/>
          <w:szCs w:val="24"/>
        </w:rPr>
        <w:t xml:space="preserve"> SC 17/09. He cannot escape the consequences of his representative’s actions.</w:t>
      </w:r>
    </w:p>
    <w:p w:rsidR="007A1B22" w:rsidRDefault="007A1B22" w:rsidP="007A1B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appeal seeks no challenge factual findings. Appellant has not demonstrated that the findings complained of are outrageous in their defiance of logic or accepted moral standards that no sensible person who had applied his mind to the question to be decided could have arrived at that decision. See </w:t>
      </w:r>
      <w:r w:rsidRPr="007A1B22">
        <w:rPr>
          <w:rFonts w:ascii="Times New Roman" w:hAnsi="Times New Roman" w:cs="Times New Roman"/>
          <w:b/>
          <w:sz w:val="24"/>
          <w:szCs w:val="24"/>
        </w:rPr>
        <w:t>Nyahondo</w:t>
      </w:r>
      <w:r>
        <w:rPr>
          <w:rFonts w:ascii="Times New Roman" w:hAnsi="Times New Roman" w:cs="Times New Roman"/>
          <w:sz w:val="24"/>
          <w:szCs w:val="24"/>
        </w:rPr>
        <w:t xml:space="preserve"> v </w:t>
      </w:r>
      <w:r w:rsidRPr="007A1B22">
        <w:rPr>
          <w:rFonts w:ascii="Times New Roman" w:hAnsi="Times New Roman" w:cs="Times New Roman"/>
          <w:b/>
          <w:sz w:val="24"/>
          <w:szCs w:val="24"/>
        </w:rPr>
        <w:t>Hokonya and Others</w:t>
      </w:r>
      <w:r>
        <w:rPr>
          <w:rFonts w:ascii="Times New Roman" w:hAnsi="Times New Roman" w:cs="Times New Roman"/>
          <w:sz w:val="24"/>
          <w:szCs w:val="24"/>
        </w:rPr>
        <w:t xml:space="preserve"> 1997 (2) ZLR 475. For that reason the appeal cannot succeed. </w:t>
      </w:r>
    </w:p>
    <w:p w:rsidR="007A1B22" w:rsidRDefault="007A1B22" w:rsidP="007A1B22">
      <w:pPr>
        <w:spacing w:line="360" w:lineRule="auto"/>
        <w:ind w:firstLine="720"/>
        <w:jc w:val="both"/>
        <w:rPr>
          <w:rFonts w:ascii="Times New Roman" w:hAnsi="Times New Roman" w:cs="Times New Roman"/>
          <w:sz w:val="24"/>
          <w:szCs w:val="24"/>
        </w:rPr>
      </w:pPr>
      <w:r w:rsidRPr="007A1B22">
        <w:rPr>
          <w:rFonts w:ascii="Times New Roman" w:hAnsi="Times New Roman" w:cs="Times New Roman"/>
          <w:b/>
          <w:sz w:val="24"/>
          <w:szCs w:val="24"/>
        </w:rPr>
        <w:t xml:space="preserve">WHEREFORE </w:t>
      </w:r>
      <w:r>
        <w:rPr>
          <w:rFonts w:ascii="Times New Roman" w:hAnsi="Times New Roman" w:cs="Times New Roman"/>
          <w:sz w:val="24"/>
          <w:szCs w:val="24"/>
        </w:rPr>
        <w:t>I ordered as follows;</w:t>
      </w:r>
    </w:p>
    <w:p w:rsidR="007A1B22" w:rsidRDefault="007A1B22" w:rsidP="007A1B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7A1B22" w:rsidRDefault="007A1B22" w:rsidP="007A1B22">
      <w:pPr>
        <w:spacing w:line="360" w:lineRule="auto"/>
        <w:jc w:val="both"/>
        <w:rPr>
          <w:rFonts w:ascii="Times New Roman" w:hAnsi="Times New Roman" w:cs="Times New Roman"/>
          <w:sz w:val="24"/>
          <w:szCs w:val="24"/>
        </w:rPr>
      </w:pPr>
    </w:p>
    <w:p w:rsidR="007A1B22" w:rsidRDefault="007A1B22" w:rsidP="007A1B22">
      <w:pPr>
        <w:spacing w:line="360" w:lineRule="auto"/>
        <w:jc w:val="both"/>
        <w:rPr>
          <w:rFonts w:ascii="Times New Roman" w:hAnsi="Times New Roman" w:cs="Times New Roman"/>
          <w:sz w:val="24"/>
          <w:szCs w:val="24"/>
        </w:rPr>
      </w:pPr>
    </w:p>
    <w:p w:rsidR="007A1B22" w:rsidRPr="007A1B22" w:rsidRDefault="007A1B22" w:rsidP="007A1B22">
      <w:pPr>
        <w:spacing w:line="360" w:lineRule="auto"/>
        <w:jc w:val="both"/>
        <w:rPr>
          <w:rFonts w:ascii="Times New Roman" w:hAnsi="Times New Roman" w:cs="Times New Roman"/>
          <w:b/>
          <w:i/>
          <w:sz w:val="24"/>
          <w:szCs w:val="24"/>
        </w:rPr>
      </w:pPr>
      <w:r w:rsidRPr="007A1B22">
        <w:rPr>
          <w:rFonts w:ascii="Times New Roman" w:hAnsi="Times New Roman" w:cs="Times New Roman"/>
          <w:b/>
          <w:i/>
          <w:sz w:val="24"/>
          <w:szCs w:val="24"/>
        </w:rPr>
        <w:t xml:space="preserve">Kantor and Immerman – respondent’s legal practitioner </w:t>
      </w:r>
    </w:p>
    <w:sectPr w:rsidR="007A1B22" w:rsidRPr="007A1B22" w:rsidSect="006D5EA0">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D6B" w:rsidRDefault="005B4D6B" w:rsidP="006D5EA0">
      <w:pPr>
        <w:spacing w:after="0" w:line="240" w:lineRule="auto"/>
      </w:pPr>
      <w:r>
        <w:separator/>
      </w:r>
    </w:p>
  </w:endnote>
  <w:endnote w:type="continuationSeparator" w:id="0">
    <w:p w:rsidR="005B4D6B" w:rsidRDefault="005B4D6B" w:rsidP="006D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443672"/>
      <w:docPartObj>
        <w:docPartGallery w:val="Page Numbers (Bottom of Page)"/>
        <w:docPartUnique/>
      </w:docPartObj>
    </w:sdtPr>
    <w:sdtEndPr>
      <w:rPr>
        <w:noProof/>
      </w:rPr>
    </w:sdtEndPr>
    <w:sdtContent>
      <w:p w:rsidR="007A1B22" w:rsidRDefault="007A1B22">
        <w:pPr>
          <w:pStyle w:val="Footer"/>
          <w:jc w:val="center"/>
        </w:pPr>
        <w:r>
          <w:fldChar w:fldCharType="begin"/>
        </w:r>
        <w:r>
          <w:instrText xml:space="preserve"> PAGE   \* MERGEFORMAT </w:instrText>
        </w:r>
        <w:r>
          <w:fldChar w:fldCharType="separate"/>
        </w:r>
        <w:r w:rsidR="00EC6DA8">
          <w:rPr>
            <w:noProof/>
          </w:rPr>
          <w:t>3</w:t>
        </w:r>
        <w:r>
          <w:rPr>
            <w:noProof/>
          </w:rPr>
          <w:fldChar w:fldCharType="end"/>
        </w:r>
      </w:p>
    </w:sdtContent>
  </w:sdt>
  <w:p w:rsidR="007A1B22" w:rsidRDefault="007A1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D6B" w:rsidRDefault="005B4D6B" w:rsidP="006D5EA0">
      <w:pPr>
        <w:spacing w:after="0" w:line="240" w:lineRule="auto"/>
      </w:pPr>
      <w:r>
        <w:separator/>
      </w:r>
    </w:p>
  </w:footnote>
  <w:footnote w:type="continuationSeparator" w:id="0">
    <w:p w:rsidR="005B4D6B" w:rsidRDefault="005B4D6B" w:rsidP="006D5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B22" w:rsidRDefault="007A1B22">
    <w:pPr>
      <w:pStyle w:val="Header"/>
    </w:pPr>
  </w:p>
  <w:p w:rsidR="007A1B22" w:rsidRPr="006D5EA0" w:rsidRDefault="007A1B22" w:rsidP="006D5EA0">
    <w:pPr>
      <w:pStyle w:val="Header"/>
      <w:rPr>
        <w:b/>
      </w:rPr>
    </w:pPr>
    <w:r>
      <w:rPr>
        <w:b/>
      </w:rPr>
      <w:tab/>
    </w:r>
    <w:r>
      <w:rPr>
        <w:b/>
      </w:rPr>
      <w:tab/>
    </w:r>
    <w:r w:rsidRPr="006D5EA0">
      <w:rPr>
        <w:b/>
      </w:rPr>
      <w:t>JUDGMENT NO. LC/H/</w:t>
    </w:r>
    <w:r w:rsidR="00E26131">
      <w:rPr>
        <w:b/>
      </w:rPr>
      <w:t>104</w:t>
    </w:r>
    <w:r w:rsidRPr="006D5EA0">
      <w:rPr>
        <w:b/>
      </w:rPr>
      <w:t>/15</w:t>
    </w:r>
  </w:p>
  <w:p w:rsidR="007A1B22" w:rsidRDefault="007A1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37DF9"/>
    <w:multiLevelType w:val="hybridMultilevel"/>
    <w:tmpl w:val="22E4E604"/>
    <w:lvl w:ilvl="0" w:tplc="6F80EED0">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A0"/>
    <w:rsid w:val="002F22F3"/>
    <w:rsid w:val="005401D9"/>
    <w:rsid w:val="005B4D6B"/>
    <w:rsid w:val="00656C62"/>
    <w:rsid w:val="006D5EA0"/>
    <w:rsid w:val="007A1B22"/>
    <w:rsid w:val="008E0463"/>
    <w:rsid w:val="009C3D2A"/>
    <w:rsid w:val="00B34E04"/>
    <w:rsid w:val="00BD0915"/>
    <w:rsid w:val="00E26131"/>
    <w:rsid w:val="00EC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A0"/>
  </w:style>
  <w:style w:type="paragraph" w:styleId="Footer">
    <w:name w:val="footer"/>
    <w:basedOn w:val="Normal"/>
    <w:link w:val="FooterChar"/>
    <w:uiPriority w:val="99"/>
    <w:unhideWhenUsed/>
    <w:rsid w:val="006D5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EA0"/>
  </w:style>
  <w:style w:type="paragraph" w:styleId="BalloonText">
    <w:name w:val="Balloon Text"/>
    <w:basedOn w:val="Normal"/>
    <w:link w:val="BalloonTextChar"/>
    <w:uiPriority w:val="99"/>
    <w:semiHidden/>
    <w:unhideWhenUsed/>
    <w:rsid w:val="006D5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EA0"/>
    <w:rPr>
      <w:rFonts w:ascii="Tahoma" w:hAnsi="Tahoma" w:cs="Tahoma"/>
      <w:sz w:val="16"/>
      <w:szCs w:val="16"/>
    </w:rPr>
  </w:style>
  <w:style w:type="paragraph" w:styleId="ListParagraph">
    <w:name w:val="List Paragraph"/>
    <w:basedOn w:val="Normal"/>
    <w:uiPriority w:val="34"/>
    <w:qFormat/>
    <w:rsid w:val="009C3D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A0"/>
  </w:style>
  <w:style w:type="paragraph" w:styleId="Footer">
    <w:name w:val="footer"/>
    <w:basedOn w:val="Normal"/>
    <w:link w:val="FooterChar"/>
    <w:uiPriority w:val="99"/>
    <w:unhideWhenUsed/>
    <w:rsid w:val="006D5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EA0"/>
  </w:style>
  <w:style w:type="paragraph" w:styleId="BalloonText">
    <w:name w:val="Balloon Text"/>
    <w:basedOn w:val="Normal"/>
    <w:link w:val="BalloonTextChar"/>
    <w:uiPriority w:val="99"/>
    <w:semiHidden/>
    <w:unhideWhenUsed/>
    <w:rsid w:val="006D5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EA0"/>
    <w:rPr>
      <w:rFonts w:ascii="Tahoma" w:hAnsi="Tahoma" w:cs="Tahoma"/>
      <w:sz w:val="16"/>
      <w:szCs w:val="16"/>
    </w:rPr>
  </w:style>
  <w:style w:type="paragraph" w:styleId="ListParagraph">
    <w:name w:val="List Paragraph"/>
    <w:basedOn w:val="Normal"/>
    <w:uiPriority w:val="34"/>
    <w:qFormat/>
    <w:rsid w:val="009C3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4</cp:revision>
  <cp:lastPrinted>2016-03-02T01:01:00Z</cp:lastPrinted>
  <dcterms:created xsi:type="dcterms:W3CDTF">2016-02-26T08:04:00Z</dcterms:created>
  <dcterms:modified xsi:type="dcterms:W3CDTF">2016-03-02T01:02:00Z</dcterms:modified>
</cp:coreProperties>
</file>