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285985" w:rsidP="00863A2C">
      <w:pPr>
        <w:spacing w:after="0" w:line="240" w:lineRule="auto"/>
        <w:jc w:val="both"/>
        <w:rPr>
          <w:rFonts w:ascii="Times New Roman" w:hAnsi="Times New Roman"/>
          <w:sz w:val="24"/>
          <w:szCs w:val="24"/>
        </w:rPr>
      </w:pPr>
      <w:bookmarkStart w:id="0" w:name="_GoBack"/>
      <w:bookmarkEnd w:id="0"/>
      <w:r w:rsidRPr="00285985">
        <w:rPr>
          <w:rFonts w:ascii="Times New Roman" w:hAnsi="Times New Roman"/>
          <w:sz w:val="24"/>
          <w:szCs w:val="24"/>
        </w:rPr>
        <w:t>EX</w:t>
      </w:r>
      <w:r>
        <w:rPr>
          <w:rFonts w:ascii="Times New Roman" w:hAnsi="Times New Roman"/>
          <w:sz w:val="24"/>
          <w:szCs w:val="24"/>
        </w:rPr>
        <w:t>POSALES (PVT) LTD</w:t>
      </w:r>
    </w:p>
    <w:p w:rsidR="00285985" w:rsidRDefault="00285985" w:rsidP="00863A2C">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285985" w:rsidRDefault="00285985" w:rsidP="00863A2C">
      <w:pPr>
        <w:spacing w:after="0" w:line="240" w:lineRule="auto"/>
        <w:jc w:val="both"/>
        <w:rPr>
          <w:rFonts w:ascii="Times New Roman" w:hAnsi="Times New Roman"/>
          <w:sz w:val="24"/>
          <w:szCs w:val="24"/>
        </w:rPr>
      </w:pPr>
      <w:r>
        <w:rPr>
          <w:rFonts w:ascii="Times New Roman" w:hAnsi="Times New Roman"/>
          <w:sz w:val="24"/>
          <w:szCs w:val="24"/>
        </w:rPr>
        <w:t>POLY PACKAGING (PVT) LTD</w:t>
      </w:r>
    </w:p>
    <w:p w:rsidR="00285985" w:rsidRDefault="00285985" w:rsidP="00863A2C">
      <w:pPr>
        <w:spacing w:after="0" w:line="240" w:lineRule="auto"/>
        <w:jc w:val="both"/>
        <w:rPr>
          <w:rFonts w:ascii="Times New Roman" w:hAnsi="Times New Roman"/>
          <w:sz w:val="24"/>
          <w:szCs w:val="24"/>
        </w:rPr>
      </w:pPr>
    </w:p>
    <w:p w:rsidR="009846A5" w:rsidRDefault="009846A5" w:rsidP="00863A2C">
      <w:pPr>
        <w:spacing w:after="0" w:line="240" w:lineRule="auto"/>
        <w:jc w:val="both"/>
        <w:rPr>
          <w:rFonts w:ascii="Times New Roman" w:hAnsi="Times New Roman"/>
          <w:sz w:val="24"/>
          <w:szCs w:val="24"/>
        </w:rPr>
      </w:pPr>
    </w:p>
    <w:p w:rsidR="00285985" w:rsidRDefault="00285985" w:rsidP="00863A2C">
      <w:pPr>
        <w:spacing w:after="0" w:line="240" w:lineRule="auto"/>
        <w:jc w:val="both"/>
        <w:rPr>
          <w:rFonts w:ascii="Times New Roman" w:hAnsi="Times New Roman"/>
          <w:sz w:val="24"/>
          <w:szCs w:val="24"/>
        </w:rPr>
      </w:pPr>
    </w:p>
    <w:p w:rsidR="00285985" w:rsidRDefault="00285985" w:rsidP="00863A2C">
      <w:pPr>
        <w:spacing w:after="0" w:line="240" w:lineRule="auto"/>
        <w:jc w:val="both"/>
        <w:rPr>
          <w:rFonts w:ascii="Times New Roman" w:hAnsi="Times New Roman"/>
          <w:sz w:val="24"/>
          <w:szCs w:val="24"/>
        </w:rPr>
      </w:pPr>
      <w:r>
        <w:rPr>
          <w:rFonts w:ascii="Times New Roman" w:hAnsi="Times New Roman"/>
          <w:sz w:val="24"/>
          <w:szCs w:val="24"/>
        </w:rPr>
        <w:t>IN THE HIGH COURT OF ZIMBABWE</w:t>
      </w:r>
    </w:p>
    <w:p w:rsidR="00285985" w:rsidRDefault="00285985" w:rsidP="00863A2C">
      <w:pPr>
        <w:spacing w:after="0" w:line="240" w:lineRule="auto"/>
        <w:jc w:val="both"/>
        <w:rPr>
          <w:rFonts w:ascii="Times New Roman" w:hAnsi="Times New Roman"/>
          <w:sz w:val="24"/>
          <w:szCs w:val="24"/>
        </w:rPr>
      </w:pPr>
      <w:r>
        <w:rPr>
          <w:rFonts w:ascii="Times New Roman" w:hAnsi="Times New Roman"/>
          <w:sz w:val="24"/>
          <w:szCs w:val="24"/>
        </w:rPr>
        <w:t>TAKUVA J</w:t>
      </w:r>
    </w:p>
    <w:p w:rsidR="00285985" w:rsidRDefault="00285985" w:rsidP="00863A2C">
      <w:pPr>
        <w:spacing w:after="0" w:line="240" w:lineRule="auto"/>
        <w:jc w:val="both"/>
        <w:rPr>
          <w:rFonts w:ascii="Times New Roman" w:hAnsi="Times New Roman"/>
          <w:sz w:val="24"/>
          <w:szCs w:val="24"/>
        </w:rPr>
      </w:pPr>
      <w:r>
        <w:rPr>
          <w:rFonts w:ascii="Times New Roman" w:hAnsi="Times New Roman"/>
          <w:sz w:val="24"/>
          <w:szCs w:val="24"/>
        </w:rPr>
        <w:t xml:space="preserve">HARARE, </w:t>
      </w:r>
      <w:r w:rsidR="002803AD">
        <w:rPr>
          <w:rFonts w:ascii="Times New Roman" w:hAnsi="Times New Roman"/>
          <w:sz w:val="24"/>
          <w:szCs w:val="24"/>
        </w:rPr>
        <w:t>13 May 2013</w:t>
      </w:r>
    </w:p>
    <w:p w:rsidR="00285985" w:rsidRDefault="00285985" w:rsidP="00863A2C">
      <w:pPr>
        <w:spacing w:after="0" w:line="240" w:lineRule="auto"/>
        <w:jc w:val="both"/>
        <w:rPr>
          <w:rFonts w:ascii="Times New Roman" w:hAnsi="Times New Roman"/>
          <w:sz w:val="24"/>
          <w:szCs w:val="24"/>
        </w:rPr>
      </w:pPr>
    </w:p>
    <w:p w:rsidR="009846A5" w:rsidRDefault="009846A5" w:rsidP="00863A2C">
      <w:pPr>
        <w:spacing w:after="0" w:line="240" w:lineRule="auto"/>
        <w:jc w:val="both"/>
        <w:rPr>
          <w:rFonts w:ascii="Times New Roman" w:hAnsi="Times New Roman"/>
          <w:sz w:val="24"/>
          <w:szCs w:val="24"/>
        </w:rPr>
      </w:pPr>
    </w:p>
    <w:p w:rsidR="00285985" w:rsidRDefault="00285985" w:rsidP="00863A2C">
      <w:pPr>
        <w:spacing w:after="0" w:line="240" w:lineRule="auto"/>
        <w:jc w:val="both"/>
        <w:rPr>
          <w:rFonts w:ascii="Times New Roman" w:hAnsi="Times New Roman"/>
          <w:sz w:val="24"/>
          <w:szCs w:val="24"/>
        </w:rPr>
      </w:pPr>
      <w:r w:rsidRPr="00285985">
        <w:rPr>
          <w:rFonts w:ascii="Times New Roman" w:hAnsi="Times New Roman"/>
          <w:i/>
          <w:sz w:val="24"/>
          <w:szCs w:val="24"/>
        </w:rPr>
        <w:t xml:space="preserve">F.G. </w:t>
      </w:r>
      <w:proofErr w:type="spellStart"/>
      <w:r w:rsidRPr="00285985">
        <w:rPr>
          <w:rFonts w:ascii="Times New Roman" w:hAnsi="Times New Roman"/>
          <w:i/>
          <w:sz w:val="24"/>
          <w:szCs w:val="24"/>
        </w:rPr>
        <w:t>Gijima</w:t>
      </w:r>
      <w:proofErr w:type="spellEnd"/>
      <w:r>
        <w:rPr>
          <w:rFonts w:ascii="Times New Roman" w:hAnsi="Times New Roman"/>
          <w:sz w:val="24"/>
          <w:szCs w:val="24"/>
        </w:rPr>
        <w:t>, for the applicant</w:t>
      </w:r>
    </w:p>
    <w:p w:rsidR="00285985" w:rsidRDefault="00285985" w:rsidP="00863A2C">
      <w:pPr>
        <w:spacing w:after="0" w:line="240" w:lineRule="auto"/>
        <w:jc w:val="both"/>
        <w:rPr>
          <w:rFonts w:ascii="Times New Roman" w:hAnsi="Times New Roman"/>
          <w:sz w:val="24"/>
          <w:szCs w:val="24"/>
        </w:rPr>
      </w:pPr>
      <w:r w:rsidRPr="00285985">
        <w:rPr>
          <w:rFonts w:ascii="Times New Roman" w:hAnsi="Times New Roman"/>
          <w:i/>
          <w:sz w:val="24"/>
          <w:szCs w:val="24"/>
        </w:rPr>
        <w:t>J. Koto</w:t>
      </w:r>
      <w:r>
        <w:rPr>
          <w:rFonts w:ascii="Times New Roman" w:hAnsi="Times New Roman"/>
          <w:sz w:val="24"/>
          <w:szCs w:val="24"/>
        </w:rPr>
        <w:t xml:space="preserve">, for the respondent </w:t>
      </w:r>
    </w:p>
    <w:p w:rsidR="00285985" w:rsidRDefault="00285985" w:rsidP="00863A2C">
      <w:pPr>
        <w:spacing w:after="0" w:line="240" w:lineRule="auto"/>
        <w:jc w:val="both"/>
        <w:rPr>
          <w:rFonts w:ascii="Times New Roman" w:hAnsi="Times New Roman"/>
          <w:sz w:val="24"/>
          <w:szCs w:val="24"/>
        </w:rPr>
      </w:pPr>
    </w:p>
    <w:p w:rsidR="009846A5" w:rsidRDefault="009846A5" w:rsidP="00863A2C">
      <w:pPr>
        <w:spacing w:after="0" w:line="240" w:lineRule="auto"/>
        <w:jc w:val="both"/>
        <w:rPr>
          <w:rFonts w:ascii="Times New Roman" w:hAnsi="Times New Roman"/>
          <w:sz w:val="24"/>
          <w:szCs w:val="24"/>
        </w:rPr>
      </w:pPr>
    </w:p>
    <w:p w:rsidR="00285985" w:rsidRDefault="00285985" w:rsidP="00863A2C">
      <w:pPr>
        <w:spacing w:after="0" w:line="240" w:lineRule="auto"/>
        <w:jc w:val="both"/>
        <w:rPr>
          <w:rFonts w:ascii="Times New Roman" w:hAnsi="Times New Roman"/>
          <w:b/>
          <w:sz w:val="24"/>
          <w:szCs w:val="24"/>
        </w:rPr>
      </w:pPr>
      <w:r w:rsidRPr="00285985">
        <w:rPr>
          <w:rFonts w:ascii="Times New Roman" w:hAnsi="Times New Roman"/>
          <w:b/>
          <w:sz w:val="24"/>
          <w:szCs w:val="24"/>
        </w:rPr>
        <w:t>CIVIL APPLICATION</w:t>
      </w:r>
    </w:p>
    <w:p w:rsidR="00285985" w:rsidRDefault="00285985" w:rsidP="00863A2C">
      <w:pPr>
        <w:spacing w:after="0" w:line="240" w:lineRule="auto"/>
        <w:jc w:val="both"/>
        <w:rPr>
          <w:rFonts w:ascii="Times New Roman" w:hAnsi="Times New Roman"/>
          <w:b/>
          <w:sz w:val="24"/>
          <w:szCs w:val="24"/>
        </w:rPr>
      </w:pPr>
    </w:p>
    <w:p w:rsidR="009846A5" w:rsidRDefault="009846A5" w:rsidP="00863A2C">
      <w:pPr>
        <w:spacing w:after="0" w:line="240" w:lineRule="auto"/>
        <w:jc w:val="both"/>
        <w:rPr>
          <w:rFonts w:ascii="Times New Roman" w:hAnsi="Times New Roman"/>
          <w:b/>
          <w:sz w:val="24"/>
          <w:szCs w:val="24"/>
        </w:rPr>
      </w:pPr>
    </w:p>
    <w:p w:rsidR="00285985" w:rsidRDefault="00285985" w:rsidP="00863A2C">
      <w:pPr>
        <w:spacing w:after="0" w:line="360" w:lineRule="auto"/>
        <w:jc w:val="both"/>
        <w:rPr>
          <w:rFonts w:ascii="Times New Roman" w:hAnsi="Times New Roman"/>
          <w:sz w:val="24"/>
          <w:szCs w:val="24"/>
        </w:rPr>
      </w:pPr>
      <w:r>
        <w:rPr>
          <w:rFonts w:ascii="Times New Roman" w:hAnsi="Times New Roman"/>
          <w:b/>
          <w:sz w:val="24"/>
          <w:szCs w:val="24"/>
        </w:rPr>
        <w:tab/>
      </w:r>
      <w:r w:rsidRPr="00285985">
        <w:rPr>
          <w:rFonts w:ascii="Times New Roman" w:hAnsi="Times New Roman"/>
          <w:sz w:val="24"/>
          <w:szCs w:val="24"/>
        </w:rPr>
        <w:t xml:space="preserve">TAKUVA J:  </w:t>
      </w:r>
      <w:r>
        <w:rPr>
          <w:rFonts w:ascii="Times New Roman" w:hAnsi="Times New Roman"/>
          <w:sz w:val="24"/>
          <w:szCs w:val="24"/>
        </w:rPr>
        <w:t xml:space="preserve">This is an application for rescission of a default judgment issued on 28 April 2011.  The back ground is that respondent issued summons on 30 November 2010 in Case No. </w:t>
      </w:r>
      <w:proofErr w:type="gramStart"/>
      <w:r>
        <w:rPr>
          <w:rFonts w:ascii="Times New Roman" w:hAnsi="Times New Roman"/>
          <w:sz w:val="24"/>
          <w:szCs w:val="24"/>
        </w:rPr>
        <w:t>HC 8728/10 against applicant claiming the sum of $6 369.35 together with interest at the prescribed rate from July 2010 to date of payment in full.</w:t>
      </w:r>
      <w:proofErr w:type="gramEnd"/>
    </w:p>
    <w:p w:rsidR="00285985" w:rsidRDefault="00285985" w:rsidP="00863A2C">
      <w:pPr>
        <w:spacing w:after="0" w:line="360" w:lineRule="auto"/>
        <w:jc w:val="both"/>
        <w:rPr>
          <w:rFonts w:ascii="Times New Roman" w:hAnsi="Times New Roman"/>
          <w:sz w:val="24"/>
          <w:szCs w:val="24"/>
        </w:rPr>
      </w:pPr>
      <w:r>
        <w:rPr>
          <w:rFonts w:ascii="Times New Roman" w:hAnsi="Times New Roman"/>
          <w:sz w:val="24"/>
          <w:szCs w:val="24"/>
        </w:rPr>
        <w:tab/>
        <w:t xml:space="preserve">Through its </w:t>
      </w:r>
      <w:r w:rsidR="00687A9A">
        <w:rPr>
          <w:rFonts w:ascii="Times New Roman" w:hAnsi="Times New Roman"/>
          <w:sz w:val="24"/>
          <w:szCs w:val="24"/>
        </w:rPr>
        <w:t>e</w:t>
      </w:r>
      <w:r>
        <w:rPr>
          <w:rFonts w:ascii="Times New Roman" w:hAnsi="Times New Roman"/>
          <w:sz w:val="24"/>
          <w:szCs w:val="24"/>
        </w:rPr>
        <w:t xml:space="preserve">rstwhile Legal Practitioners, applicant entered appearance to defend the action.  On 26 January 2011, applicant was served with a Notice to plead through </w:t>
      </w:r>
      <w:r w:rsidR="00687A9A">
        <w:rPr>
          <w:rFonts w:ascii="Times New Roman" w:hAnsi="Times New Roman"/>
          <w:sz w:val="24"/>
          <w:szCs w:val="24"/>
        </w:rPr>
        <w:t>its</w:t>
      </w:r>
      <w:r>
        <w:rPr>
          <w:rFonts w:ascii="Times New Roman" w:hAnsi="Times New Roman"/>
          <w:sz w:val="24"/>
          <w:szCs w:val="24"/>
        </w:rPr>
        <w:t xml:space="preserve"> former legal practitioners </w:t>
      </w:r>
      <w:r w:rsidRPr="00285985">
        <w:rPr>
          <w:rFonts w:ascii="Times New Roman" w:hAnsi="Times New Roman"/>
          <w:i/>
          <w:sz w:val="24"/>
          <w:szCs w:val="24"/>
        </w:rPr>
        <w:t xml:space="preserve">Messrs Bruce </w:t>
      </w:r>
      <w:proofErr w:type="spellStart"/>
      <w:r w:rsidRPr="00285985">
        <w:rPr>
          <w:rFonts w:ascii="Times New Roman" w:hAnsi="Times New Roman"/>
          <w:i/>
          <w:sz w:val="24"/>
          <w:szCs w:val="24"/>
        </w:rPr>
        <w:t>Mujeyi</w:t>
      </w:r>
      <w:proofErr w:type="spellEnd"/>
      <w:r w:rsidRPr="00285985">
        <w:rPr>
          <w:rFonts w:ascii="Times New Roman" w:hAnsi="Times New Roman"/>
          <w:i/>
          <w:sz w:val="24"/>
          <w:szCs w:val="24"/>
        </w:rPr>
        <w:t xml:space="preserve">, </w:t>
      </w:r>
      <w:proofErr w:type="spellStart"/>
      <w:r w:rsidRPr="00285985">
        <w:rPr>
          <w:rFonts w:ascii="Times New Roman" w:hAnsi="Times New Roman"/>
          <w:i/>
          <w:sz w:val="24"/>
          <w:szCs w:val="24"/>
        </w:rPr>
        <w:t>Manokore</w:t>
      </w:r>
      <w:proofErr w:type="spellEnd"/>
      <w:r w:rsidRPr="00285985">
        <w:rPr>
          <w:rFonts w:ascii="Times New Roman" w:hAnsi="Times New Roman"/>
          <w:i/>
          <w:sz w:val="24"/>
          <w:szCs w:val="24"/>
        </w:rPr>
        <w:t xml:space="preserve"> Attorneys</w:t>
      </w:r>
      <w:r>
        <w:rPr>
          <w:rFonts w:ascii="Times New Roman" w:hAnsi="Times New Roman"/>
          <w:sz w:val="24"/>
          <w:szCs w:val="24"/>
        </w:rPr>
        <w:t xml:space="preserve">.  Applicant did not file a plea and respondent applied for default judgment which was granted.  </w:t>
      </w:r>
      <w:r w:rsidR="00687A9A">
        <w:rPr>
          <w:rFonts w:ascii="Times New Roman" w:hAnsi="Times New Roman"/>
          <w:sz w:val="24"/>
          <w:szCs w:val="24"/>
        </w:rPr>
        <w:t>O</w:t>
      </w:r>
      <w:r>
        <w:rPr>
          <w:rFonts w:ascii="Times New Roman" w:hAnsi="Times New Roman"/>
          <w:sz w:val="24"/>
          <w:szCs w:val="24"/>
        </w:rPr>
        <w:t xml:space="preserve">n 31 </w:t>
      </w:r>
      <w:r w:rsidR="00687A9A">
        <w:rPr>
          <w:rFonts w:ascii="Times New Roman" w:hAnsi="Times New Roman"/>
          <w:sz w:val="24"/>
          <w:szCs w:val="24"/>
        </w:rPr>
        <w:t>M</w:t>
      </w:r>
      <w:r>
        <w:rPr>
          <w:rFonts w:ascii="Times New Roman" w:hAnsi="Times New Roman"/>
          <w:sz w:val="24"/>
          <w:szCs w:val="24"/>
        </w:rPr>
        <w:t>ay 2011, respondent served a writ of execution on the applicant through the Deputy Sheriff.</w:t>
      </w:r>
    </w:p>
    <w:p w:rsidR="00561A07" w:rsidRDefault="00285985" w:rsidP="00863A2C">
      <w:pPr>
        <w:spacing w:after="0" w:line="360" w:lineRule="auto"/>
        <w:jc w:val="both"/>
        <w:rPr>
          <w:rFonts w:ascii="Times New Roman" w:hAnsi="Times New Roman"/>
          <w:sz w:val="24"/>
          <w:szCs w:val="24"/>
        </w:rPr>
      </w:pPr>
      <w:r>
        <w:rPr>
          <w:rFonts w:ascii="Times New Roman" w:hAnsi="Times New Roman"/>
          <w:sz w:val="24"/>
          <w:szCs w:val="24"/>
        </w:rPr>
        <w:tab/>
        <w:t xml:space="preserve">Applicant instructed his legal practitioners to apply for rescission of judgment entered in default.  Applicant’s former legal practitioners ignored this instruction resulting in applicant making an application for </w:t>
      </w:r>
      <w:proofErr w:type="spellStart"/>
      <w:r>
        <w:rPr>
          <w:rFonts w:ascii="Times New Roman" w:hAnsi="Times New Roman"/>
          <w:sz w:val="24"/>
          <w:szCs w:val="24"/>
        </w:rPr>
        <w:t>condonation</w:t>
      </w:r>
      <w:proofErr w:type="spellEnd"/>
      <w:r>
        <w:rPr>
          <w:rFonts w:ascii="Times New Roman" w:hAnsi="Times New Roman"/>
          <w:sz w:val="24"/>
          <w:szCs w:val="24"/>
        </w:rPr>
        <w:t xml:space="preserve"> for late noting of the application for </w:t>
      </w:r>
      <w:r w:rsidR="00687A9A">
        <w:rPr>
          <w:rFonts w:ascii="Times New Roman" w:hAnsi="Times New Roman"/>
          <w:sz w:val="24"/>
          <w:szCs w:val="24"/>
        </w:rPr>
        <w:t>r</w:t>
      </w:r>
      <w:r>
        <w:rPr>
          <w:rFonts w:ascii="Times New Roman" w:hAnsi="Times New Roman"/>
          <w:sz w:val="24"/>
          <w:szCs w:val="24"/>
        </w:rPr>
        <w:t xml:space="preserve">escission of judgment granted under Case No. </w:t>
      </w:r>
      <w:proofErr w:type="gramStart"/>
      <w:r>
        <w:rPr>
          <w:rFonts w:ascii="Times New Roman" w:hAnsi="Times New Roman"/>
          <w:sz w:val="24"/>
          <w:szCs w:val="24"/>
        </w:rPr>
        <w:t>HC 7722/11</w:t>
      </w:r>
      <w:r w:rsidR="00687A9A">
        <w:rPr>
          <w:rFonts w:ascii="Times New Roman" w:hAnsi="Times New Roman"/>
          <w:sz w:val="24"/>
          <w:szCs w:val="24"/>
        </w:rPr>
        <w:t>, judgment No.</w:t>
      </w:r>
      <w:proofErr w:type="gramEnd"/>
      <w:r>
        <w:rPr>
          <w:rFonts w:ascii="Times New Roman" w:hAnsi="Times New Roman"/>
          <w:sz w:val="24"/>
          <w:szCs w:val="24"/>
        </w:rPr>
        <w:t xml:space="preserve"> </w:t>
      </w:r>
      <w:proofErr w:type="gramStart"/>
      <w:r>
        <w:rPr>
          <w:rFonts w:ascii="Times New Roman" w:hAnsi="Times New Roman"/>
          <w:sz w:val="24"/>
          <w:szCs w:val="24"/>
        </w:rPr>
        <w:t>HH104-2012.</w:t>
      </w:r>
      <w:proofErr w:type="gramEnd"/>
    </w:p>
    <w:p w:rsidR="00561A07" w:rsidRDefault="00561A07" w:rsidP="00863A2C">
      <w:pPr>
        <w:spacing w:after="0" w:line="360" w:lineRule="auto"/>
        <w:jc w:val="both"/>
        <w:rPr>
          <w:rFonts w:ascii="Times New Roman" w:hAnsi="Times New Roman"/>
          <w:sz w:val="24"/>
          <w:szCs w:val="24"/>
        </w:rPr>
      </w:pPr>
      <w:r>
        <w:rPr>
          <w:rFonts w:ascii="Times New Roman" w:hAnsi="Times New Roman"/>
          <w:sz w:val="24"/>
          <w:szCs w:val="24"/>
        </w:rPr>
        <w:tab/>
        <w:t xml:space="preserve">Meanwhile, the Deputy Sheriff attached a Toyota </w:t>
      </w:r>
      <w:proofErr w:type="spellStart"/>
      <w:r>
        <w:rPr>
          <w:rFonts w:ascii="Times New Roman" w:hAnsi="Times New Roman"/>
          <w:sz w:val="24"/>
          <w:szCs w:val="24"/>
        </w:rPr>
        <w:t>Dyna</w:t>
      </w:r>
      <w:proofErr w:type="spellEnd"/>
      <w:r>
        <w:rPr>
          <w:rFonts w:ascii="Times New Roman" w:hAnsi="Times New Roman"/>
          <w:sz w:val="24"/>
          <w:szCs w:val="24"/>
        </w:rPr>
        <w:t xml:space="preserve"> Truck which was later released after applicant </w:t>
      </w:r>
      <w:r w:rsidR="00687A9A">
        <w:rPr>
          <w:rFonts w:ascii="Times New Roman" w:hAnsi="Times New Roman"/>
          <w:sz w:val="24"/>
          <w:szCs w:val="24"/>
        </w:rPr>
        <w:t xml:space="preserve">offered </w:t>
      </w:r>
      <w:r>
        <w:rPr>
          <w:rFonts w:ascii="Times New Roman" w:hAnsi="Times New Roman"/>
          <w:sz w:val="24"/>
          <w:szCs w:val="24"/>
        </w:rPr>
        <w:t xml:space="preserve">its 90 Horse Power Dong </w:t>
      </w:r>
      <w:proofErr w:type="spellStart"/>
      <w:r>
        <w:rPr>
          <w:rFonts w:ascii="Times New Roman" w:hAnsi="Times New Roman"/>
          <w:sz w:val="24"/>
          <w:szCs w:val="24"/>
        </w:rPr>
        <w:t>Feng</w:t>
      </w:r>
      <w:proofErr w:type="spellEnd"/>
      <w:r>
        <w:rPr>
          <w:rFonts w:ascii="Times New Roman" w:hAnsi="Times New Roman"/>
          <w:sz w:val="24"/>
          <w:szCs w:val="24"/>
        </w:rPr>
        <w:t xml:space="preserve"> tra</w:t>
      </w:r>
      <w:r w:rsidR="00687A9A">
        <w:rPr>
          <w:rFonts w:ascii="Times New Roman" w:hAnsi="Times New Roman"/>
          <w:sz w:val="24"/>
          <w:szCs w:val="24"/>
        </w:rPr>
        <w:t>c</w:t>
      </w:r>
      <w:r>
        <w:rPr>
          <w:rFonts w:ascii="Times New Roman" w:hAnsi="Times New Roman"/>
          <w:sz w:val="24"/>
          <w:szCs w:val="24"/>
        </w:rPr>
        <w:t>tor in place of the truck.  The tra</w:t>
      </w:r>
      <w:r w:rsidR="00687A9A">
        <w:rPr>
          <w:rFonts w:ascii="Times New Roman" w:hAnsi="Times New Roman"/>
          <w:sz w:val="24"/>
          <w:szCs w:val="24"/>
        </w:rPr>
        <w:t>c</w:t>
      </w:r>
      <w:r>
        <w:rPr>
          <w:rFonts w:ascii="Times New Roman" w:hAnsi="Times New Roman"/>
          <w:sz w:val="24"/>
          <w:szCs w:val="24"/>
        </w:rPr>
        <w:t>tor was sold but the proceeds did not satisfy the debt.</w:t>
      </w:r>
    </w:p>
    <w:p w:rsidR="00285985" w:rsidRDefault="00561A07" w:rsidP="00863A2C">
      <w:pPr>
        <w:spacing w:after="0" w:line="360" w:lineRule="auto"/>
        <w:jc w:val="both"/>
        <w:rPr>
          <w:rFonts w:ascii="Times New Roman" w:hAnsi="Times New Roman"/>
          <w:sz w:val="24"/>
          <w:szCs w:val="24"/>
        </w:rPr>
      </w:pPr>
      <w:r>
        <w:rPr>
          <w:rFonts w:ascii="Times New Roman" w:hAnsi="Times New Roman"/>
          <w:sz w:val="24"/>
          <w:szCs w:val="24"/>
        </w:rPr>
        <w:tab/>
        <w:t xml:space="preserve">Applicant’s application for </w:t>
      </w:r>
      <w:proofErr w:type="spellStart"/>
      <w:r>
        <w:rPr>
          <w:rFonts w:ascii="Times New Roman" w:hAnsi="Times New Roman"/>
          <w:sz w:val="24"/>
          <w:szCs w:val="24"/>
        </w:rPr>
        <w:t>condonation</w:t>
      </w:r>
      <w:proofErr w:type="spellEnd"/>
      <w:r>
        <w:rPr>
          <w:rFonts w:ascii="Times New Roman" w:hAnsi="Times New Roman"/>
          <w:sz w:val="24"/>
          <w:szCs w:val="24"/>
        </w:rPr>
        <w:t xml:space="preserve"> was granted hence this application.  Applicant submitted that it has shown good and sufficient cause in that its application is reasonable and </w:t>
      </w:r>
      <w:r w:rsidRPr="00561A07">
        <w:rPr>
          <w:rFonts w:ascii="Times New Roman" w:hAnsi="Times New Roman"/>
          <w:i/>
          <w:sz w:val="24"/>
          <w:szCs w:val="24"/>
        </w:rPr>
        <w:t>bona fide</w:t>
      </w:r>
      <w:r>
        <w:rPr>
          <w:rFonts w:ascii="Times New Roman" w:hAnsi="Times New Roman"/>
          <w:sz w:val="24"/>
          <w:szCs w:val="24"/>
        </w:rPr>
        <w:t xml:space="preserve">.  </w:t>
      </w:r>
      <w:r w:rsidR="00285985">
        <w:rPr>
          <w:rFonts w:ascii="Times New Roman" w:hAnsi="Times New Roman"/>
          <w:sz w:val="24"/>
          <w:szCs w:val="24"/>
        </w:rPr>
        <w:t xml:space="preserve"> </w:t>
      </w:r>
      <w:r>
        <w:rPr>
          <w:rFonts w:ascii="Times New Roman" w:hAnsi="Times New Roman"/>
          <w:sz w:val="24"/>
          <w:szCs w:val="24"/>
        </w:rPr>
        <w:t xml:space="preserve">Further it was argued that applicant’s defence on the merits is </w:t>
      </w:r>
      <w:r w:rsidRPr="00561A07">
        <w:rPr>
          <w:rFonts w:ascii="Times New Roman" w:hAnsi="Times New Roman"/>
          <w:i/>
          <w:sz w:val="24"/>
          <w:szCs w:val="24"/>
        </w:rPr>
        <w:t>bona fide</w:t>
      </w:r>
      <w:r>
        <w:rPr>
          <w:rFonts w:ascii="Times New Roman" w:hAnsi="Times New Roman"/>
          <w:sz w:val="24"/>
          <w:szCs w:val="24"/>
        </w:rPr>
        <w:t>.</w:t>
      </w:r>
      <w:r w:rsidR="00285985">
        <w:rPr>
          <w:rFonts w:ascii="Times New Roman" w:hAnsi="Times New Roman"/>
          <w:sz w:val="24"/>
          <w:szCs w:val="24"/>
        </w:rPr>
        <w:t xml:space="preserve"> </w:t>
      </w:r>
    </w:p>
    <w:p w:rsidR="00561A07" w:rsidRDefault="00561A07" w:rsidP="00863A2C">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In </w:t>
      </w:r>
      <w:proofErr w:type="spellStart"/>
      <w:r w:rsidRPr="000A1CCD">
        <w:rPr>
          <w:rFonts w:ascii="Times New Roman" w:hAnsi="Times New Roman"/>
          <w:i/>
          <w:sz w:val="24"/>
          <w:szCs w:val="24"/>
        </w:rPr>
        <w:t>Beitbridge</w:t>
      </w:r>
      <w:proofErr w:type="spellEnd"/>
      <w:r w:rsidRPr="000A1CCD">
        <w:rPr>
          <w:rFonts w:ascii="Times New Roman" w:hAnsi="Times New Roman"/>
          <w:i/>
          <w:sz w:val="24"/>
          <w:szCs w:val="24"/>
        </w:rPr>
        <w:t xml:space="preserve"> Rural District Council</w:t>
      </w:r>
      <w:r>
        <w:rPr>
          <w:rFonts w:ascii="Times New Roman" w:hAnsi="Times New Roman"/>
          <w:sz w:val="24"/>
          <w:szCs w:val="24"/>
        </w:rPr>
        <w:t xml:space="preserve"> v </w:t>
      </w:r>
      <w:r w:rsidRPr="000A1CCD">
        <w:rPr>
          <w:rFonts w:ascii="Times New Roman" w:hAnsi="Times New Roman"/>
          <w:i/>
          <w:sz w:val="24"/>
          <w:szCs w:val="24"/>
        </w:rPr>
        <w:t>Russell Construction Company (Pvt) Ltd</w:t>
      </w:r>
      <w:r>
        <w:rPr>
          <w:rFonts w:ascii="Times New Roman" w:hAnsi="Times New Roman"/>
          <w:sz w:val="24"/>
          <w:szCs w:val="24"/>
        </w:rPr>
        <w:t xml:space="preserve"> 1998 (2) ZLR 190 (S) it was held that in granting rescission</w:t>
      </w:r>
      <w:r w:rsidR="00687A9A">
        <w:rPr>
          <w:rFonts w:ascii="Times New Roman" w:hAnsi="Times New Roman"/>
          <w:sz w:val="24"/>
          <w:szCs w:val="24"/>
        </w:rPr>
        <w:t>,</w:t>
      </w:r>
      <w:r>
        <w:rPr>
          <w:rFonts w:ascii="Times New Roman" w:hAnsi="Times New Roman"/>
          <w:sz w:val="24"/>
          <w:szCs w:val="24"/>
        </w:rPr>
        <w:t xml:space="preserve"> the court normally considered (a) </w:t>
      </w:r>
      <w:r w:rsidR="00687A9A">
        <w:rPr>
          <w:rFonts w:ascii="Times New Roman" w:hAnsi="Times New Roman"/>
          <w:sz w:val="24"/>
          <w:szCs w:val="24"/>
        </w:rPr>
        <w:t>t</w:t>
      </w:r>
      <w:r w:rsidR="00A64149">
        <w:rPr>
          <w:rFonts w:ascii="Times New Roman" w:hAnsi="Times New Roman"/>
          <w:sz w:val="24"/>
          <w:szCs w:val="24"/>
        </w:rPr>
        <w:t>he applicant’s explanation for his def</w:t>
      </w:r>
      <w:r w:rsidR="00687A9A">
        <w:rPr>
          <w:rFonts w:ascii="Times New Roman" w:hAnsi="Times New Roman"/>
          <w:sz w:val="24"/>
          <w:szCs w:val="24"/>
        </w:rPr>
        <w:t>ault</w:t>
      </w:r>
      <w:r w:rsidR="00A64149">
        <w:rPr>
          <w:rFonts w:ascii="Times New Roman" w:hAnsi="Times New Roman"/>
          <w:sz w:val="24"/>
          <w:szCs w:val="24"/>
        </w:rPr>
        <w:t>, (b) the applicant’s good faith; and (c) the bona fides of his defence on the merits as well as the prospects of success.</w:t>
      </w:r>
      <w:r>
        <w:rPr>
          <w:rFonts w:ascii="Times New Roman" w:hAnsi="Times New Roman"/>
          <w:sz w:val="24"/>
          <w:szCs w:val="24"/>
        </w:rPr>
        <w:t xml:space="preserve"> </w:t>
      </w:r>
    </w:p>
    <w:p w:rsidR="000A1CCD" w:rsidRDefault="000A1CCD" w:rsidP="00863A2C">
      <w:pPr>
        <w:spacing w:after="0" w:line="360" w:lineRule="auto"/>
        <w:jc w:val="both"/>
        <w:rPr>
          <w:rFonts w:ascii="Times New Roman" w:hAnsi="Times New Roman"/>
          <w:sz w:val="24"/>
          <w:szCs w:val="24"/>
        </w:rPr>
      </w:pPr>
      <w:r>
        <w:rPr>
          <w:rFonts w:ascii="Times New Roman" w:hAnsi="Times New Roman"/>
          <w:sz w:val="24"/>
          <w:szCs w:val="24"/>
        </w:rPr>
        <w:tab/>
        <w:t xml:space="preserve">In respect of (a), the applicant’s explanation is simply that its </w:t>
      </w:r>
      <w:r w:rsidR="00687A9A">
        <w:rPr>
          <w:rFonts w:ascii="Times New Roman" w:hAnsi="Times New Roman"/>
          <w:sz w:val="24"/>
          <w:szCs w:val="24"/>
        </w:rPr>
        <w:t>e</w:t>
      </w:r>
      <w:r>
        <w:rPr>
          <w:rFonts w:ascii="Times New Roman" w:hAnsi="Times New Roman"/>
          <w:sz w:val="24"/>
          <w:szCs w:val="24"/>
        </w:rPr>
        <w:t xml:space="preserve">rstwhile legal practitioners did not act diligently in protecting </w:t>
      </w:r>
      <w:r w:rsidR="00687A9A">
        <w:rPr>
          <w:rFonts w:ascii="Times New Roman" w:hAnsi="Times New Roman"/>
          <w:sz w:val="24"/>
          <w:szCs w:val="24"/>
        </w:rPr>
        <w:t>its</w:t>
      </w:r>
      <w:r>
        <w:rPr>
          <w:rFonts w:ascii="Times New Roman" w:hAnsi="Times New Roman"/>
          <w:sz w:val="24"/>
          <w:szCs w:val="24"/>
        </w:rPr>
        <w:t xml:space="preserve"> interests when they were served with the Notice of Intention to bar on 4 February 2011.  Therefore, applicant urges this court not to punish it for the dilatoriness of its </w:t>
      </w:r>
      <w:r w:rsidR="00687A9A">
        <w:rPr>
          <w:rFonts w:ascii="Times New Roman" w:hAnsi="Times New Roman"/>
          <w:sz w:val="24"/>
          <w:szCs w:val="24"/>
        </w:rPr>
        <w:t>e</w:t>
      </w:r>
      <w:r>
        <w:rPr>
          <w:rFonts w:ascii="Times New Roman" w:hAnsi="Times New Roman"/>
          <w:sz w:val="24"/>
          <w:szCs w:val="24"/>
        </w:rPr>
        <w:t xml:space="preserve">rstwhile legal practitioners.  This explanation is contained in applicant’s </w:t>
      </w:r>
      <w:r w:rsidR="00687A9A">
        <w:rPr>
          <w:rFonts w:ascii="Times New Roman" w:hAnsi="Times New Roman"/>
          <w:sz w:val="24"/>
          <w:szCs w:val="24"/>
        </w:rPr>
        <w:t>co-</w:t>
      </w:r>
      <w:r>
        <w:rPr>
          <w:rFonts w:ascii="Times New Roman" w:hAnsi="Times New Roman"/>
          <w:sz w:val="24"/>
          <w:szCs w:val="24"/>
        </w:rPr>
        <w:t>director one</w:t>
      </w:r>
      <w:proofErr w:type="gramStart"/>
      <w:r w:rsidR="00687A9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Chirango’s</w:t>
      </w:r>
      <w:proofErr w:type="spellEnd"/>
      <w:proofErr w:type="gramEnd"/>
      <w:r>
        <w:rPr>
          <w:rFonts w:ascii="Times New Roman" w:hAnsi="Times New Roman"/>
          <w:sz w:val="24"/>
          <w:szCs w:val="24"/>
        </w:rPr>
        <w:t xml:space="preserve"> founding affidavit.</w:t>
      </w:r>
    </w:p>
    <w:p w:rsidR="00E07BB9" w:rsidRDefault="000A1CCD" w:rsidP="00863A2C">
      <w:pPr>
        <w:spacing w:after="0" w:line="360" w:lineRule="auto"/>
        <w:jc w:val="both"/>
        <w:rPr>
          <w:rFonts w:ascii="Times New Roman" w:hAnsi="Times New Roman"/>
          <w:sz w:val="24"/>
          <w:szCs w:val="24"/>
        </w:rPr>
      </w:pPr>
      <w:r>
        <w:rPr>
          <w:rFonts w:ascii="Times New Roman" w:hAnsi="Times New Roman"/>
          <w:sz w:val="24"/>
          <w:szCs w:val="24"/>
        </w:rPr>
        <w:tab/>
        <w:t xml:space="preserve">While it is true that the fault in </w:t>
      </w:r>
      <w:proofErr w:type="spellStart"/>
      <w:r w:rsidRPr="000A1CCD">
        <w:rPr>
          <w:rFonts w:ascii="Times New Roman" w:hAnsi="Times New Roman"/>
          <w:i/>
          <w:sz w:val="24"/>
          <w:szCs w:val="24"/>
        </w:rPr>
        <w:t>casu</w:t>
      </w:r>
      <w:proofErr w:type="spellEnd"/>
      <w:r>
        <w:rPr>
          <w:rFonts w:ascii="Times New Roman" w:hAnsi="Times New Roman"/>
          <w:sz w:val="24"/>
          <w:szCs w:val="24"/>
        </w:rPr>
        <w:t xml:space="preserve"> is that of applicant’s former legal practitioners who dismally failed to take reasonable and appropriate action to protect applicant’s interests</w:t>
      </w:r>
      <w:proofErr w:type="gramStart"/>
      <w:r w:rsidR="00687A9A">
        <w:rPr>
          <w:rFonts w:ascii="Times New Roman" w:hAnsi="Times New Roman"/>
          <w:sz w:val="24"/>
          <w:szCs w:val="24"/>
        </w:rPr>
        <w:t>,</w:t>
      </w:r>
      <w:r>
        <w:rPr>
          <w:rFonts w:ascii="Times New Roman" w:hAnsi="Times New Roman"/>
          <w:sz w:val="24"/>
          <w:szCs w:val="24"/>
        </w:rPr>
        <w:t xml:space="preserve">  </w:t>
      </w:r>
      <w:r w:rsidR="00687A9A">
        <w:rPr>
          <w:rFonts w:ascii="Times New Roman" w:hAnsi="Times New Roman"/>
          <w:sz w:val="24"/>
          <w:szCs w:val="24"/>
        </w:rPr>
        <w:t>t</w:t>
      </w:r>
      <w:r>
        <w:rPr>
          <w:rFonts w:ascii="Times New Roman" w:hAnsi="Times New Roman"/>
          <w:sz w:val="24"/>
          <w:szCs w:val="24"/>
        </w:rPr>
        <w:t>he</w:t>
      </w:r>
      <w:proofErr w:type="gramEnd"/>
      <w:r>
        <w:rPr>
          <w:rFonts w:ascii="Times New Roman" w:hAnsi="Times New Roman"/>
          <w:sz w:val="24"/>
          <w:szCs w:val="24"/>
        </w:rPr>
        <w:t xml:space="preserve"> question is, does that assist the applicant.  In </w:t>
      </w:r>
      <w:r w:rsidRPr="000A1CCD">
        <w:rPr>
          <w:rFonts w:ascii="Times New Roman" w:hAnsi="Times New Roman"/>
          <w:i/>
          <w:sz w:val="24"/>
          <w:szCs w:val="24"/>
        </w:rPr>
        <w:t xml:space="preserve">S </w:t>
      </w:r>
      <w:r>
        <w:rPr>
          <w:rFonts w:ascii="Times New Roman" w:hAnsi="Times New Roman"/>
          <w:sz w:val="24"/>
          <w:szCs w:val="24"/>
        </w:rPr>
        <w:t xml:space="preserve">v </w:t>
      </w:r>
      <w:proofErr w:type="spellStart"/>
      <w:r w:rsidRPr="000A1CCD">
        <w:rPr>
          <w:rFonts w:ascii="Times New Roman" w:hAnsi="Times New Roman"/>
          <w:i/>
          <w:sz w:val="24"/>
          <w:szCs w:val="24"/>
        </w:rPr>
        <w:t>McNab</w:t>
      </w:r>
      <w:proofErr w:type="spellEnd"/>
      <w:r w:rsidRPr="000A1CCD">
        <w:rPr>
          <w:rFonts w:ascii="Times New Roman" w:hAnsi="Times New Roman"/>
          <w:i/>
          <w:sz w:val="24"/>
          <w:szCs w:val="24"/>
        </w:rPr>
        <w:t xml:space="preserve"> </w:t>
      </w:r>
      <w:r>
        <w:rPr>
          <w:rFonts w:ascii="Times New Roman" w:hAnsi="Times New Roman"/>
          <w:sz w:val="24"/>
          <w:szCs w:val="24"/>
        </w:rPr>
        <w:t>1986 (2) ZLR 280 (S), DUMBUTSHENA C</w:t>
      </w:r>
      <w:r w:rsidR="00577465">
        <w:rPr>
          <w:rFonts w:ascii="Times New Roman" w:hAnsi="Times New Roman"/>
          <w:sz w:val="24"/>
          <w:szCs w:val="24"/>
        </w:rPr>
        <w:t xml:space="preserve">J considered whether a party should be punished for the negligence of his legal </w:t>
      </w:r>
      <w:proofErr w:type="spellStart"/>
      <w:r w:rsidR="00577465">
        <w:rPr>
          <w:rFonts w:ascii="Times New Roman" w:hAnsi="Times New Roman"/>
          <w:sz w:val="24"/>
          <w:szCs w:val="24"/>
        </w:rPr>
        <w:t>practititioner</w:t>
      </w:r>
      <w:proofErr w:type="spellEnd"/>
      <w:r w:rsidR="00577465">
        <w:rPr>
          <w:rFonts w:ascii="Times New Roman" w:hAnsi="Times New Roman"/>
          <w:sz w:val="24"/>
          <w:szCs w:val="24"/>
        </w:rPr>
        <w:t xml:space="preserve"> and had this to say at 284 A-E.</w:t>
      </w:r>
    </w:p>
    <w:p w:rsidR="000A1CCD" w:rsidRDefault="00687A9A" w:rsidP="00863A2C">
      <w:pPr>
        <w:spacing w:after="0" w:line="360" w:lineRule="auto"/>
        <w:ind w:firstLine="720"/>
        <w:jc w:val="both"/>
        <w:rPr>
          <w:rFonts w:ascii="Times New Roman" w:hAnsi="Times New Roman"/>
          <w:sz w:val="24"/>
          <w:szCs w:val="24"/>
        </w:rPr>
      </w:pPr>
      <w:r>
        <w:rPr>
          <w:rFonts w:ascii="Times New Roman" w:hAnsi="Times New Roman"/>
          <w:sz w:val="24"/>
          <w:szCs w:val="24"/>
        </w:rPr>
        <w:t>“</w:t>
      </w:r>
      <w:r w:rsidR="00E07BB9">
        <w:rPr>
          <w:rFonts w:ascii="Times New Roman" w:hAnsi="Times New Roman"/>
          <w:sz w:val="24"/>
          <w:szCs w:val="24"/>
        </w:rPr>
        <w:t xml:space="preserve">In my view </w:t>
      </w:r>
      <w:r w:rsidR="007575C0">
        <w:rPr>
          <w:rFonts w:ascii="Times New Roman" w:hAnsi="Times New Roman"/>
          <w:sz w:val="24"/>
          <w:szCs w:val="24"/>
        </w:rPr>
        <w:t xml:space="preserve">clients should in such cases suffer for the negligence of their legal practitioners.  I share the view expressed by STEYN CJ in </w:t>
      </w:r>
      <w:proofErr w:type="spellStart"/>
      <w:r w:rsidR="007575C0" w:rsidRPr="007575C0">
        <w:rPr>
          <w:rFonts w:ascii="Times New Roman" w:hAnsi="Times New Roman"/>
          <w:i/>
          <w:sz w:val="24"/>
          <w:szCs w:val="24"/>
        </w:rPr>
        <w:t>Saloojee</w:t>
      </w:r>
      <w:proofErr w:type="spellEnd"/>
      <w:r w:rsidR="007575C0" w:rsidRPr="007575C0">
        <w:rPr>
          <w:rFonts w:ascii="Times New Roman" w:hAnsi="Times New Roman"/>
          <w:i/>
          <w:sz w:val="24"/>
          <w:szCs w:val="24"/>
        </w:rPr>
        <w:t xml:space="preserve"> &amp; </w:t>
      </w:r>
      <w:proofErr w:type="spellStart"/>
      <w:r w:rsidR="007575C0" w:rsidRPr="007575C0">
        <w:rPr>
          <w:rFonts w:ascii="Times New Roman" w:hAnsi="Times New Roman"/>
          <w:i/>
          <w:sz w:val="24"/>
          <w:szCs w:val="24"/>
        </w:rPr>
        <w:t>Anor</w:t>
      </w:r>
      <w:proofErr w:type="spellEnd"/>
      <w:r w:rsidR="007575C0" w:rsidRPr="007575C0">
        <w:rPr>
          <w:rFonts w:ascii="Times New Roman" w:hAnsi="Times New Roman"/>
          <w:i/>
          <w:sz w:val="24"/>
          <w:szCs w:val="24"/>
        </w:rPr>
        <w:t xml:space="preserve"> NNO</w:t>
      </w:r>
      <w:r w:rsidR="007575C0">
        <w:rPr>
          <w:rFonts w:ascii="Times New Roman" w:hAnsi="Times New Roman"/>
          <w:sz w:val="24"/>
          <w:szCs w:val="24"/>
        </w:rPr>
        <w:t xml:space="preserve"> v </w:t>
      </w:r>
      <w:r w:rsidR="007575C0" w:rsidRPr="007575C0">
        <w:rPr>
          <w:rFonts w:ascii="Times New Roman" w:hAnsi="Times New Roman"/>
          <w:i/>
          <w:sz w:val="24"/>
          <w:szCs w:val="24"/>
        </w:rPr>
        <w:t>Minister of Community</w:t>
      </w:r>
      <w:r w:rsidR="007575C0">
        <w:rPr>
          <w:rFonts w:ascii="Times New Roman" w:hAnsi="Times New Roman"/>
          <w:sz w:val="24"/>
          <w:szCs w:val="24"/>
        </w:rPr>
        <w:t xml:space="preserve"> </w:t>
      </w:r>
      <w:r w:rsidR="007575C0" w:rsidRPr="007575C0">
        <w:rPr>
          <w:rFonts w:ascii="Times New Roman" w:hAnsi="Times New Roman"/>
          <w:i/>
          <w:sz w:val="24"/>
          <w:szCs w:val="24"/>
        </w:rPr>
        <w:t>Development Supra</w:t>
      </w:r>
      <w:r w:rsidR="007575C0">
        <w:rPr>
          <w:rFonts w:ascii="Times New Roman" w:hAnsi="Times New Roman"/>
          <w:sz w:val="24"/>
          <w:szCs w:val="24"/>
        </w:rPr>
        <w:t xml:space="preserve"> at 141 C when he said:</w:t>
      </w:r>
      <w:r w:rsidR="000A1CCD">
        <w:rPr>
          <w:rFonts w:ascii="Times New Roman" w:hAnsi="Times New Roman"/>
          <w:sz w:val="24"/>
          <w:szCs w:val="24"/>
        </w:rPr>
        <w:t xml:space="preserve">  </w:t>
      </w:r>
    </w:p>
    <w:p w:rsidR="00F61F6C" w:rsidRDefault="007575C0"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“There is a limit beyond which a litigant </w:t>
      </w:r>
      <w:proofErr w:type="spellStart"/>
      <w:r>
        <w:rPr>
          <w:rFonts w:ascii="Times New Roman" w:hAnsi="Times New Roman"/>
          <w:sz w:val="24"/>
          <w:szCs w:val="24"/>
        </w:rPr>
        <w:t>can not</w:t>
      </w:r>
      <w:proofErr w:type="spellEnd"/>
      <w:r>
        <w:rPr>
          <w:rFonts w:ascii="Times New Roman" w:hAnsi="Times New Roman"/>
          <w:sz w:val="24"/>
          <w:szCs w:val="24"/>
        </w:rPr>
        <w:t xml:space="preserve"> escape the result of his attorney’s lack of diligence or the insufficiency of the explanation tendered.  To held otherwise, might have a disastrous effect upon the observance of the rules of this court, considerations ad </w:t>
      </w:r>
      <w:proofErr w:type="spellStart"/>
      <w:r>
        <w:rPr>
          <w:rFonts w:ascii="Times New Roman" w:hAnsi="Times New Roman"/>
          <w:sz w:val="24"/>
          <w:szCs w:val="24"/>
        </w:rPr>
        <w:t>misericordiam</w:t>
      </w:r>
      <w:proofErr w:type="spellEnd"/>
      <w:r>
        <w:rPr>
          <w:rFonts w:ascii="Times New Roman" w:hAnsi="Times New Roman"/>
          <w:sz w:val="24"/>
          <w:szCs w:val="24"/>
        </w:rPr>
        <w:t xml:space="preserve"> should not be allowed to become an invitation to laxity.  In fact, this court has lately been burdened with an undue and increasing number of applications for </w:t>
      </w:r>
      <w:proofErr w:type="spellStart"/>
      <w:r>
        <w:rPr>
          <w:rFonts w:ascii="Times New Roman" w:hAnsi="Times New Roman"/>
          <w:sz w:val="24"/>
          <w:szCs w:val="24"/>
        </w:rPr>
        <w:t>condonation</w:t>
      </w:r>
      <w:proofErr w:type="spellEnd"/>
      <w:r>
        <w:rPr>
          <w:rFonts w:ascii="Times New Roman" w:hAnsi="Times New Roman"/>
          <w:sz w:val="24"/>
          <w:szCs w:val="24"/>
        </w:rPr>
        <w:t xml:space="preserve"> in which the failure to comply with the rules of this court was due to neglect on the part of the attorney.  The attorney, after all, is the representative whom the litigant has chosen for himself, and there is little reason why, in regard to </w:t>
      </w:r>
      <w:proofErr w:type="spellStart"/>
      <w:r>
        <w:rPr>
          <w:rFonts w:ascii="Times New Roman" w:hAnsi="Times New Roman"/>
          <w:sz w:val="24"/>
          <w:szCs w:val="24"/>
        </w:rPr>
        <w:t>condonation</w:t>
      </w:r>
      <w:proofErr w:type="spellEnd"/>
      <w:r>
        <w:rPr>
          <w:rFonts w:ascii="Times New Roman" w:hAnsi="Times New Roman"/>
          <w:sz w:val="24"/>
          <w:szCs w:val="24"/>
        </w:rPr>
        <w:t xml:space="preserve"> of a failure to comply</w:t>
      </w:r>
      <w:r w:rsidR="007F33CE">
        <w:rPr>
          <w:rFonts w:ascii="Times New Roman" w:hAnsi="Times New Roman"/>
          <w:sz w:val="24"/>
          <w:szCs w:val="24"/>
        </w:rPr>
        <w:t xml:space="preserve"> with a rule of court, the litigant should be absolved from the normal consequences of such a relationship, no matter what the circumstances of the failure are…… ‘I have dwelt at length on this point because it is my opinion that laxity on the party of the court in dealing with non-observance of the rules will encourage some legal practitioners to disregard the rules of court to the de</w:t>
      </w:r>
      <w:r w:rsidR="00441DF3">
        <w:rPr>
          <w:rFonts w:ascii="Times New Roman" w:hAnsi="Times New Roman"/>
          <w:sz w:val="24"/>
          <w:szCs w:val="24"/>
        </w:rPr>
        <w:t>triment of the good administration of justice.”</w:t>
      </w:r>
      <w:r>
        <w:rPr>
          <w:rFonts w:ascii="Times New Roman" w:hAnsi="Times New Roman"/>
          <w:sz w:val="24"/>
          <w:szCs w:val="24"/>
        </w:rPr>
        <w:t xml:space="preserve">   </w:t>
      </w:r>
    </w:p>
    <w:p w:rsidR="007575C0" w:rsidRDefault="007575C0"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FE11AB" w:rsidRDefault="00D11862" w:rsidP="00863A2C">
      <w:pPr>
        <w:spacing w:after="0" w:line="360" w:lineRule="auto"/>
        <w:jc w:val="both"/>
        <w:rPr>
          <w:rFonts w:ascii="Times New Roman" w:hAnsi="Times New Roman"/>
          <w:sz w:val="24"/>
          <w:szCs w:val="24"/>
        </w:rPr>
      </w:pPr>
      <w:r>
        <w:rPr>
          <w:rFonts w:ascii="Times New Roman" w:hAnsi="Times New Roman"/>
          <w:sz w:val="24"/>
          <w:szCs w:val="24"/>
        </w:rPr>
        <w:tab/>
        <w:t xml:space="preserve">It should be noted that in </w:t>
      </w:r>
      <w:proofErr w:type="spellStart"/>
      <w:r w:rsidRPr="00D11862">
        <w:rPr>
          <w:rFonts w:ascii="Times New Roman" w:hAnsi="Times New Roman"/>
          <w:i/>
          <w:sz w:val="24"/>
          <w:szCs w:val="24"/>
        </w:rPr>
        <w:t>casu</w:t>
      </w:r>
      <w:proofErr w:type="spellEnd"/>
      <w:r>
        <w:rPr>
          <w:rFonts w:ascii="Times New Roman" w:hAnsi="Times New Roman"/>
          <w:sz w:val="24"/>
          <w:szCs w:val="24"/>
        </w:rPr>
        <w:t xml:space="preserve">, the former legal practitioner declined to file a supporting affidavit explaining his failure to act diligently.  The question becomes whether the applicant has gone beyond the limit referred to by STEYN CJ above.  ‘I say so because there are cases where a legal practitioner or litigant can give a reasonable explanation for his failure to act.  In </w:t>
      </w:r>
      <w:proofErr w:type="spellStart"/>
      <w:r w:rsidRPr="00D11862">
        <w:rPr>
          <w:rFonts w:ascii="Times New Roman" w:hAnsi="Times New Roman"/>
          <w:i/>
          <w:sz w:val="24"/>
          <w:szCs w:val="24"/>
        </w:rPr>
        <w:t>casu</w:t>
      </w:r>
      <w:proofErr w:type="spellEnd"/>
      <w:r>
        <w:rPr>
          <w:rFonts w:ascii="Times New Roman" w:hAnsi="Times New Roman"/>
          <w:sz w:val="24"/>
          <w:szCs w:val="24"/>
        </w:rPr>
        <w:t>, the applicant’s explanation has been confirm</w:t>
      </w:r>
      <w:r w:rsidR="00687A9A">
        <w:rPr>
          <w:rFonts w:ascii="Times New Roman" w:hAnsi="Times New Roman"/>
          <w:sz w:val="24"/>
          <w:szCs w:val="24"/>
        </w:rPr>
        <w:t>ed</w:t>
      </w:r>
      <w:r>
        <w:rPr>
          <w:rFonts w:ascii="Times New Roman" w:hAnsi="Times New Roman"/>
          <w:sz w:val="24"/>
          <w:szCs w:val="24"/>
        </w:rPr>
        <w:t xml:space="preserve"> by the former legal </w:t>
      </w:r>
      <w:r>
        <w:rPr>
          <w:rFonts w:ascii="Times New Roman" w:hAnsi="Times New Roman"/>
          <w:sz w:val="24"/>
          <w:szCs w:val="24"/>
        </w:rPr>
        <w:lastRenderedPageBreak/>
        <w:t xml:space="preserve">practitioner’s reaction when asked to supply a supporting affidavit.  In my view even though the applicant’s explanation for its failure to act is reasonable, the law is settled that it </w:t>
      </w:r>
      <w:proofErr w:type="spellStart"/>
      <w:r>
        <w:rPr>
          <w:rFonts w:ascii="Times New Roman" w:hAnsi="Times New Roman"/>
          <w:sz w:val="24"/>
          <w:szCs w:val="24"/>
        </w:rPr>
        <w:t>can not</w:t>
      </w:r>
      <w:proofErr w:type="spellEnd"/>
      <w:r>
        <w:rPr>
          <w:rFonts w:ascii="Times New Roman" w:hAnsi="Times New Roman"/>
          <w:sz w:val="24"/>
          <w:szCs w:val="24"/>
        </w:rPr>
        <w:t xml:space="preserve"> escape the </w:t>
      </w:r>
      <w:r w:rsidR="008927A3">
        <w:rPr>
          <w:rFonts w:ascii="Times New Roman" w:hAnsi="Times New Roman"/>
          <w:sz w:val="24"/>
          <w:szCs w:val="24"/>
        </w:rPr>
        <w:t>consequences of the lack of diligence on the part of its former lawyers.</w:t>
      </w:r>
    </w:p>
    <w:p w:rsidR="00FE11AB" w:rsidRDefault="00FE11AB" w:rsidP="00863A2C">
      <w:pPr>
        <w:spacing w:after="0" w:line="360" w:lineRule="auto"/>
        <w:jc w:val="both"/>
        <w:rPr>
          <w:rFonts w:ascii="Times New Roman" w:hAnsi="Times New Roman"/>
          <w:sz w:val="24"/>
          <w:szCs w:val="24"/>
        </w:rPr>
      </w:pPr>
      <w:r>
        <w:rPr>
          <w:rFonts w:ascii="Times New Roman" w:hAnsi="Times New Roman"/>
          <w:sz w:val="24"/>
          <w:szCs w:val="24"/>
        </w:rPr>
        <w:tab/>
        <w:t xml:space="preserve">As regards applicant’s good faith, my view is that it is not acting in bad faith.  I say so for the simple reason that when applicant was made aware of what respondent referred to as an outstanding </w:t>
      </w:r>
      <w:proofErr w:type="gramStart"/>
      <w:r>
        <w:rPr>
          <w:rFonts w:ascii="Times New Roman" w:hAnsi="Times New Roman"/>
          <w:sz w:val="24"/>
          <w:szCs w:val="24"/>
        </w:rPr>
        <w:t>debt</w:t>
      </w:r>
      <w:r w:rsidR="00687A9A">
        <w:rPr>
          <w:rFonts w:ascii="Times New Roman" w:hAnsi="Times New Roman"/>
          <w:sz w:val="24"/>
          <w:szCs w:val="24"/>
        </w:rPr>
        <w:t>,</w:t>
      </w:r>
      <w:proofErr w:type="gramEnd"/>
      <w:r>
        <w:rPr>
          <w:rFonts w:ascii="Times New Roman" w:hAnsi="Times New Roman"/>
          <w:sz w:val="24"/>
          <w:szCs w:val="24"/>
        </w:rPr>
        <w:t xml:space="preserve"> it was honest enough to indicate that from its business dealings with respondent there was a real possibility that it owed respondent some money although the figures were not readily ascertainable</w:t>
      </w:r>
      <w:r w:rsidR="00687A9A">
        <w:rPr>
          <w:rFonts w:ascii="Times New Roman" w:hAnsi="Times New Roman"/>
          <w:sz w:val="24"/>
          <w:szCs w:val="24"/>
        </w:rPr>
        <w:t>.  T</w:t>
      </w:r>
      <w:r>
        <w:rPr>
          <w:rFonts w:ascii="Times New Roman" w:hAnsi="Times New Roman"/>
          <w:sz w:val="24"/>
          <w:szCs w:val="24"/>
        </w:rPr>
        <w:t>herefore, the purpose of the application is not to delay proceedings.</w:t>
      </w:r>
    </w:p>
    <w:p w:rsidR="00FE11AB" w:rsidRDefault="00FE11AB" w:rsidP="00863A2C">
      <w:pPr>
        <w:spacing w:after="0" w:line="360" w:lineRule="auto"/>
        <w:jc w:val="both"/>
        <w:rPr>
          <w:rFonts w:ascii="Times New Roman" w:hAnsi="Times New Roman"/>
          <w:sz w:val="24"/>
          <w:szCs w:val="24"/>
        </w:rPr>
      </w:pPr>
      <w:r>
        <w:rPr>
          <w:rFonts w:ascii="Times New Roman" w:hAnsi="Times New Roman"/>
          <w:sz w:val="24"/>
          <w:szCs w:val="24"/>
        </w:rPr>
        <w:tab/>
        <w:t xml:space="preserve">The last requirement </w:t>
      </w:r>
      <w:r w:rsidR="00687A9A">
        <w:rPr>
          <w:rFonts w:ascii="Times New Roman" w:hAnsi="Times New Roman"/>
          <w:sz w:val="24"/>
          <w:szCs w:val="24"/>
        </w:rPr>
        <w:t>namely</w:t>
      </w:r>
      <w:r>
        <w:rPr>
          <w:rFonts w:ascii="Times New Roman" w:hAnsi="Times New Roman"/>
          <w:sz w:val="24"/>
          <w:szCs w:val="24"/>
        </w:rPr>
        <w:t xml:space="preserve">, the </w:t>
      </w:r>
      <w:r w:rsidRPr="00FE11AB">
        <w:rPr>
          <w:rFonts w:ascii="Times New Roman" w:hAnsi="Times New Roman"/>
          <w:i/>
          <w:sz w:val="24"/>
          <w:szCs w:val="24"/>
        </w:rPr>
        <w:t>bona fides</w:t>
      </w:r>
      <w:r>
        <w:rPr>
          <w:rFonts w:ascii="Times New Roman" w:hAnsi="Times New Roman"/>
          <w:sz w:val="24"/>
          <w:szCs w:val="24"/>
        </w:rPr>
        <w:t xml:space="preserve"> of the applicant’s defence on the merits as well as its prospects of success can be assessed from the system used by the parties in calculating the debt.  In </w:t>
      </w:r>
      <w:proofErr w:type="spellStart"/>
      <w:r>
        <w:rPr>
          <w:rFonts w:ascii="Times New Roman" w:hAnsi="Times New Roman"/>
          <w:sz w:val="24"/>
          <w:szCs w:val="24"/>
        </w:rPr>
        <w:t>para</w:t>
      </w:r>
      <w:proofErr w:type="spellEnd"/>
      <w:r>
        <w:rPr>
          <w:rFonts w:ascii="Times New Roman" w:hAnsi="Times New Roman"/>
          <w:sz w:val="24"/>
          <w:szCs w:val="24"/>
        </w:rPr>
        <w:t>(s) 5.5 – 5.6 of applicant’s founding affidavit it is stated;</w:t>
      </w:r>
    </w:p>
    <w:p w:rsidR="00F76E7A" w:rsidRDefault="00F76E7A" w:rsidP="00863A2C">
      <w:pPr>
        <w:spacing w:after="0" w:line="360" w:lineRule="auto"/>
        <w:jc w:val="both"/>
        <w:rPr>
          <w:rFonts w:ascii="Times New Roman" w:hAnsi="Times New Roman"/>
          <w:sz w:val="24"/>
          <w:szCs w:val="24"/>
        </w:rPr>
      </w:pPr>
    </w:p>
    <w:p w:rsidR="00280D85" w:rsidRDefault="00FE11AB"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“5.5 the nature of the transactions between the parties was that the respondent would supply goods for resale in applicant’s shop.  The respondent would then invoice the applicant once the parties agree on the prices and those goods that are not agreed on would be returned to the respondent and those goods agreed would be paid immediately or even prior to invoicing.  See examples at Annexure </w:t>
      </w:r>
      <w:r w:rsidR="00280D85">
        <w:rPr>
          <w:rFonts w:ascii="Times New Roman" w:hAnsi="Times New Roman"/>
          <w:sz w:val="24"/>
          <w:szCs w:val="24"/>
        </w:rPr>
        <w:t>“J1 to J6.”</w:t>
      </w:r>
      <w:r>
        <w:rPr>
          <w:rFonts w:ascii="Times New Roman" w:hAnsi="Times New Roman"/>
          <w:sz w:val="24"/>
          <w:szCs w:val="24"/>
        </w:rPr>
        <w:t xml:space="preserve">  </w:t>
      </w:r>
    </w:p>
    <w:p w:rsidR="00D57C27" w:rsidRDefault="00D57C27" w:rsidP="00863A2C">
      <w:pPr>
        <w:spacing w:after="0" w:line="240" w:lineRule="auto"/>
        <w:ind w:left="720"/>
        <w:jc w:val="both"/>
        <w:rPr>
          <w:rFonts w:ascii="Times New Roman" w:hAnsi="Times New Roman"/>
          <w:sz w:val="24"/>
          <w:szCs w:val="24"/>
        </w:rPr>
      </w:pPr>
    </w:p>
    <w:p w:rsidR="00A07F01" w:rsidRDefault="00280D85"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5.6 The applicant is not aware </w:t>
      </w:r>
      <w:r w:rsidR="00687A9A">
        <w:rPr>
          <w:rFonts w:ascii="Times New Roman" w:hAnsi="Times New Roman"/>
          <w:sz w:val="24"/>
          <w:szCs w:val="24"/>
        </w:rPr>
        <w:t>o</w:t>
      </w:r>
      <w:r>
        <w:rPr>
          <w:rFonts w:ascii="Times New Roman" w:hAnsi="Times New Roman"/>
          <w:sz w:val="24"/>
          <w:szCs w:val="24"/>
        </w:rPr>
        <w:t>f any outstanding invoices</w:t>
      </w:r>
      <w:r w:rsidR="00FE11AB">
        <w:rPr>
          <w:rFonts w:ascii="Times New Roman" w:hAnsi="Times New Roman"/>
          <w:sz w:val="24"/>
          <w:szCs w:val="24"/>
        </w:rPr>
        <w:t xml:space="preserve"> </w:t>
      </w:r>
      <w:r w:rsidR="00A07F01">
        <w:rPr>
          <w:rFonts w:ascii="Times New Roman" w:hAnsi="Times New Roman"/>
          <w:sz w:val="24"/>
          <w:szCs w:val="24"/>
        </w:rPr>
        <w:t xml:space="preserve">and certainly not any goods received notes.  The respondent issued summons in Case No. HC 8728/11 </w:t>
      </w:r>
      <w:r w:rsidR="00A07F01" w:rsidRPr="00A07F01">
        <w:rPr>
          <w:rFonts w:ascii="Times New Roman" w:hAnsi="Times New Roman"/>
          <w:sz w:val="24"/>
          <w:szCs w:val="24"/>
          <w:u w:val="single"/>
        </w:rPr>
        <w:t>claiming the amount on the basis of the goods received notes which applicant has no knowledge of</w:t>
      </w:r>
      <w:r w:rsidR="00A07F01" w:rsidRPr="00A07F01">
        <w:rPr>
          <w:rFonts w:ascii="Times New Roman" w:hAnsi="Times New Roman"/>
          <w:sz w:val="24"/>
          <w:szCs w:val="24"/>
        </w:rPr>
        <w:t xml:space="preserve">. </w:t>
      </w:r>
      <w:r w:rsidR="00FE11AB" w:rsidRPr="00A07F01">
        <w:rPr>
          <w:rFonts w:ascii="Times New Roman" w:hAnsi="Times New Roman"/>
          <w:sz w:val="24"/>
          <w:szCs w:val="24"/>
        </w:rPr>
        <w:t xml:space="preserve"> </w:t>
      </w:r>
      <w:r w:rsidR="00A07F01" w:rsidRPr="00A07F01">
        <w:rPr>
          <w:rFonts w:ascii="Times New Roman" w:hAnsi="Times New Roman"/>
          <w:sz w:val="24"/>
          <w:szCs w:val="24"/>
        </w:rPr>
        <w:t>In the chamber application</w:t>
      </w:r>
      <w:r w:rsidR="00FE11AB" w:rsidRPr="00A07F01">
        <w:rPr>
          <w:rFonts w:ascii="Times New Roman" w:hAnsi="Times New Roman"/>
          <w:sz w:val="24"/>
          <w:szCs w:val="24"/>
        </w:rPr>
        <w:t xml:space="preserve"> </w:t>
      </w:r>
      <w:r w:rsidR="00A07F01" w:rsidRPr="00A07F01">
        <w:rPr>
          <w:rFonts w:ascii="Times New Roman" w:hAnsi="Times New Roman"/>
          <w:sz w:val="24"/>
          <w:szCs w:val="24"/>
        </w:rPr>
        <w:t>made</w:t>
      </w:r>
      <w:r w:rsidR="00A07F01">
        <w:rPr>
          <w:rFonts w:ascii="Times New Roman" w:hAnsi="Times New Roman"/>
          <w:sz w:val="24"/>
          <w:szCs w:val="24"/>
        </w:rPr>
        <w:t xml:space="preserve"> by the respondent seeking default judgment the respondent annexed certain invoices marked </w:t>
      </w:r>
      <w:proofErr w:type="spellStart"/>
      <w:r w:rsidR="00A07F01">
        <w:rPr>
          <w:rFonts w:ascii="Times New Roman" w:hAnsi="Times New Roman"/>
          <w:sz w:val="24"/>
          <w:szCs w:val="24"/>
        </w:rPr>
        <w:t>p</w:t>
      </w:r>
      <w:r w:rsidR="00F76E7A">
        <w:rPr>
          <w:rFonts w:ascii="Times New Roman" w:hAnsi="Times New Roman"/>
          <w:sz w:val="24"/>
          <w:szCs w:val="24"/>
        </w:rPr>
        <w:t>p</w:t>
      </w:r>
      <w:proofErr w:type="spellEnd"/>
      <w:r w:rsidR="00A07F01">
        <w:rPr>
          <w:rFonts w:ascii="Times New Roman" w:hAnsi="Times New Roman"/>
          <w:sz w:val="24"/>
          <w:szCs w:val="24"/>
        </w:rPr>
        <w:t xml:space="preserve"> 8 – 13 of the chamber application in support of the claim.  </w:t>
      </w:r>
      <w:r w:rsidR="00A07F01" w:rsidRPr="00687A9A">
        <w:rPr>
          <w:rFonts w:ascii="Times New Roman" w:hAnsi="Times New Roman"/>
          <w:sz w:val="24"/>
          <w:szCs w:val="24"/>
          <w:u w:val="single"/>
        </w:rPr>
        <w:t>All the invoices annexed according to the applicant’s records, were paid in full in the normal course of doing business between the parties, as shown at Annexures “K1” to “K2”.</w:t>
      </w:r>
      <w:r w:rsidR="00A07F01">
        <w:rPr>
          <w:rFonts w:ascii="Times New Roman" w:hAnsi="Times New Roman"/>
          <w:sz w:val="24"/>
          <w:szCs w:val="24"/>
        </w:rPr>
        <w:t xml:space="preserve">  (</w:t>
      </w:r>
      <w:proofErr w:type="gramStart"/>
      <w:r w:rsidR="00A07F01">
        <w:rPr>
          <w:rFonts w:ascii="Times New Roman" w:hAnsi="Times New Roman"/>
          <w:sz w:val="24"/>
          <w:szCs w:val="24"/>
        </w:rPr>
        <w:t>my</w:t>
      </w:r>
      <w:proofErr w:type="gramEnd"/>
      <w:r w:rsidR="00A07F01">
        <w:rPr>
          <w:rFonts w:ascii="Times New Roman" w:hAnsi="Times New Roman"/>
          <w:sz w:val="24"/>
          <w:szCs w:val="24"/>
        </w:rPr>
        <w:t xml:space="preserve"> emphasis)</w:t>
      </w:r>
    </w:p>
    <w:p w:rsidR="00A07F01" w:rsidRDefault="00A07F01" w:rsidP="00863A2C">
      <w:pPr>
        <w:spacing w:after="0" w:line="360" w:lineRule="auto"/>
        <w:ind w:left="720"/>
        <w:jc w:val="both"/>
        <w:rPr>
          <w:rFonts w:ascii="Times New Roman" w:hAnsi="Times New Roman"/>
          <w:sz w:val="24"/>
          <w:szCs w:val="24"/>
        </w:rPr>
      </w:pPr>
    </w:p>
    <w:p w:rsidR="008E2B9C" w:rsidRDefault="00A07F01" w:rsidP="00863A2C">
      <w:pPr>
        <w:spacing w:after="0" w:line="360" w:lineRule="auto"/>
        <w:ind w:left="720"/>
        <w:jc w:val="both"/>
        <w:rPr>
          <w:rFonts w:ascii="Times New Roman" w:hAnsi="Times New Roman"/>
          <w:sz w:val="24"/>
          <w:szCs w:val="24"/>
        </w:rPr>
      </w:pPr>
      <w:r>
        <w:rPr>
          <w:rFonts w:ascii="Times New Roman" w:hAnsi="Times New Roman"/>
          <w:sz w:val="24"/>
          <w:szCs w:val="24"/>
        </w:rPr>
        <w:t xml:space="preserve">In dealing with this point, respondent submitted </w:t>
      </w:r>
      <w:r w:rsidR="008E2B9C">
        <w:rPr>
          <w:rFonts w:ascii="Times New Roman" w:hAnsi="Times New Roman"/>
          <w:sz w:val="24"/>
          <w:szCs w:val="24"/>
        </w:rPr>
        <w:t>as follows;</w:t>
      </w:r>
    </w:p>
    <w:p w:rsidR="008E2B9C" w:rsidRDefault="008E2B9C" w:rsidP="00863A2C">
      <w:pPr>
        <w:spacing w:after="0" w:line="240" w:lineRule="auto"/>
        <w:ind w:left="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ix</w:t>
      </w:r>
      <w:proofErr w:type="gramEnd"/>
      <w:r>
        <w:rPr>
          <w:rFonts w:ascii="Times New Roman" w:hAnsi="Times New Roman"/>
          <w:sz w:val="24"/>
          <w:szCs w:val="24"/>
        </w:rPr>
        <w:t xml:space="preserve">) It is pertinent to note that no serious attempt has been made by the applicant to </w:t>
      </w:r>
    </w:p>
    <w:p w:rsidR="008E2B9C" w:rsidRDefault="008E2B9C" w:rsidP="00863A2C">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dispute</w:t>
      </w:r>
      <w:proofErr w:type="gramEnd"/>
      <w:r>
        <w:rPr>
          <w:rFonts w:ascii="Times New Roman" w:hAnsi="Times New Roman"/>
          <w:sz w:val="24"/>
          <w:szCs w:val="24"/>
        </w:rPr>
        <w:t xml:space="preserve"> the figures shown but what it does is to attack the manner in which some annexures are presented.  </w:t>
      </w:r>
      <w:proofErr w:type="gramStart"/>
      <w:r>
        <w:rPr>
          <w:rFonts w:ascii="Times New Roman" w:hAnsi="Times New Roman"/>
          <w:sz w:val="24"/>
          <w:szCs w:val="24"/>
        </w:rPr>
        <w:t>Applicant,</w:t>
      </w:r>
      <w:proofErr w:type="gramEnd"/>
      <w:r>
        <w:rPr>
          <w:rFonts w:ascii="Times New Roman" w:hAnsi="Times New Roman"/>
          <w:sz w:val="24"/>
          <w:szCs w:val="24"/>
        </w:rPr>
        <w:t xml:space="preserve"> however does not want to comment on Annexure “OE” which is a clear summary on one page of the number of metres supplied, value </w:t>
      </w:r>
      <w:proofErr w:type="spellStart"/>
      <w:r>
        <w:rPr>
          <w:rFonts w:ascii="Times New Roman" w:hAnsi="Times New Roman"/>
          <w:sz w:val="24"/>
          <w:szCs w:val="24"/>
        </w:rPr>
        <w:t>there of</w:t>
      </w:r>
      <w:proofErr w:type="spellEnd"/>
      <w:r>
        <w:rPr>
          <w:rFonts w:ascii="Times New Roman" w:hAnsi="Times New Roman"/>
          <w:sz w:val="24"/>
          <w:szCs w:val="24"/>
        </w:rPr>
        <w:t xml:space="preserve"> and amounts paid as well as shortfall……  </w:t>
      </w:r>
    </w:p>
    <w:p w:rsidR="00F61F6C" w:rsidRDefault="00DC3C6B" w:rsidP="00DC3C6B">
      <w:pPr>
        <w:spacing w:after="0" w:line="240" w:lineRule="auto"/>
        <w:ind w:left="720"/>
        <w:jc w:val="both"/>
        <w:rPr>
          <w:rFonts w:ascii="Times New Roman" w:hAnsi="Times New Roman"/>
          <w:sz w:val="24"/>
          <w:szCs w:val="24"/>
        </w:rPr>
      </w:pPr>
      <w:r>
        <w:rPr>
          <w:rFonts w:ascii="Times New Roman" w:hAnsi="Times New Roman"/>
          <w:sz w:val="24"/>
          <w:szCs w:val="24"/>
        </w:rPr>
        <w:t>(x)...........</w:t>
      </w:r>
    </w:p>
    <w:p w:rsidR="00A43733" w:rsidRDefault="008E2B9C" w:rsidP="00DC3C6B">
      <w:pPr>
        <w:spacing w:after="0" w:line="240" w:lineRule="auto"/>
        <w:ind w:firstLine="720"/>
        <w:jc w:val="both"/>
        <w:rPr>
          <w:rFonts w:ascii="Times New Roman" w:hAnsi="Times New Roman"/>
          <w:sz w:val="24"/>
          <w:szCs w:val="24"/>
        </w:rPr>
      </w:pPr>
      <w:r>
        <w:rPr>
          <w:rFonts w:ascii="Times New Roman" w:hAnsi="Times New Roman"/>
          <w:sz w:val="24"/>
          <w:szCs w:val="24"/>
        </w:rPr>
        <w:t>(x</w:t>
      </w:r>
      <w:r w:rsidR="00DC3C6B">
        <w:rPr>
          <w:rFonts w:ascii="Times New Roman" w:hAnsi="Times New Roman"/>
          <w:sz w:val="24"/>
          <w:szCs w:val="24"/>
        </w:rPr>
        <w:t>i</w:t>
      </w:r>
      <w:r>
        <w:rPr>
          <w:rFonts w:ascii="Times New Roman" w:hAnsi="Times New Roman"/>
          <w:sz w:val="24"/>
          <w:szCs w:val="24"/>
        </w:rPr>
        <w:t>)</w:t>
      </w:r>
      <w:r w:rsidR="00C203F3">
        <w:rPr>
          <w:rFonts w:ascii="Times New Roman" w:hAnsi="Times New Roman"/>
          <w:sz w:val="24"/>
          <w:szCs w:val="24"/>
        </w:rPr>
        <w:t xml:space="preserve"> </w:t>
      </w:r>
      <w:r>
        <w:rPr>
          <w:rFonts w:ascii="Times New Roman" w:hAnsi="Times New Roman"/>
          <w:sz w:val="24"/>
          <w:szCs w:val="24"/>
        </w:rPr>
        <w:t xml:space="preserve">In short, after admitting that indeed parties had business transactions totalling </w:t>
      </w:r>
    </w:p>
    <w:p w:rsidR="00A43733" w:rsidRDefault="008E2B9C"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US$ 21059-49, </w:t>
      </w:r>
      <w:r w:rsidRPr="00DC3C6B">
        <w:rPr>
          <w:rFonts w:ascii="Times New Roman" w:hAnsi="Times New Roman"/>
          <w:sz w:val="24"/>
          <w:szCs w:val="24"/>
          <w:u w:val="single"/>
        </w:rPr>
        <w:t>how much is applicant saying it paid</w:t>
      </w:r>
      <w:r>
        <w:rPr>
          <w:rFonts w:ascii="Times New Roman" w:hAnsi="Times New Roman"/>
          <w:sz w:val="24"/>
          <w:szCs w:val="24"/>
        </w:rPr>
        <w:t xml:space="preserve">? </w:t>
      </w:r>
      <w:r w:rsidRPr="00DC3C6B">
        <w:rPr>
          <w:rFonts w:ascii="Times New Roman" w:hAnsi="Times New Roman"/>
          <w:sz w:val="24"/>
          <w:szCs w:val="24"/>
          <w:u w:val="single"/>
        </w:rPr>
        <w:t>This should determine its</w:t>
      </w:r>
      <w:r>
        <w:rPr>
          <w:rFonts w:ascii="Times New Roman" w:hAnsi="Times New Roman"/>
          <w:sz w:val="24"/>
          <w:szCs w:val="24"/>
        </w:rPr>
        <w:t xml:space="preserve"> </w:t>
      </w:r>
    </w:p>
    <w:p w:rsidR="008E2B9C" w:rsidRDefault="008E2B9C" w:rsidP="00863A2C">
      <w:pPr>
        <w:spacing w:after="0" w:line="240" w:lineRule="auto"/>
        <w:ind w:left="1440" w:hanging="660"/>
        <w:jc w:val="both"/>
        <w:rPr>
          <w:rFonts w:ascii="Times New Roman" w:hAnsi="Times New Roman"/>
          <w:sz w:val="24"/>
          <w:szCs w:val="24"/>
        </w:rPr>
      </w:pPr>
      <w:proofErr w:type="gramStart"/>
      <w:r w:rsidRPr="00DC3C6B">
        <w:rPr>
          <w:rFonts w:ascii="Times New Roman" w:hAnsi="Times New Roman"/>
          <w:sz w:val="24"/>
          <w:szCs w:val="24"/>
          <w:u w:val="single"/>
        </w:rPr>
        <w:t>prospects</w:t>
      </w:r>
      <w:proofErr w:type="gramEnd"/>
      <w:r w:rsidRPr="00DC3C6B">
        <w:rPr>
          <w:rFonts w:ascii="Times New Roman" w:hAnsi="Times New Roman"/>
          <w:sz w:val="24"/>
          <w:szCs w:val="24"/>
          <w:u w:val="single"/>
        </w:rPr>
        <w:t xml:space="preserve"> of success</w:t>
      </w:r>
      <w:r>
        <w:rPr>
          <w:rFonts w:ascii="Times New Roman" w:hAnsi="Times New Roman"/>
          <w:sz w:val="24"/>
          <w:szCs w:val="24"/>
        </w:rPr>
        <w:t>.  (</w:t>
      </w:r>
      <w:proofErr w:type="gramStart"/>
      <w:r>
        <w:rPr>
          <w:rFonts w:ascii="Times New Roman" w:hAnsi="Times New Roman"/>
          <w:sz w:val="24"/>
          <w:szCs w:val="24"/>
        </w:rPr>
        <w:t>my</w:t>
      </w:r>
      <w:proofErr w:type="gramEnd"/>
      <w:r>
        <w:rPr>
          <w:rFonts w:ascii="Times New Roman" w:hAnsi="Times New Roman"/>
          <w:sz w:val="24"/>
          <w:szCs w:val="24"/>
        </w:rPr>
        <w:t xml:space="preserve"> emphasis).</w:t>
      </w:r>
    </w:p>
    <w:p w:rsidR="00F61F6C" w:rsidRDefault="00F61F6C" w:rsidP="00863A2C">
      <w:pPr>
        <w:spacing w:after="0" w:line="240" w:lineRule="auto"/>
        <w:ind w:left="1440" w:hanging="660"/>
        <w:jc w:val="both"/>
        <w:rPr>
          <w:rFonts w:ascii="Times New Roman" w:hAnsi="Times New Roman"/>
          <w:sz w:val="24"/>
          <w:szCs w:val="24"/>
        </w:rPr>
      </w:pPr>
    </w:p>
    <w:p w:rsidR="00CE5C2E" w:rsidRDefault="008E2B9C" w:rsidP="00863A2C">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From the above, it is quite evident that the dispute is on the </w:t>
      </w:r>
      <w:r w:rsidR="00D52E6C">
        <w:rPr>
          <w:rFonts w:ascii="Times New Roman" w:hAnsi="Times New Roman"/>
          <w:sz w:val="24"/>
          <w:szCs w:val="24"/>
        </w:rPr>
        <w:t>exten</w:t>
      </w:r>
      <w:r w:rsidR="00DC3C6B">
        <w:rPr>
          <w:rFonts w:ascii="Times New Roman" w:hAnsi="Times New Roman"/>
          <w:sz w:val="24"/>
          <w:szCs w:val="24"/>
        </w:rPr>
        <w:t>t</w:t>
      </w:r>
      <w:r w:rsidR="00D52E6C">
        <w:rPr>
          <w:rFonts w:ascii="Times New Roman" w:hAnsi="Times New Roman"/>
          <w:sz w:val="24"/>
          <w:szCs w:val="24"/>
        </w:rPr>
        <w:t xml:space="preserve"> of applicant’s indebtedness if any.  Respondent has compiled Annexure “OE” on page 47 of the record.  This is a summary which is challenged by applicant.  The bas</w:t>
      </w:r>
      <w:r w:rsidR="00DC3C6B">
        <w:rPr>
          <w:rFonts w:ascii="Times New Roman" w:hAnsi="Times New Roman"/>
          <w:sz w:val="24"/>
          <w:szCs w:val="24"/>
        </w:rPr>
        <w:t>i</w:t>
      </w:r>
      <w:r w:rsidR="00D52E6C">
        <w:rPr>
          <w:rFonts w:ascii="Times New Roman" w:hAnsi="Times New Roman"/>
          <w:sz w:val="24"/>
          <w:szCs w:val="24"/>
        </w:rPr>
        <w:t xml:space="preserve">s of the challenge is that the invoices attached by the respondent to support its application which </w:t>
      </w:r>
      <w:r w:rsidR="00DC3C6B">
        <w:rPr>
          <w:rFonts w:ascii="Times New Roman" w:hAnsi="Times New Roman"/>
          <w:sz w:val="24"/>
          <w:szCs w:val="24"/>
        </w:rPr>
        <w:t>cul</w:t>
      </w:r>
      <w:r w:rsidR="00CE5C2E">
        <w:rPr>
          <w:rFonts w:ascii="Times New Roman" w:hAnsi="Times New Roman"/>
          <w:sz w:val="24"/>
          <w:szCs w:val="24"/>
        </w:rPr>
        <w:t xml:space="preserve">minated in a default judgment had been fully paid.  Respondent admits that the amount they are claiming has been arrived at through a process of reconciling delivery notes and goods received notes together with payment vouchers.  See </w:t>
      </w:r>
      <w:proofErr w:type="spellStart"/>
      <w:r w:rsidR="00CE5C2E">
        <w:rPr>
          <w:rFonts w:ascii="Times New Roman" w:hAnsi="Times New Roman"/>
          <w:sz w:val="24"/>
          <w:szCs w:val="24"/>
        </w:rPr>
        <w:t>para</w:t>
      </w:r>
      <w:proofErr w:type="spellEnd"/>
      <w:r w:rsidR="00CE5C2E">
        <w:rPr>
          <w:rFonts w:ascii="Times New Roman" w:hAnsi="Times New Roman"/>
          <w:sz w:val="24"/>
          <w:szCs w:val="24"/>
        </w:rPr>
        <w:t xml:space="preserve"> 17 of the </w:t>
      </w:r>
      <w:proofErr w:type="gramStart"/>
      <w:r w:rsidR="00CE5C2E">
        <w:rPr>
          <w:rFonts w:ascii="Times New Roman" w:hAnsi="Times New Roman"/>
          <w:sz w:val="24"/>
          <w:szCs w:val="24"/>
        </w:rPr>
        <w:t>respondent’s</w:t>
      </w:r>
      <w:proofErr w:type="gramEnd"/>
      <w:r w:rsidR="00CE5C2E">
        <w:rPr>
          <w:rFonts w:ascii="Times New Roman" w:hAnsi="Times New Roman"/>
          <w:sz w:val="24"/>
          <w:szCs w:val="24"/>
        </w:rPr>
        <w:t xml:space="preserve"> opposing affidavit wherein it is stated:</w:t>
      </w:r>
    </w:p>
    <w:p w:rsidR="00A43733"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“17 what would then happen </w:t>
      </w:r>
      <w:proofErr w:type="gramStart"/>
      <w:r>
        <w:rPr>
          <w:rFonts w:ascii="Times New Roman" w:hAnsi="Times New Roman"/>
          <w:sz w:val="24"/>
          <w:szCs w:val="24"/>
        </w:rPr>
        <w:t>is</w:t>
      </w:r>
      <w:proofErr w:type="gramEnd"/>
      <w:r>
        <w:rPr>
          <w:rFonts w:ascii="Times New Roman" w:hAnsi="Times New Roman"/>
          <w:sz w:val="24"/>
          <w:szCs w:val="24"/>
        </w:rPr>
        <w:t xml:space="preserve"> that after receiving goods, applicant would sell them. </w:t>
      </w:r>
    </w:p>
    <w:p w:rsidR="00A43733"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 After selling, applicant would provide details of the sales to respondent who would</w:t>
      </w:r>
    </w:p>
    <w:p w:rsidR="00A43733"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then</w:t>
      </w:r>
      <w:proofErr w:type="gramEnd"/>
      <w:r>
        <w:rPr>
          <w:rFonts w:ascii="Times New Roman" w:hAnsi="Times New Roman"/>
          <w:sz w:val="24"/>
          <w:szCs w:val="24"/>
        </w:rPr>
        <w:t xml:space="preserve"> prepare a tax invoice as attached to applicant’s application and respondent</w:t>
      </w:r>
    </w:p>
    <w:p w:rsidR="00A43733"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would</w:t>
      </w:r>
      <w:proofErr w:type="gramEnd"/>
      <w:r>
        <w:rPr>
          <w:rFonts w:ascii="Times New Roman" w:hAnsi="Times New Roman"/>
          <w:sz w:val="24"/>
          <w:szCs w:val="24"/>
        </w:rPr>
        <w:t xml:space="preserve"> receive such payment reflected on the invoice.  I would want to emphasise</w:t>
      </w:r>
    </w:p>
    <w:p w:rsidR="00A43733"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that</w:t>
      </w:r>
      <w:proofErr w:type="gramEnd"/>
      <w:r>
        <w:rPr>
          <w:rFonts w:ascii="Times New Roman" w:hAnsi="Times New Roman"/>
          <w:sz w:val="24"/>
          <w:szCs w:val="24"/>
        </w:rPr>
        <w:t xml:space="preserve"> the invoices were guided only by the information of sales as provided by</w:t>
      </w:r>
    </w:p>
    <w:p w:rsidR="00A43733" w:rsidRPr="00DC3C6B" w:rsidRDefault="00CE5C2E" w:rsidP="00863A2C">
      <w:pPr>
        <w:spacing w:after="0" w:line="240" w:lineRule="auto"/>
        <w:ind w:left="1440" w:hanging="660"/>
        <w:jc w:val="both"/>
        <w:rPr>
          <w:rFonts w:ascii="Times New Roman" w:hAnsi="Times New Roman"/>
          <w:sz w:val="24"/>
          <w:szCs w:val="24"/>
          <w:u w:val="single"/>
        </w:rPr>
      </w:pPr>
      <w:r>
        <w:rPr>
          <w:rFonts w:ascii="Times New Roman" w:hAnsi="Times New Roman"/>
          <w:sz w:val="24"/>
          <w:szCs w:val="24"/>
        </w:rPr>
        <w:t xml:space="preserve"> </w:t>
      </w:r>
      <w:proofErr w:type="gramStart"/>
      <w:r>
        <w:rPr>
          <w:rFonts w:ascii="Times New Roman" w:hAnsi="Times New Roman"/>
          <w:sz w:val="24"/>
          <w:szCs w:val="24"/>
        </w:rPr>
        <w:t>applicant</w:t>
      </w:r>
      <w:proofErr w:type="gramEnd"/>
      <w:r>
        <w:rPr>
          <w:rFonts w:ascii="Times New Roman" w:hAnsi="Times New Roman"/>
          <w:sz w:val="24"/>
          <w:szCs w:val="24"/>
        </w:rPr>
        <w:t>, not goods delivered.  Th</w:t>
      </w:r>
      <w:r w:rsidR="00DC3C6B">
        <w:rPr>
          <w:rFonts w:ascii="Times New Roman" w:hAnsi="Times New Roman"/>
          <w:sz w:val="24"/>
          <w:szCs w:val="24"/>
        </w:rPr>
        <w:t>u</w:t>
      </w:r>
      <w:r>
        <w:rPr>
          <w:rFonts w:ascii="Times New Roman" w:hAnsi="Times New Roman"/>
          <w:sz w:val="24"/>
          <w:szCs w:val="24"/>
        </w:rPr>
        <w:t xml:space="preserve">s, </w:t>
      </w:r>
      <w:r w:rsidRPr="00DC3C6B">
        <w:rPr>
          <w:rFonts w:ascii="Times New Roman" w:hAnsi="Times New Roman"/>
          <w:sz w:val="24"/>
          <w:szCs w:val="24"/>
          <w:u w:val="single"/>
        </w:rPr>
        <w:t xml:space="preserve">there was no invoice in respect of goods not </w:t>
      </w:r>
    </w:p>
    <w:p w:rsidR="00A43733" w:rsidRPr="00DC3C6B" w:rsidRDefault="00CE5C2E" w:rsidP="00863A2C">
      <w:pPr>
        <w:spacing w:after="0" w:line="240" w:lineRule="auto"/>
        <w:ind w:left="1440" w:hanging="660"/>
        <w:jc w:val="both"/>
        <w:rPr>
          <w:rFonts w:ascii="Times New Roman" w:hAnsi="Times New Roman"/>
          <w:sz w:val="24"/>
          <w:szCs w:val="24"/>
          <w:u w:val="single"/>
        </w:rPr>
      </w:pPr>
      <w:proofErr w:type="gramStart"/>
      <w:r w:rsidRPr="00DC3C6B">
        <w:rPr>
          <w:rFonts w:ascii="Times New Roman" w:hAnsi="Times New Roman"/>
          <w:sz w:val="24"/>
          <w:szCs w:val="24"/>
          <w:u w:val="single"/>
        </w:rPr>
        <w:t>yet</w:t>
      </w:r>
      <w:proofErr w:type="gramEnd"/>
      <w:r w:rsidRPr="00DC3C6B">
        <w:rPr>
          <w:rFonts w:ascii="Times New Roman" w:hAnsi="Times New Roman"/>
          <w:sz w:val="24"/>
          <w:szCs w:val="24"/>
          <w:u w:val="single"/>
        </w:rPr>
        <w:t xml:space="preserve"> sold whose only evidence remained the delivery notes and or the goods received </w:t>
      </w:r>
    </w:p>
    <w:p w:rsidR="00CE5C2E" w:rsidRDefault="00CE5C2E" w:rsidP="00863A2C">
      <w:pPr>
        <w:spacing w:after="0" w:line="240" w:lineRule="auto"/>
        <w:ind w:left="1440" w:hanging="660"/>
        <w:jc w:val="both"/>
        <w:rPr>
          <w:rFonts w:ascii="Times New Roman" w:hAnsi="Times New Roman"/>
          <w:sz w:val="24"/>
          <w:szCs w:val="24"/>
        </w:rPr>
      </w:pPr>
      <w:proofErr w:type="gramStart"/>
      <w:r w:rsidRPr="00DC3C6B">
        <w:rPr>
          <w:rFonts w:ascii="Times New Roman" w:hAnsi="Times New Roman"/>
          <w:sz w:val="24"/>
          <w:szCs w:val="24"/>
          <w:u w:val="single"/>
        </w:rPr>
        <w:t>notes</w:t>
      </w:r>
      <w:proofErr w:type="gramEnd"/>
      <w:r w:rsidRPr="00DC3C6B">
        <w:rPr>
          <w:rFonts w:ascii="Times New Roman" w:hAnsi="Times New Roman"/>
          <w:sz w:val="24"/>
          <w:szCs w:val="24"/>
          <w:u w:val="single"/>
        </w:rPr>
        <w:t>.”</w:t>
      </w:r>
      <w:r>
        <w:rPr>
          <w:rFonts w:ascii="Times New Roman" w:hAnsi="Times New Roman"/>
          <w:sz w:val="24"/>
          <w:szCs w:val="24"/>
        </w:rPr>
        <w:t>(</w:t>
      </w:r>
      <w:proofErr w:type="gramStart"/>
      <w:r>
        <w:rPr>
          <w:rFonts w:ascii="Times New Roman" w:hAnsi="Times New Roman"/>
          <w:sz w:val="24"/>
          <w:szCs w:val="24"/>
        </w:rPr>
        <w:t>my</w:t>
      </w:r>
      <w:proofErr w:type="gramEnd"/>
      <w:r>
        <w:rPr>
          <w:rFonts w:ascii="Times New Roman" w:hAnsi="Times New Roman"/>
          <w:sz w:val="24"/>
          <w:szCs w:val="24"/>
        </w:rPr>
        <w:t xml:space="preserve"> emphasis)  </w:t>
      </w:r>
      <w:r w:rsidR="00D52E6C">
        <w:rPr>
          <w:rFonts w:ascii="Times New Roman" w:hAnsi="Times New Roman"/>
          <w:sz w:val="24"/>
          <w:szCs w:val="24"/>
        </w:rPr>
        <w:t xml:space="preserve">  </w:t>
      </w:r>
    </w:p>
    <w:p w:rsidR="00CE5C2E" w:rsidRDefault="00CE5C2E" w:rsidP="00863A2C">
      <w:pPr>
        <w:spacing w:after="0" w:line="240" w:lineRule="auto"/>
        <w:ind w:left="1440" w:hanging="660"/>
        <w:jc w:val="both"/>
        <w:rPr>
          <w:rFonts w:ascii="Times New Roman" w:hAnsi="Times New Roman"/>
          <w:sz w:val="24"/>
          <w:szCs w:val="24"/>
        </w:rPr>
      </w:pPr>
    </w:p>
    <w:p w:rsidR="00CE5C2E" w:rsidRDefault="00CE5C2E" w:rsidP="00863A2C">
      <w:pPr>
        <w:spacing w:after="0" w:line="240" w:lineRule="auto"/>
        <w:ind w:left="1440" w:hanging="660"/>
        <w:jc w:val="both"/>
        <w:rPr>
          <w:rFonts w:ascii="Times New Roman" w:hAnsi="Times New Roman"/>
          <w:sz w:val="24"/>
          <w:szCs w:val="24"/>
        </w:rPr>
      </w:pPr>
      <w:r>
        <w:rPr>
          <w:rFonts w:ascii="Times New Roman" w:hAnsi="Times New Roman"/>
          <w:sz w:val="24"/>
          <w:szCs w:val="24"/>
        </w:rPr>
        <w:t xml:space="preserve">In the same affidavit in </w:t>
      </w:r>
      <w:proofErr w:type="spellStart"/>
      <w:r>
        <w:rPr>
          <w:rFonts w:ascii="Times New Roman" w:hAnsi="Times New Roman"/>
          <w:sz w:val="24"/>
          <w:szCs w:val="24"/>
        </w:rPr>
        <w:t>para</w:t>
      </w:r>
      <w:proofErr w:type="spellEnd"/>
      <w:r>
        <w:rPr>
          <w:rFonts w:ascii="Times New Roman" w:hAnsi="Times New Roman"/>
          <w:sz w:val="24"/>
          <w:szCs w:val="24"/>
        </w:rPr>
        <w:t xml:space="preserve"> 25 it is stated;</w:t>
      </w:r>
    </w:p>
    <w:p w:rsidR="00CE5C2E" w:rsidRDefault="00CE5C2E" w:rsidP="00863A2C">
      <w:pPr>
        <w:spacing w:after="0" w:line="240" w:lineRule="auto"/>
        <w:ind w:left="1440" w:hanging="660"/>
        <w:jc w:val="both"/>
        <w:rPr>
          <w:rFonts w:ascii="Times New Roman" w:hAnsi="Times New Roman"/>
          <w:sz w:val="24"/>
          <w:szCs w:val="24"/>
        </w:rPr>
      </w:pPr>
    </w:p>
    <w:p w:rsidR="00F61F6C" w:rsidRDefault="00CE5C2E" w:rsidP="00863A2C">
      <w:pPr>
        <w:spacing w:after="0" w:line="240" w:lineRule="auto"/>
        <w:ind w:left="720"/>
        <w:jc w:val="both"/>
        <w:rPr>
          <w:rFonts w:ascii="Times New Roman" w:hAnsi="Times New Roman"/>
          <w:sz w:val="24"/>
          <w:szCs w:val="24"/>
        </w:rPr>
      </w:pPr>
      <w:r>
        <w:rPr>
          <w:rFonts w:ascii="Times New Roman" w:hAnsi="Times New Roman"/>
          <w:sz w:val="24"/>
          <w:szCs w:val="24"/>
        </w:rPr>
        <w:t>“25 If it is accepted that the payment vouchers were</w:t>
      </w:r>
      <w:r w:rsidR="00C203F3">
        <w:rPr>
          <w:rFonts w:ascii="Times New Roman" w:hAnsi="Times New Roman"/>
          <w:sz w:val="24"/>
          <w:szCs w:val="24"/>
        </w:rPr>
        <w:t xml:space="preserve"> in respect of items that </w:t>
      </w:r>
      <w:proofErr w:type="gramStart"/>
      <w:r w:rsidR="00C203F3">
        <w:rPr>
          <w:rFonts w:ascii="Times New Roman" w:hAnsi="Times New Roman"/>
          <w:sz w:val="24"/>
          <w:szCs w:val="24"/>
        </w:rPr>
        <w:t xml:space="preserve">would  </w:t>
      </w:r>
      <w:r>
        <w:rPr>
          <w:rFonts w:ascii="Times New Roman" w:hAnsi="Times New Roman"/>
          <w:sz w:val="24"/>
          <w:szCs w:val="24"/>
        </w:rPr>
        <w:t>have</w:t>
      </w:r>
      <w:proofErr w:type="gramEnd"/>
      <w:r>
        <w:rPr>
          <w:rFonts w:ascii="Times New Roman" w:hAnsi="Times New Roman"/>
          <w:sz w:val="24"/>
          <w:szCs w:val="24"/>
        </w:rPr>
        <w:t xml:space="preserve"> been sold by applicant by then, </w:t>
      </w:r>
      <w:r w:rsidRPr="00C203F3">
        <w:rPr>
          <w:rFonts w:ascii="Times New Roman" w:hAnsi="Times New Roman"/>
          <w:sz w:val="24"/>
          <w:szCs w:val="24"/>
          <w:u w:val="single"/>
        </w:rPr>
        <w:t>in the absence of any claim to the effect that applicant exhausted all consignment stock in its custody on the day of the last payment or returned items that had not yet been sold by then, then it is an un escapable (</w:t>
      </w:r>
      <w:r w:rsidRPr="00C203F3">
        <w:rPr>
          <w:rFonts w:ascii="Times New Roman" w:hAnsi="Times New Roman"/>
          <w:i/>
          <w:sz w:val="24"/>
          <w:szCs w:val="24"/>
          <w:u w:val="single"/>
        </w:rPr>
        <w:t>sic</w:t>
      </w:r>
      <w:r w:rsidRPr="00C203F3">
        <w:rPr>
          <w:rFonts w:ascii="Times New Roman" w:hAnsi="Times New Roman"/>
          <w:sz w:val="24"/>
          <w:szCs w:val="24"/>
          <w:u w:val="single"/>
        </w:rPr>
        <w:t>) conclusion</w:t>
      </w:r>
      <w:r w:rsidR="00C203F3" w:rsidRPr="00C203F3">
        <w:rPr>
          <w:rFonts w:ascii="Times New Roman" w:hAnsi="Times New Roman"/>
          <w:sz w:val="24"/>
          <w:szCs w:val="24"/>
          <w:u w:val="single"/>
        </w:rPr>
        <w:t xml:space="preserve"> that there are some items that remained in stock.  It is in respect of those items that the respondent’s claim was based</w:t>
      </w:r>
      <w:r w:rsidR="00C203F3">
        <w:rPr>
          <w:rFonts w:ascii="Times New Roman" w:hAnsi="Times New Roman"/>
          <w:sz w:val="24"/>
          <w:szCs w:val="24"/>
        </w:rPr>
        <w:t>.”</w:t>
      </w:r>
      <w:r>
        <w:rPr>
          <w:rFonts w:ascii="Times New Roman" w:hAnsi="Times New Roman"/>
          <w:sz w:val="24"/>
          <w:szCs w:val="24"/>
        </w:rPr>
        <w:t xml:space="preserve">    </w:t>
      </w:r>
      <w:r w:rsidR="008E2B9C">
        <w:rPr>
          <w:rFonts w:ascii="Times New Roman" w:hAnsi="Times New Roman"/>
          <w:sz w:val="24"/>
          <w:szCs w:val="24"/>
        </w:rPr>
        <w:t xml:space="preserve">  </w:t>
      </w:r>
      <w:r w:rsidR="00A07F01">
        <w:rPr>
          <w:rFonts w:ascii="Times New Roman" w:hAnsi="Times New Roman"/>
          <w:sz w:val="24"/>
          <w:szCs w:val="24"/>
        </w:rPr>
        <w:t xml:space="preserve">  </w:t>
      </w:r>
    </w:p>
    <w:p w:rsidR="00285985" w:rsidRPr="00A07F01" w:rsidRDefault="00A07F01"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FE11AB" w:rsidRPr="00A07F01">
        <w:rPr>
          <w:rFonts w:ascii="Times New Roman" w:hAnsi="Times New Roman"/>
          <w:sz w:val="24"/>
          <w:szCs w:val="24"/>
        </w:rPr>
        <w:t xml:space="preserve">  </w:t>
      </w:r>
      <w:r w:rsidR="008927A3" w:rsidRPr="00A07F01">
        <w:rPr>
          <w:rFonts w:ascii="Times New Roman" w:hAnsi="Times New Roman"/>
          <w:sz w:val="24"/>
          <w:szCs w:val="24"/>
        </w:rPr>
        <w:t xml:space="preserve"> </w:t>
      </w:r>
      <w:r w:rsidR="00D11862" w:rsidRPr="00A07F01">
        <w:rPr>
          <w:rFonts w:ascii="Times New Roman" w:hAnsi="Times New Roman"/>
          <w:sz w:val="24"/>
          <w:szCs w:val="24"/>
        </w:rPr>
        <w:t xml:space="preserve">   </w:t>
      </w:r>
    </w:p>
    <w:p w:rsidR="007A0AD1" w:rsidRDefault="00C203F3" w:rsidP="00863A2C">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quite evident from these </w:t>
      </w:r>
      <w:proofErr w:type="spellStart"/>
      <w:r>
        <w:rPr>
          <w:rFonts w:ascii="Times New Roman" w:hAnsi="Times New Roman"/>
          <w:sz w:val="24"/>
          <w:szCs w:val="24"/>
        </w:rPr>
        <w:t>para</w:t>
      </w:r>
      <w:proofErr w:type="spellEnd"/>
      <w:r>
        <w:rPr>
          <w:rFonts w:ascii="Times New Roman" w:hAnsi="Times New Roman"/>
          <w:sz w:val="24"/>
          <w:szCs w:val="24"/>
        </w:rPr>
        <w:t xml:space="preserve">(s) that respondent’s claim is based on a number of assumptions.  </w:t>
      </w:r>
      <w:r w:rsidR="00DC3C6B">
        <w:rPr>
          <w:rFonts w:ascii="Times New Roman" w:hAnsi="Times New Roman"/>
          <w:sz w:val="24"/>
          <w:szCs w:val="24"/>
        </w:rPr>
        <w:t>F</w:t>
      </w:r>
      <w:r>
        <w:rPr>
          <w:rFonts w:ascii="Times New Roman" w:hAnsi="Times New Roman"/>
          <w:sz w:val="24"/>
          <w:szCs w:val="24"/>
        </w:rPr>
        <w:t xml:space="preserve">or this reason, a </w:t>
      </w:r>
      <w:r w:rsidR="00DC3C6B">
        <w:rPr>
          <w:rFonts w:ascii="Times New Roman" w:hAnsi="Times New Roman"/>
          <w:sz w:val="24"/>
          <w:szCs w:val="24"/>
        </w:rPr>
        <w:t>one</w:t>
      </w:r>
      <w:r>
        <w:rPr>
          <w:rFonts w:ascii="Times New Roman" w:hAnsi="Times New Roman"/>
          <w:sz w:val="24"/>
          <w:szCs w:val="24"/>
        </w:rPr>
        <w:t xml:space="preserve"> sided reconciliation or calculation of the debt arising from this rather complex system </w:t>
      </w:r>
      <w:proofErr w:type="spellStart"/>
      <w:r>
        <w:rPr>
          <w:rFonts w:ascii="Times New Roman" w:hAnsi="Times New Roman"/>
          <w:sz w:val="24"/>
          <w:szCs w:val="24"/>
        </w:rPr>
        <w:t>can not</w:t>
      </w:r>
      <w:proofErr w:type="spellEnd"/>
      <w:r>
        <w:rPr>
          <w:rFonts w:ascii="Times New Roman" w:hAnsi="Times New Roman"/>
          <w:sz w:val="24"/>
          <w:szCs w:val="24"/>
        </w:rPr>
        <w:t xml:space="preserve"> possibly reveal an accurate figure.  Herein </w:t>
      </w:r>
      <w:proofErr w:type="gramStart"/>
      <w:r>
        <w:rPr>
          <w:rFonts w:ascii="Times New Roman" w:hAnsi="Times New Roman"/>
          <w:sz w:val="24"/>
          <w:szCs w:val="24"/>
        </w:rPr>
        <w:t>lies</w:t>
      </w:r>
      <w:proofErr w:type="gramEnd"/>
      <w:r>
        <w:rPr>
          <w:rFonts w:ascii="Times New Roman" w:hAnsi="Times New Roman"/>
          <w:sz w:val="24"/>
          <w:szCs w:val="24"/>
        </w:rPr>
        <w:t xml:space="preserve"> the </w:t>
      </w:r>
      <w:r w:rsidRPr="00C203F3">
        <w:rPr>
          <w:rFonts w:ascii="Times New Roman" w:hAnsi="Times New Roman"/>
          <w:i/>
          <w:sz w:val="24"/>
          <w:szCs w:val="24"/>
        </w:rPr>
        <w:t>bona fides</w:t>
      </w:r>
      <w:r>
        <w:rPr>
          <w:rFonts w:ascii="Times New Roman" w:hAnsi="Times New Roman"/>
          <w:sz w:val="24"/>
          <w:szCs w:val="24"/>
        </w:rPr>
        <w:t xml:space="preserve"> of applicant’s defence on the merits as well as the prospects of success. </w:t>
      </w:r>
    </w:p>
    <w:p w:rsidR="007A0AD1" w:rsidRDefault="007A0AD1" w:rsidP="00863A2C">
      <w:pPr>
        <w:spacing w:after="0" w:line="360" w:lineRule="auto"/>
        <w:ind w:firstLine="720"/>
        <w:jc w:val="both"/>
        <w:rPr>
          <w:rFonts w:ascii="Times New Roman" w:hAnsi="Times New Roman"/>
          <w:sz w:val="24"/>
          <w:szCs w:val="24"/>
        </w:rPr>
      </w:pPr>
      <w:r>
        <w:rPr>
          <w:rFonts w:ascii="Times New Roman" w:hAnsi="Times New Roman"/>
          <w:sz w:val="24"/>
          <w:szCs w:val="24"/>
        </w:rPr>
        <w:t>In terms of Rule 63 (1) (2) of this court’s rules, a court may set aside a judgment given in default where there is good and sufficient cause to do so.  The rule states;</w:t>
      </w:r>
    </w:p>
    <w:p w:rsidR="007A0AD1" w:rsidRDefault="007A0AD1" w:rsidP="00863A2C">
      <w:pPr>
        <w:spacing w:after="0" w:line="240" w:lineRule="auto"/>
        <w:ind w:left="720"/>
        <w:jc w:val="both"/>
        <w:rPr>
          <w:rFonts w:ascii="Times New Roman" w:hAnsi="Times New Roman"/>
          <w:sz w:val="24"/>
          <w:szCs w:val="24"/>
        </w:rPr>
      </w:pPr>
    </w:p>
    <w:p w:rsidR="005458E1" w:rsidRDefault="007A0AD1"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“(1) A party against whom judgment has been given in default, whether under these rules or under any other law, may make a court application, not later than one month after he has had knowledge of the judgment, </w:t>
      </w:r>
      <w:r w:rsidR="005458E1">
        <w:rPr>
          <w:rFonts w:ascii="Times New Roman" w:hAnsi="Times New Roman"/>
          <w:sz w:val="24"/>
          <w:szCs w:val="24"/>
        </w:rPr>
        <w:t>for the judgment to be set aside.</w:t>
      </w:r>
    </w:p>
    <w:p w:rsidR="009F3EF2" w:rsidRDefault="005458E1" w:rsidP="00863A2C">
      <w:pPr>
        <w:spacing w:after="0" w:line="240" w:lineRule="auto"/>
        <w:ind w:left="720"/>
        <w:jc w:val="both"/>
        <w:rPr>
          <w:rFonts w:ascii="Times New Roman" w:hAnsi="Times New Roman"/>
          <w:sz w:val="24"/>
          <w:szCs w:val="24"/>
        </w:rPr>
      </w:pPr>
      <w:r>
        <w:rPr>
          <w:rFonts w:ascii="Times New Roman" w:hAnsi="Times New Roman"/>
          <w:sz w:val="24"/>
          <w:szCs w:val="24"/>
        </w:rPr>
        <w:t xml:space="preserve">(2) If the court is satisfied on an application in terms of </w:t>
      </w:r>
      <w:proofErr w:type="spellStart"/>
      <w:r>
        <w:rPr>
          <w:rFonts w:ascii="Times New Roman" w:hAnsi="Times New Roman"/>
          <w:sz w:val="24"/>
          <w:szCs w:val="24"/>
        </w:rPr>
        <w:t>subr</w:t>
      </w:r>
      <w:proofErr w:type="spellEnd"/>
      <w:r>
        <w:rPr>
          <w:rFonts w:ascii="Times New Roman" w:hAnsi="Times New Roman"/>
          <w:sz w:val="24"/>
          <w:szCs w:val="24"/>
        </w:rPr>
        <w:t xml:space="preserve"> (1) that there is good and sufficient cause to do so, the court may set aside the judgment concerned and give leave to the defendant to defend or to the plaintiff to</w:t>
      </w:r>
      <w:r w:rsidR="009F3EF2">
        <w:rPr>
          <w:rFonts w:ascii="Times New Roman" w:hAnsi="Times New Roman"/>
          <w:sz w:val="24"/>
          <w:szCs w:val="24"/>
        </w:rPr>
        <w:t xml:space="preserve"> prosecute his action, on such terms as to costs and otherwise as the court considers just.</w:t>
      </w:r>
      <w:r w:rsidR="00F61F6C">
        <w:rPr>
          <w:rFonts w:ascii="Times New Roman" w:hAnsi="Times New Roman"/>
          <w:sz w:val="24"/>
          <w:szCs w:val="24"/>
        </w:rPr>
        <w:t>”</w:t>
      </w:r>
    </w:p>
    <w:p w:rsidR="009F3EF2" w:rsidRDefault="009F3EF2" w:rsidP="00863A2C">
      <w:pPr>
        <w:spacing w:after="0" w:line="240" w:lineRule="auto"/>
        <w:ind w:left="720"/>
        <w:jc w:val="both"/>
        <w:rPr>
          <w:rFonts w:ascii="Times New Roman" w:hAnsi="Times New Roman"/>
          <w:sz w:val="24"/>
          <w:szCs w:val="24"/>
        </w:rPr>
      </w:pPr>
    </w:p>
    <w:p w:rsidR="009F3EF2" w:rsidRDefault="009F3EF2" w:rsidP="00863A2C">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For reasons set out in this judgment, I am satisfied that there is good and sufficient cause to set aside the default judgment.  In the result, it is ordered that:-</w:t>
      </w:r>
    </w:p>
    <w:p w:rsidR="009F3EF2" w:rsidRDefault="009F3EF2" w:rsidP="00863A2C">
      <w:pPr>
        <w:spacing w:after="0" w:line="360" w:lineRule="auto"/>
        <w:ind w:left="720"/>
        <w:jc w:val="both"/>
        <w:rPr>
          <w:rFonts w:ascii="Times New Roman" w:hAnsi="Times New Roman"/>
          <w:sz w:val="24"/>
          <w:szCs w:val="24"/>
        </w:rPr>
      </w:pPr>
    </w:p>
    <w:p w:rsidR="00683E96" w:rsidRDefault="009F3EF2" w:rsidP="00863A2C">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Default judgment </w:t>
      </w:r>
      <w:r w:rsidR="00683E96">
        <w:rPr>
          <w:rFonts w:ascii="Times New Roman" w:hAnsi="Times New Roman"/>
          <w:sz w:val="24"/>
          <w:szCs w:val="24"/>
        </w:rPr>
        <w:t xml:space="preserve">entered against the applicant in case </w:t>
      </w:r>
      <w:proofErr w:type="gramStart"/>
      <w:r w:rsidR="00683E96">
        <w:rPr>
          <w:rFonts w:ascii="Times New Roman" w:hAnsi="Times New Roman"/>
          <w:sz w:val="24"/>
          <w:szCs w:val="24"/>
        </w:rPr>
        <w:t>No</w:t>
      </w:r>
      <w:proofErr w:type="gramEnd"/>
      <w:r w:rsidR="00683E96">
        <w:rPr>
          <w:rFonts w:ascii="Times New Roman" w:hAnsi="Times New Roman"/>
          <w:sz w:val="24"/>
          <w:szCs w:val="24"/>
        </w:rPr>
        <w:t>. HC 8728/10 be and is hereby rescinded.</w:t>
      </w:r>
    </w:p>
    <w:p w:rsidR="00683E96" w:rsidRDefault="00683E96" w:rsidP="00863A2C">
      <w:pPr>
        <w:pStyle w:val="ListParagraph"/>
        <w:spacing w:after="0" w:line="360" w:lineRule="auto"/>
        <w:ind w:left="1080"/>
        <w:jc w:val="both"/>
        <w:rPr>
          <w:rFonts w:ascii="Times New Roman" w:hAnsi="Times New Roman"/>
          <w:sz w:val="24"/>
          <w:szCs w:val="24"/>
        </w:rPr>
      </w:pPr>
    </w:p>
    <w:p w:rsidR="00A80FA6" w:rsidRDefault="00683E96" w:rsidP="00863A2C">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Costs shall be in the cause</w:t>
      </w:r>
      <w:r w:rsidR="009F3EF2" w:rsidRPr="009F3EF2">
        <w:rPr>
          <w:rFonts w:ascii="Times New Roman" w:hAnsi="Times New Roman"/>
          <w:sz w:val="24"/>
          <w:szCs w:val="24"/>
        </w:rPr>
        <w:t xml:space="preserve"> </w:t>
      </w:r>
    </w:p>
    <w:p w:rsidR="00A80FA6" w:rsidRPr="00A80FA6" w:rsidRDefault="00A80FA6" w:rsidP="00A80FA6">
      <w:pPr>
        <w:pStyle w:val="ListParagraph"/>
        <w:rPr>
          <w:rFonts w:ascii="Times New Roman" w:hAnsi="Times New Roman"/>
          <w:sz w:val="24"/>
          <w:szCs w:val="24"/>
        </w:rPr>
      </w:pPr>
    </w:p>
    <w:p w:rsidR="0041520E" w:rsidRDefault="0041520E" w:rsidP="00A80FA6">
      <w:pPr>
        <w:spacing w:after="0" w:line="240" w:lineRule="auto"/>
        <w:jc w:val="both"/>
        <w:rPr>
          <w:rFonts w:ascii="Times New Roman" w:hAnsi="Times New Roman"/>
          <w:sz w:val="24"/>
          <w:szCs w:val="24"/>
        </w:rPr>
      </w:pPr>
    </w:p>
    <w:p w:rsidR="0041520E" w:rsidRDefault="0041520E" w:rsidP="00A80FA6">
      <w:pPr>
        <w:spacing w:after="0" w:line="240" w:lineRule="auto"/>
        <w:jc w:val="both"/>
        <w:rPr>
          <w:rFonts w:ascii="Times New Roman" w:hAnsi="Times New Roman"/>
          <w:sz w:val="24"/>
          <w:szCs w:val="24"/>
        </w:rPr>
      </w:pPr>
    </w:p>
    <w:p w:rsidR="0041520E" w:rsidRDefault="0041520E" w:rsidP="00A80FA6">
      <w:pPr>
        <w:spacing w:after="0" w:line="240" w:lineRule="auto"/>
        <w:jc w:val="both"/>
        <w:rPr>
          <w:rFonts w:ascii="Times New Roman" w:hAnsi="Times New Roman"/>
          <w:sz w:val="24"/>
          <w:szCs w:val="24"/>
        </w:rPr>
      </w:pPr>
    </w:p>
    <w:p w:rsidR="00A80FA6" w:rsidRDefault="00A80FA6" w:rsidP="00A80FA6">
      <w:pPr>
        <w:spacing w:after="0" w:line="240" w:lineRule="auto"/>
        <w:jc w:val="both"/>
        <w:rPr>
          <w:rFonts w:ascii="Times New Roman" w:hAnsi="Times New Roman"/>
          <w:sz w:val="24"/>
          <w:szCs w:val="24"/>
        </w:rPr>
      </w:pPr>
      <w:proofErr w:type="spellStart"/>
      <w:r w:rsidRPr="00A80FA6">
        <w:rPr>
          <w:rFonts w:ascii="Times New Roman" w:hAnsi="Times New Roman"/>
          <w:i/>
          <w:sz w:val="24"/>
          <w:szCs w:val="24"/>
        </w:rPr>
        <w:t>Gijima</w:t>
      </w:r>
      <w:proofErr w:type="spellEnd"/>
      <w:r w:rsidRPr="00A80FA6">
        <w:rPr>
          <w:rFonts w:ascii="Times New Roman" w:hAnsi="Times New Roman"/>
          <w:i/>
          <w:sz w:val="24"/>
          <w:szCs w:val="24"/>
        </w:rPr>
        <w:t xml:space="preserve"> and Associates</w:t>
      </w:r>
      <w:r>
        <w:rPr>
          <w:rFonts w:ascii="Times New Roman" w:hAnsi="Times New Roman"/>
          <w:sz w:val="24"/>
          <w:szCs w:val="24"/>
        </w:rPr>
        <w:t>, applicant’s legal practitioners</w:t>
      </w:r>
    </w:p>
    <w:p w:rsidR="00285985" w:rsidRPr="00A80FA6" w:rsidRDefault="00A80FA6" w:rsidP="00A80FA6">
      <w:pPr>
        <w:spacing w:after="0" w:line="240" w:lineRule="auto"/>
        <w:jc w:val="both"/>
        <w:rPr>
          <w:rFonts w:ascii="Times New Roman" w:hAnsi="Times New Roman"/>
          <w:sz w:val="24"/>
          <w:szCs w:val="24"/>
        </w:rPr>
      </w:pPr>
      <w:r w:rsidRPr="00A80FA6">
        <w:rPr>
          <w:rFonts w:ascii="Times New Roman" w:hAnsi="Times New Roman"/>
          <w:i/>
          <w:sz w:val="24"/>
          <w:szCs w:val="24"/>
        </w:rPr>
        <w:t>Koto and Company</w:t>
      </w:r>
      <w:r>
        <w:rPr>
          <w:rFonts w:ascii="Times New Roman" w:hAnsi="Times New Roman"/>
          <w:sz w:val="24"/>
          <w:szCs w:val="24"/>
        </w:rPr>
        <w:t>, defendant’s legal practitioners.</w:t>
      </w:r>
      <w:r w:rsidR="007A0AD1" w:rsidRPr="00A80FA6">
        <w:rPr>
          <w:rFonts w:ascii="Times New Roman" w:hAnsi="Times New Roman"/>
          <w:sz w:val="24"/>
          <w:szCs w:val="24"/>
        </w:rPr>
        <w:t xml:space="preserve">  </w:t>
      </w:r>
      <w:r w:rsidR="00C203F3" w:rsidRPr="00A80FA6">
        <w:rPr>
          <w:rFonts w:ascii="Times New Roman" w:hAnsi="Times New Roman"/>
          <w:sz w:val="24"/>
          <w:szCs w:val="24"/>
        </w:rPr>
        <w:t xml:space="preserve">  </w:t>
      </w:r>
    </w:p>
    <w:p w:rsidR="00C203F3" w:rsidRPr="00285985" w:rsidRDefault="00C203F3" w:rsidP="00863A2C">
      <w:pPr>
        <w:spacing w:after="0" w:line="240" w:lineRule="auto"/>
        <w:jc w:val="both"/>
        <w:rPr>
          <w:rFonts w:ascii="Times New Roman" w:hAnsi="Times New Roman"/>
          <w:sz w:val="24"/>
          <w:szCs w:val="24"/>
        </w:rPr>
      </w:pPr>
    </w:p>
    <w:sectPr w:rsidR="00C203F3" w:rsidRPr="00285985" w:rsidSect="00635FE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82" w:rsidRDefault="00295B82" w:rsidP="00F61F6C">
      <w:pPr>
        <w:spacing w:after="0" w:line="240" w:lineRule="auto"/>
      </w:pPr>
      <w:r>
        <w:separator/>
      </w:r>
    </w:p>
  </w:endnote>
  <w:endnote w:type="continuationSeparator" w:id="0">
    <w:p w:rsidR="00295B82" w:rsidRDefault="00295B82" w:rsidP="00F6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82" w:rsidRDefault="00295B82" w:rsidP="00F61F6C">
      <w:pPr>
        <w:spacing w:after="0" w:line="240" w:lineRule="auto"/>
      </w:pPr>
      <w:r>
        <w:separator/>
      </w:r>
    </w:p>
  </w:footnote>
  <w:footnote w:type="continuationSeparator" w:id="0">
    <w:p w:rsidR="00295B82" w:rsidRDefault="00295B82" w:rsidP="00F61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4079"/>
      <w:docPartObj>
        <w:docPartGallery w:val="Page Numbers (Top of Page)"/>
        <w:docPartUnique/>
      </w:docPartObj>
    </w:sdtPr>
    <w:sdtEndPr/>
    <w:sdtContent>
      <w:p w:rsidR="00F61F6C" w:rsidRDefault="00295B82">
        <w:pPr>
          <w:pStyle w:val="Header"/>
          <w:jc w:val="right"/>
        </w:pPr>
        <w:r>
          <w:fldChar w:fldCharType="begin"/>
        </w:r>
        <w:r>
          <w:instrText xml:space="preserve"> PAGE   \* MERGEFORMAT </w:instrText>
        </w:r>
        <w:r>
          <w:fldChar w:fldCharType="separate"/>
        </w:r>
        <w:r w:rsidR="00846D9B">
          <w:rPr>
            <w:noProof/>
          </w:rPr>
          <w:t>1</w:t>
        </w:r>
        <w:r>
          <w:rPr>
            <w:noProof/>
          </w:rPr>
          <w:fldChar w:fldCharType="end"/>
        </w:r>
      </w:p>
      <w:p w:rsidR="00F61F6C" w:rsidRDefault="00F61F6C">
        <w:pPr>
          <w:pStyle w:val="Header"/>
          <w:jc w:val="right"/>
        </w:pPr>
        <w:r>
          <w:t>HH</w:t>
        </w:r>
        <w:r w:rsidR="00303D25">
          <w:t xml:space="preserve"> 155-</w:t>
        </w:r>
        <w:r>
          <w:t>13</w:t>
        </w:r>
      </w:p>
      <w:p w:rsidR="00F61F6C" w:rsidRDefault="00F61F6C">
        <w:pPr>
          <w:pStyle w:val="Header"/>
          <w:jc w:val="right"/>
        </w:pPr>
        <w:r>
          <w:t>HC 7688/11</w:t>
        </w:r>
      </w:p>
      <w:p w:rsidR="00F61F6C" w:rsidRDefault="00F61F6C">
        <w:pPr>
          <w:pStyle w:val="Header"/>
          <w:jc w:val="right"/>
        </w:pPr>
        <w:r>
          <w:t>Ref Case HC 8728/10</w:t>
        </w:r>
      </w:p>
    </w:sdtContent>
  </w:sdt>
  <w:p w:rsidR="00F61F6C" w:rsidRDefault="00F61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D5B79"/>
    <w:multiLevelType w:val="hybridMultilevel"/>
    <w:tmpl w:val="D1DA3A60"/>
    <w:lvl w:ilvl="0" w:tplc="C90A18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5985"/>
    <w:rsid w:val="000A1CCD"/>
    <w:rsid w:val="00177ABF"/>
    <w:rsid w:val="002803AD"/>
    <w:rsid w:val="00280D85"/>
    <w:rsid w:val="00285985"/>
    <w:rsid w:val="00295B82"/>
    <w:rsid w:val="00303D25"/>
    <w:rsid w:val="00342FBF"/>
    <w:rsid w:val="0041520E"/>
    <w:rsid w:val="00441DF3"/>
    <w:rsid w:val="005458E1"/>
    <w:rsid w:val="00561A07"/>
    <w:rsid w:val="00577465"/>
    <w:rsid w:val="00635FE2"/>
    <w:rsid w:val="00683E96"/>
    <w:rsid w:val="00687A9A"/>
    <w:rsid w:val="007575C0"/>
    <w:rsid w:val="00772293"/>
    <w:rsid w:val="007A0AD1"/>
    <w:rsid w:val="007F33CE"/>
    <w:rsid w:val="00815A5F"/>
    <w:rsid w:val="00846D9B"/>
    <w:rsid w:val="00863A2C"/>
    <w:rsid w:val="008927A3"/>
    <w:rsid w:val="008B60EA"/>
    <w:rsid w:val="008E2B9C"/>
    <w:rsid w:val="009641B3"/>
    <w:rsid w:val="009846A5"/>
    <w:rsid w:val="009F3EF2"/>
    <w:rsid w:val="00A07F01"/>
    <w:rsid w:val="00A43733"/>
    <w:rsid w:val="00A64149"/>
    <w:rsid w:val="00A742AC"/>
    <w:rsid w:val="00A80FA6"/>
    <w:rsid w:val="00A848B8"/>
    <w:rsid w:val="00AC276B"/>
    <w:rsid w:val="00C203F3"/>
    <w:rsid w:val="00CE5C2E"/>
    <w:rsid w:val="00D11862"/>
    <w:rsid w:val="00D52E6C"/>
    <w:rsid w:val="00D57C27"/>
    <w:rsid w:val="00DC3C6B"/>
    <w:rsid w:val="00E01CA2"/>
    <w:rsid w:val="00E07BB9"/>
    <w:rsid w:val="00E60D15"/>
    <w:rsid w:val="00F61F6C"/>
    <w:rsid w:val="00F76E7A"/>
    <w:rsid w:val="00FE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F6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F6C"/>
    <w:rPr>
      <w:sz w:val="22"/>
      <w:szCs w:val="22"/>
      <w:lang w:eastAsia="en-US"/>
    </w:rPr>
  </w:style>
  <w:style w:type="paragraph" w:styleId="Footer">
    <w:name w:val="footer"/>
    <w:basedOn w:val="Normal"/>
    <w:link w:val="FooterChar"/>
    <w:uiPriority w:val="99"/>
    <w:semiHidden/>
    <w:unhideWhenUsed/>
    <w:rsid w:val="00F61F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1F6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2013-06-04T09:52:00Z</dcterms:created>
  <dcterms:modified xsi:type="dcterms:W3CDTF">2013-06-04T09:52:00Z</dcterms:modified>
</cp:coreProperties>
</file>