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8F593E" w:rsidP="00323042">
      <w:pPr>
        <w:pStyle w:val="NoSpacing"/>
        <w:jc w:val="both"/>
        <w:rPr>
          <w:b/>
        </w:rPr>
      </w:pPr>
      <w:r>
        <w:rPr>
          <w:b/>
        </w:rPr>
        <w:t xml:space="preserve">EX-CONSTABLE </w:t>
      </w:r>
      <w:r w:rsidR="00824C7C">
        <w:rPr>
          <w:b/>
        </w:rPr>
        <w:t>NZONZO P.T.</w:t>
      </w:r>
    </w:p>
    <w:p w:rsidR="008F593E" w:rsidRDefault="008F593E" w:rsidP="00323042">
      <w:pPr>
        <w:pStyle w:val="NoSpacing"/>
        <w:jc w:val="both"/>
        <w:rPr>
          <w:b/>
        </w:rPr>
      </w:pPr>
    </w:p>
    <w:p w:rsidR="008F593E" w:rsidRDefault="008F593E" w:rsidP="00323042">
      <w:pPr>
        <w:pStyle w:val="NoSpacing"/>
        <w:jc w:val="both"/>
        <w:rPr>
          <w:b/>
        </w:rPr>
      </w:pPr>
      <w:r>
        <w:rPr>
          <w:b/>
        </w:rPr>
        <w:t>And</w:t>
      </w:r>
    </w:p>
    <w:p w:rsidR="008F593E" w:rsidRDefault="008F593E" w:rsidP="00323042">
      <w:pPr>
        <w:pStyle w:val="NoSpacing"/>
        <w:jc w:val="both"/>
        <w:rPr>
          <w:b/>
        </w:rPr>
      </w:pPr>
    </w:p>
    <w:p w:rsidR="008F593E" w:rsidRDefault="008F593E" w:rsidP="00323042">
      <w:pPr>
        <w:pStyle w:val="NoSpacing"/>
        <w:jc w:val="both"/>
        <w:rPr>
          <w:b/>
        </w:rPr>
      </w:pPr>
      <w:r>
        <w:rPr>
          <w:b/>
        </w:rPr>
        <w:t>EX-CONSTABLE SOKOLE D</w:t>
      </w:r>
      <w:r w:rsidR="00824C7C">
        <w:rPr>
          <w:b/>
        </w:rPr>
        <w:t>.</w:t>
      </w:r>
    </w:p>
    <w:p w:rsidR="008F593E" w:rsidRDefault="008F593E" w:rsidP="00323042">
      <w:pPr>
        <w:pStyle w:val="NoSpacing"/>
        <w:jc w:val="both"/>
        <w:rPr>
          <w:b/>
        </w:rPr>
      </w:pPr>
    </w:p>
    <w:p w:rsidR="008F593E" w:rsidRDefault="008F593E" w:rsidP="00323042">
      <w:pPr>
        <w:pStyle w:val="NoSpacing"/>
        <w:jc w:val="both"/>
        <w:rPr>
          <w:b/>
        </w:rPr>
      </w:pPr>
      <w:r>
        <w:rPr>
          <w:b/>
        </w:rPr>
        <w:t>Versus</w:t>
      </w:r>
    </w:p>
    <w:p w:rsidR="008F593E" w:rsidRDefault="008F593E" w:rsidP="00323042">
      <w:pPr>
        <w:pStyle w:val="NoSpacing"/>
        <w:jc w:val="both"/>
        <w:rPr>
          <w:b/>
        </w:rPr>
      </w:pPr>
    </w:p>
    <w:p w:rsidR="008F593E" w:rsidRDefault="008F593E" w:rsidP="00323042">
      <w:pPr>
        <w:pStyle w:val="NoSpacing"/>
        <w:jc w:val="both"/>
        <w:rPr>
          <w:b/>
        </w:rPr>
      </w:pPr>
      <w:r>
        <w:rPr>
          <w:b/>
        </w:rPr>
        <w:t>THE COMMISSIONER GENERAL OF POLICE</w:t>
      </w:r>
    </w:p>
    <w:p w:rsidR="008F593E" w:rsidRDefault="008F593E" w:rsidP="00323042">
      <w:pPr>
        <w:pStyle w:val="NoSpacing"/>
        <w:jc w:val="both"/>
        <w:rPr>
          <w:b/>
        </w:rPr>
      </w:pPr>
    </w:p>
    <w:p w:rsidR="008F593E" w:rsidRDefault="008F593E" w:rsidP="00323042">
      <w:pPr>
        <w:pStyle w:val="NoSpacing"/>
        <w:jc w:val="both"/>
        <w:rPr>
          <w:b/>
        </w:rPr>
      </w:pPr>
      <w:r>
        <w:rPr>
          <w:b/>
        </w:rPr>
        <w:t>And</w:t>
      </w:r>
    </w:p>
    <w:p w:rsidR="008F593E" w:rsidRDefault="008F593E" w:rsidP="00323042">
      <w:pPr>
        <w:pStyle w:val="NoSpacing"/>
        <w:jc w:val="both"/>
        <w:rPr>
          <w:b/>
        </w:rPr>
      </w:pPr>
    </w:p>
    <w:p w:rsidR="008F593E" w:rsidRDefault="008F593E" w:rsidP="00323042">
      <w:pPr>
        <w:pStyle w:val="NoSpacing"/>
        <w:jc w:val="both"/>
        <w:rPr>
          <w:b/>
        </w:rPr>
      </w:pPr>
      <w:r>
        <w:rPr>
          <w:b/>
        </w:rPr>
        <w:t>THE CHAIRPERSON OF THE POLICE</w:t>
      </w:r>
    </w:p>
    <w:p w:rsidR="008F593E" w:rsidRDefault="008F593E" w:rsidP="00323042">
      <w:pPr>
        <w:pStyle w:val="NoSpacing"/>
        <w:jc w:val="both"/>
        <w:rPr>
          <w:b/>
        </w:rPr>
      </w:pPr>
      <w:r>
        <w:rPr>
          <w:b/>
        </w:rPr>
        <w:t>SERVICE COMMISSION</w:t>
      </w:r>
    </w:p>
    <w:p w:rsidR="008F593E" w:rsidRDefault="008F593E" w:rsidP="00323042">
      <w:pPr>
        <w:pStyle w:val="NoSpacing"/>
        <w:jc w:val="both"/>
        <w:rPr>
          <w:b/>
        </w:rPr>
      </w:pPr>
    </w:p>
    <w:p w:rsidR="008F593E" w:rsidRDefault="008F593E" w:rsidP="00323042">
      <w:pPr>
        <w:pStyle w:val="NoSpacing"/>
        <w:jc w:val="both"/>
        <w:rPr>
          <w:b/>
        </w:rPr>
      </w:pPr>
      <w:r>
        <w:rPr>
          <w:b/>
        </w:rPr>
        <w:t>And</w:t>
      </w:r>
    </w:p>
    <w:p w:rsidR="008F593E" w:rsidRDefault="008F593E" w:rsidP="00323042">
      <w:pPr>
        <w:pStyle w:val="NoSpacing"/>
        <w:jc w:val="both"/>
        <w:rPr>
          <w:b/>
        </w:rPr>
      </w:pPr>
    </w:p>
    <w:p w:rsidR="008F593E" w:rsidRDefault="008F593E" w:rsidP="00323042">
      <w:pPr>
        <w:pStyle w:val="NoSpacing"/>
        <w:jc w:val="both"/>
        <w:rPr>
          <w:b/>
        </w:rPr>
      </w:pPr>
      <w:r>
        <w:rPr>
          <w:b/>
        </w:rPr>
        <w:t>THE MINISTER OF HOME AFFAIRS</w:t>
      </w:r>
    </w:p>
    <w:p w:rsidR="008F593E" w:rsidRDefault="008F593E" w:rsidP="00323042">
      <w:pPr>
        <w:pStyle w:val="NoSpacing"/>
        <w:jc w:val="both"/>
        <w:rPr>
          <w:b/>
        </w:rPr>
      </w:pPr>
    </w:p>
    <w:p w:rsidR="008F593E" w:rsidRDefault="008F593E" w:rsidP="00323042">
      <w:pPr>
        <w:pStyle w:val="NoSpacing"/>
        <w:jc w:val="both"/>
      </w:pPr>
      <w:r>
        <w:t>IN THE HIGH COURT OF ZIMBABWE</w:t>
      </w:r>
    </w:p>
    <w:p w:rsidR="008F593E" w:rsidRDefault="008F593E" w:rsidP="00323042">
      <w:pPr>
        <w:pStyle w:val="NoSpacing"/>
        <w:jc w:val="both"/>
      </w:pPr>
      <w:r>
        <w:t>TAKUVA J</w:t>
      </w:r>
    </w:p>
    <w:p w:rsidR="008F593E" w:rsidRDefault="008F593E" w:rsidP="00323042">
      <w:pPr>
        <w:pStyle w:val="NoSpacing"/>
        <w:jc w:val="both"/>
      </w:pPr>
      <w:r>
        <w:t>BULAWAYO 9 JANUARY 2018 &amp; 10 JANUARY 2019</w:t>
      </w:r>
    </w:p>
    <w:p w:rsidR="008F593E" w:rsidRDefault="008F593E" w:rsidP="00323042">
      <w:pPr>
        <w:pStyle w:val="NoSpacing"/>
        <w:jc w:val="both"/>
      </w:pPr>
    </w:p>
    <w:p w:rsidR="008F593E" w:rsidRDefault="008F593E" w:rsidP="00323042">
      <w:pPr>
        <w:pStyle w:val="NoSpacing"/>
        <w:jc w:val="both"/>
        <w:rPr>
          <w:b/>
        </w:rPr>
      </w:pPr>
      <w:r>
        <w:rPr>
          <w:b/>
        </w:rPr>
        <w:t>Opposed Application</w:t>
      </w:r>
    </w:p>
    <w:p w:rsidR="008F593E" w:rsidRDefault="008F593E" w:rsidP="00323042">
      <w:pPr>
        <w:pStyle w:val="NoSpacing"/>
        <w:jc w:val="both"/>
        <w:rPr>
          <w:b/>
        </w:rPr>
      </w:pPr>
    </w:p>
    <w:p w:rsidR="008F593E" w:rsidRDefault="008F593E" w:rsidP="00323042">
      <w:pPr>
        <w:pStyle w:val="NoSpacing"/>
        <w:jc w:val="both"/>
      </w:pPr>
      <w:r w:rsidRPr="008F593E">
        <w:rPr>
          <w:i/>
        </w:rPr>
        <w:t>N. Mugiya</w:t>
      </w:r>
      <w:r>
        <w:t xml:space="preserve"> for the applicants</w:t>
      </w:r>
    </w:p>
    <w:p w:rsidR="008F593E" w:rsidRPr="008F593E" w:rsidRDefault="008F593E" w:rsidP="00323042">
      <w:pPr>
        <w:pStyle w:val="NoSpacing"/>
        <w:jc w:val="both"/>
      </w:pPr>
      <w:r w:rsidRPr="008F593E">
        <w:rPr>
          <w:i/>
        </w:rPr>
        <w:t>L. Musika</w:t>
      </w:r>
      <w:r>
        <w:t xml:space="preserve"> for the respondents</w:t>
      </w:r>
    </w:p>
    <w:p w:rsidR="008F593E" w:rsidRDefault="008F593E" w:rsidP="00323042">
      <w:pPr>
        <w:jc w:val="both"/>
      </w:pPr>
      <w:r>
        <w:tab/>
      </w:r>
      <w:r>
        <w:rPr>
          <w:b/>
        </w:rPr>
        <w:t>TAKUVA J:</w:t>
      </w:r>
      <w:r>
        <w:rPr>
          <w:b/>
        </w:rPr>
        <w:tab/>
      </w:r>
      <w:r>
        <w:t xml:space="preserve">This is a court application for a dclaratur wherein </w:t>
      </w:r>
      <w:r w:rsidR="00323042">
        <w:t>applicants seek</w:t>
      </w:r>
      <w:r>
        <w:t xml:space="preserve"> the following relief:</w:t>
      </w:r>
    </w:p>
    <w:p w:rsidR="008F593E" w:rsidRDefault="008F593E" w:rsidP="00323042">
      <w:pPr>
        <w:pStyle w:val="NoSpacing"/>
        <w:ind w:left="1440" w:hanging="720"/>
        <w:jc w:val="both"/>
      </w:pPr>
      <w:r>
        <w:t>“1.</w:t>
      </w:r>
      <w:r>
        <w:tab/>
        <w:t>The discharge of the applicants from the Police Service by the respondents be and is hereby declared unlawful and wrongful.</w:t>
      </w:r>
    </w:p>
    <w:p w:rsidR="008F593E" w:rsidRDefault="008F593E" w:rsidP="00323042">
      <w:pPr>
        <w:pStyle w:val="NoSpacing"/>
        <w:ind w:left="1440" w:hanging="720"/>
        <w:jc w:val="both"/>
      </w:pPr>
      <w:r>
        <w:t>2.</w:t>
      </w:r>
      <w:r>
        <w:tab/>
        <w:t>The respondents are ordered to reinstate the applicants into the Police Service forthwith.</w:t>
      </w:r>
    </w:p>
    <w:p w:rsidR="008F593E" w:rsidRDefault="008F593E" w:rsidP="00323042">
      <w:pPr>
        <w:pStyle w:val="NoSpacing"/>
        <w:ind w:firstLine="720"/>
        <w:jc w:val="both"/>
      </w:pPr>
      <w:r>
        <w:t>3.</w:t>
      </w:r>
      <w:r>
        <w:tab/>
        <w:t>The respondents are ordered to pay costs of suit on a client attorney scale”.</w:t>
      </w:r>
    </w:p>
    <w:p w:rsidR="008F593E" w:rsidRDefault="0061519D" w:rsidP="00323042">
      <w:pPr>
        <w:jc w:val="both"/>
      </w:pPr>
      <w:r>
        <w:tab/>
        <w:t>The applicants’ case is based on the following facts:</w:t>
      </w:r>
    </w:p>
    <w:p w:rsidR="0061519D" w:rsidRDefault="0061519D" w:rsidP="00323042">
      <w:pPr>
        <w:jc w:val="both"/>
      </w:pPr>
      <w:r>
        <w:tab/>
        <w:t>On the 26</w:t>
      </w:r>
      <w:r w:rsidRPr="0061519D">
        <w:rPr>
          <w:vertAlign w:val="superscript"/>
        </w:rPr>
        <w:t>th</w:t>
      </w:r>
      <w:r>
        <w:t xml:space="preserve"> day of July 2016 they were discharged from the Police Service by the 1</w:t>
      </w:r>
      <w:r w:rsidRPr="0061519D">
        <w:rPr>
          <w:vertAlign w:val="superscript"/>
        </w:rPr>
        <w:t>st</w:t>
      </w:r>
      <w:r>
        <w:t xml:space="preserve"> respondent.  Both appealed against the dismissal to the 2</w:t>
      </w:r>
      <w:r w:rsidRPr="0061519D">
        <w:rPr>
          <w:vertAlign w:val="superscript"/>
        </w:rPr>
        <w:t>nd</w:t>
      </w:r>
      <w:r>
        <w:t xml:space="preserve"> respondent in terms of section 51 of </w:t>
      </w:r>
      <w:r>
        <w:lastRenderedPageBreak/>
        <w:t xml:space="preserve">the Police Act (Chapter </w:t>
      </w:r>
      <w:r w:rsidR="00E1328C">
        <w:t>11:10</w:t>
      </w:r>
      <w:r>
        <w:t>) (the Act).  Despite the appeal the 1</w:t>
      </w:r>
      <w:r w:rsidRPr="0061519D">
        <w:rPr>
          <w:vertAlign w:val="superscript"/>
        </w:rPr>
        <w:t>st</w:t>
      </w:r>
      <w:r>
        <w:t xml:space="preserve"> respondent refused, failed and /or neglected to reinstate the applicants into the Police Service.</w:t>
      </w:r>
    </w:p>
    <w:p w:rsidR="0061519D" w:rsidRDefault="0061519D" w:rsidP="00323042">
      <w:pPr>
        <w:jc w:val="both"/>
      </w:pPr>
      <w:r>
        <w:tab/>
        <w:t>On 7 November 2016, 1</w:t>
      </w:r>
      <w:r w:rsidRPr="0061519D">
        <w:rPr>
          <w:vertAlign w:val="superscript"/>
        </w:rPr>
        <w:t>st</w:t>
      </w:r>
      <w:r>
        <w:t xml:space="preserve"> applicant received a notice from the 2</w:t>
      </w:r>
      <w:r w:rsidRPr="0061519D">
        <w:rPr>
          <w:vertAlign w:val="superscript"/>
        </w:rPr>
        <w:t>nd</w:t>
      </w:r>
      <w:r>
        <w:t xml:space="preserve"> respondent that his appeal has been dismissed and that the decision of the 1</w:t>
      </w:r>
      <w:r w:rsidRPr="0061519D">
        <w:rPr>
          <w:vertAlign w:val="superscript"/>
        </w:rPr>
        <w:t>st</w:t>
      </w:r>
      <w:r>
        <w:t xml:space="preserve"> respondent was upheld.  The 2</w:t>
      </w:r>
      <w:r w:rsidRPr="0061519D">
        <w:rPr>
          <w:vertAlign w:val="superscript"/>
        </w:rPr>
        <w:t>nd</w:t>
      </w:r>
      <w:r>
        <w:t xml:space="preserve"> applicant received a similar notification on 6 April 2017.  Both alleged that they verbally requested for reasons why their appeals were dismissed “by the 1</w:t>
      </w:r>
      <w:r w:rsidRPr="0061519D">
        <w:rPr>
          <w:vertAlign w:val="superscript"/>
        </w:rPr>
        <w:t>st</w:t>
      </w:r>
      <w:r>
        <w:t xml:space="preserve"> and 2</w:t>
      </w:r>
      <w:r w:rsidRPr="0061519D">
        <w:rPr>
          <w:vertAlign w:val="superscript"/>
        </w:rPr>
        <w:t>nd</w:t>
      </w:r>
      <w:r>
        <w:t xml:space="preserve"> respondents but we were never furnished with the said reasons”.  Further, the two contended that the 2</w:t>
      </w:r>
      <w:r w:rsidRPr="0061519D">
        <w:rPr>
          <w:vertAlign w:val="superscript"/>
        </w:rPr>
        <w:t>nd</w:t>
      </w:r>
      <w:r>
        <w:t xml:space="preserve"> respondent’s Commission is not “properly constituted in terms of the Constitution.  Finally, they claimed that the 1</w:t>
      </w:r>
      <w:r w:rsidRPr="0061519D">
        <w:rPr>
          <w:vertAlign w:val="superscript"/>
        </w:rPr>
        <w:t>st</w:t>
      </w:r>
      <w:r>
        <w:t xml:space="preserve"> respondent’s refusal to reinstate them is unlawful and w</w:t>
      </w:r>
      <w:r w:rsidR="00E1328C">
        <w:t>rongful, w</w:t>
      </w:r>
      <w:r>
        <w:t>hile the 2</w:t>
      </w:r>
      <w:r w:rsidRPr="0061519D">
        <w:rPr>
          <w:vertAlign w:val="superscript"/>
        </w:rPr>
        <w:t>nd</w:t>
      </w:r>
      <w:r>
        <w:t xml:space="preserve"> respondent’s refusal or failure to furnish them with written reasons for dismissing their appeals is also unlawful and wrongful.</w:t>
      </w:r>
    </w:p>
    <w:p w:rsidR="0061519D" w:rsidRDefault="0061519D" w:rsidP="00323042">
      <w:pPr>
        <w:jc w:val="both"/>
      </w:pPr>
      <w:r>
        <w:tab/>
        <w:t>The respondents opposed the application on the following grounds;</w:t>
      </w:r>
    </w:p>
    <w:p w:rsidR="0061519D" w:rsidRDefault="0061519D" w:rsidP="00323042">
      <w:pPr>
        <w:pStyle w:val="ListParagraph"/>
        <w:numPr>
          <w:ilvl w:val="0"/>
          <w:numId w:val="1"/>
        </w:numPr>
        <w:jc w:val="both"/>
      </w:pPr>
      <w:r>
        <w:t xml:space="preserve">The applicants failed to comply with the </w:t>
      </w:r>
      <w:r w:rsidR="00417E04">
        <w:t xml:space="preserve"> procedure provided in section 15 (1) of the Board of Inquiries (Regulations)  1965 in that they did not file their appeals with their Officer Commanding but filed them directly to the 2</w:t>
      </w:r>
      <w:r w:rsidR="00417E04" w:rsidRPr="00417E04">
        <w:rPr>
          <w:vertAlign w:val="superscript"/>
        </w:rPr>
        <w:t>nd</w:t>
      </w:r>
      <w:r w:rsidR="00417E04">
        <w:t xml:space="preserve"> respondent.</w:t>
      </w:r>
    </w:p>
    <w:p w:rsidR="00417E04" w:rsidRDefault="00417E04" w:rsidP="00323042">
      <w:pPr>
        <w:pStyle w:val="ListParagraph"/>
        <w:numPr>
          <w:ilvl w:val="0"/>
          <w:numId w:val="1"/>
        </w:numPr>
        <w:jc w:val="both"/>
      </w:pPr>
      <w:r>
        <w:t>Both applicants did not request for reasons from the 2</w:t>
      </w:r>
      <w:r w:rsidRPr="00417E04">
        <w:rPr>
          <w:vertAlign w:val="superscript"/>
        </w:rPr>
        <w:t>nd</w:t>
      </w:r>
      <w:r>
        <w:t xml:space="preserve"> respondent, making the 2</w:t>
      </w:r>
      <w:r w:rsidRPr="00417E04">
        <w:rPr>
          <w:vertAlign w:val="superscript"/>
        </w:rPr>
        <w:t>nd</w:t>
      </w:r>
      <w:r>
        <w:t xml:space="preserve"> respondent’s failure to supply those reasons lawful.</w:t>
      </w:r>
    </w:p>
    <w:p w:rsidR="00417E04" w:rsidRDefault="00417E04" w:rsidP="00323042">
      <w:pPr>
        <w:ind w:firstLine="720"/>
        <w:jc w:val="both"/>
      </w:pPr>
      <w:r>
        <w:t xml:space="preserve">Both parties filed detailed heads of argument which they adhered to.  Applicants abandoned all their points </w:t>
      </w:r>
      <w:r w:rsidRPr="00417E04">
        <w:rPr>
          <w:i/>
        </w:rPr>
        <w:t>in limine</w:t>
      </w:r>
      <w:r>
        <w:t xml:space="preserve"> and the matter was argued on the merits.  T</w:t>
      </w:r>
      <w:r w:rsidR="00323042">
        <w:t>h</w:t>
      </w:r>
      <w:r>
        <w:t>e parties agreed that the following are the issues to be determined:</w:t>
      </w:r>
    </w:p>
    <w:p w:rsidR="00417E04" w:rsidRDefault="00417E04" w:rsidP="00323042">
      <w:pPr>
        <w:pStyle w:val="ListParagraph"/>
        <w:numPr>
          <w:ilvl w:val="0"/>
          <w:numId w:val="2"/>
        </w:numPr>
        <w:jc w:val="both"/>
      </w:pPr>
      <w:r>
        <w:t>Whether or not the failure by the 1</w:t>
      </w:r>
      <w:r w:rsidRPr="00417E04">
        <w:rPr>
          <w:vertAlign w:val="superscript"/>
        </w:rPr>
        <w:t>st</w:t>
      </w:r>
      <w:r>
        <w:t xml:space="preserve"> respondent to reinstate applicants pending the determination of their appeal against discharge is wrongful and unlawful.</w:t>
      </w:r>
    </w:p>
    <w:p w:rsidR="00417E04" w:rsidRDefault="00417E04" w:rsidP="00323042">
      <w:pPr>
        <w:pStyle w:val="ListParagraph"/>
        <w:numPr>
          <w:ilvl w:val="0"/>
          <w:numId w:val="2"/>
        </w:numPr>
        <w:jc w:val="both"/>
      </w:pPr>
      <w:r>
        <w:t>Whether or not the dismissal of applicants from the Police Service without giving reasons is unlawful and wrongful.</w:t>
      </w:r>
    </w:p>
    <w:p w:rsidR="00417E04" w:rsidRDefault="00417E04" w:rsidP="00323042">
      <w:pPr>
        <w:pStyle w:val="ListParagraph"/>
        <w:numPr>
          <w:ilvl w:val="0"/>
          <w:numId w:val="2"/>
        </w:numPr>
        <w:jc w:val="both"/>
      </w:pPr>
      <w:r>
        <w:t>Whet</w:t>
      </w:r>
      <w:r w:rsidR="006779D7">
        <w:t>h</w:t>
      </w:r>
      <w:r>
        <w:t>er or not the Police Service Commission is properly constituted.</w:t>
      </w:r>
    </w:p>
    <w:p w:rsidR="00417E04" w:rsidRPr="0050553C" w:rsidRDefault="00417E04" w:rsidP="00323042">
      <w:pPr>
        <w:jc w:val="both"/>
        <w:rPr>
          <w:b/>
        </w:rPr>
      </w:pPr>
      <w:r w:rsidRPr="0050553C">
        <w:rPr>
          <w:b/>
        </w:rPr>
        <w:lastRenderedPageBreak/>
        <w:t>The Law</w:t>
      </w:r>
    </w:p>
    <w:p w:rsidR="00417E04" w:rsidRDefault="00417E04" w:rsidP="00323042">
      <w:pPr>
        <w:jc w:val="both"/>
      </w:pPr>
      <w:r>
        <w:tab/>
        <w:t>In</w:t>
      </w:r>
      <w:r w:rsidR="006779D7">
        <w:t xml:space="preserve"> seeking a Declaratur the applicants relied on section 14 of the High Court Act (Chapter 7:06) which provides;</w:t>
      </w:r>
    </w:p>
    <w:p w:rsidR="006779D7" w:rsidRPr="00412124" w:rsidRDefault="006779D7" w:rsidP="00323042">
      <w:pPr>
        <w:pStyle w:val="NoSpacing"/>
        <w:ind w:left="720"/>
        <w:jc w:val="both"/>
      </w:pPr>
      <w:r w:rsidRPr="00412124">
        <w:t>“The High Court may, in its discretion at the instance of any interested per</w:t>
      </w:r>
      <w:r>
        <w:t>son enquire</w:t>
      </w:r>
      <w:r w:rsidRPr="00412124">
        <w:t xml:space="preserve"> into and determine any existing, f</w:t>
      </w:r>
      <w:r>
        <w:t>ut</w:t>
      </w:r>
      <w:r w:rsidRPr="00412124">
        <w:t>ure or contingent right or obligation, notwithstanding that such person cannot claim any relief consequential upon such determination”.</w:t>
      </w:r>
    </w:p>
    <w:p w:rsidR="006779D7" w:rsidRDefault="006779D7" w:rsidP="00323042">
      <w:pPr>
        <w:ind w:firstLine="720"/>
        <w:jc w:val="both"/>
      </w:pPr>
      <w:r>
        <w:t>This court per N</w:t>
      </w:r>
      <w:r w:rsidRPr="0050553C">
        <w:rPr>
          <w:sz w:val="20"/>
          <w:szCs w:val="20"/>
        </w:rPr>
        <w:t>DOU</w:t>
      </w:r>
      <w:r>
        <w:t xml:space="preserve"> J laid down the guiding principles on the exercise of its discretion in </w:t>
      </w:r>
      <w:r w:rsidRPr="0050553C">
        <w:rPr>
          <w:i/>
        </w:rPr>
        <w:t>Mpukuta</w:t>
      </w:r>
      <w:r>
        <w:t xml:space="preserve"> v </w:t>
      </w:r>
      <w:r w:rsidRPr="0050553C">
        <w:rPr>
          <w:i/>
        </w:rPr>
        <w:t>Motor Insurance Pool &amp; Ors</w:t>
      </w:r>
      <w:r>
        <w:t xml:space="preserve"> 2012 (1) ZLR 192 (H) at p192E-G as:</w:t>
      </w:r>
    </w:p>
    <w:p w:rsidR="006779D7" w:rsidRDefault="006779D7" w:rsidP="00323042">
      <w:pPr>
        <w:pStyle w:val="NoSpacing"/>
        <w:ind w:left="720"/>
        <w:jc w:val="both"/>
      </w:pPr>
      <w:r>
        <w:t>“The condition precedent to the grant of a declaratory order is that the applicant must be an interested person in the sense of having direct and substantial interest in the subject matter of the suit which could be prejudicially affected by the judgment of the court.  The interest must relate to an existing future or contingent right.  The court will not decide abstract academic or hypothetical questions unrelated to such interest.  That is the 1</w:t>
      </w:r>
      <w:r w:rsidRPr="00314D74">
        <w:rPr>
          <w:vertAlign w:val="superscript"/>
        </w:rPr>
        <w:t>st</w:t>
      </w:r>
      <w:r>
        <w:t xml:space="preserve"> stage in the determination of the court.  At the second stage of the enquiry, it is incumbent upon the court to decide whether or not the case in question is a proper one for the exercise of its discretion under s14 of the High Court Act (Chapter 7:06).  In this regard, some tangible and justifiable advantage in relation to the applicant’s position, with reference to an existing future or contingent legal right or obligation, must appear to flow from the grant of the declaratory order”.  See also </w:t>
      </w:r>
      <w:r w:rsidRPr="00654F6B">
        <w:rPr>
          <w:i/>
        </w:rPr>
        <w:t>Munn Publishing (Pvt) Ltd</w:t>
      </w:r>
      <w:r>
        <w:t xml:space="preserve"> v </w:t>
      </w:r>
      <w:r w:rsidRPr="00654F6B">
        <w:rPr>
          <w:i/>
        </w:rPr>
        <w:t xml:space="preserve">ZBC </w:t>
      </w:r>
      <w:r>
        <w:t>1994 (1) ZLR 387 (S).</w:t>
      </w:r>
      <w:r w:rsidR="00C94257">
        <w:t xml:space="preserve"> and </w:t>
      </w:r>
      <w:r w:rsidR="00C94257" w:rsidRPr="001B76B0">
        <w:rPr>
          <w:i/>
        </w:rPr>
        <w:t xml:space="preserve">Johnsen </w:t>
      </w:r>
      <w:r w:rsidR="001B76B0">
        <w:t xml:space="preserve">v </w:t>
      </w:r>
      <w:r w:rsidR="00C94257" w:rsidRPr="001B76B0">
        <w:rPr>
          <w:i/>
        </w:rPr>
        <w:t>Agricultural Finance Corporation</w:t>
      </w:r>
      <w:r w:rsidR="00C94257">
        <w:t xml:space="preserve"> 1995 (1) ZLR 65 (SC).</w:t>
      </w:r>
    </w:p>
    <w:p w:rsidR="00C94257" w:rsidRDefault="00C94257" w:rsidP="00323042">
      <w:pPr>
        <w:jc w:val="both"/>
      </w:pPr>
      <w:r>
        <w:tab/>
        <w:t>In the present matter, it is not in dispute that prior to their dismissal the relationship between applicants and the 2</w:t>
      </w:r>
      <w:r w:rsidRPr="00C94257">
        <w:rPr>
          <w:vertAlign w:val="superscript"/>
        </w:rPr>
        <w:t>nd</w:t>
      </w:r>
      <w:r>
        <w:t xml:space="preserve"> respondent was one of employer – employee.  Therefore the applicants have a direct and substantial interest in the lawfulness or otherwise of their dismissal.  For this reason, both applicants have established the requirements of the 1</w:t>
      </w:r>
      <w:r w:rsidRPr="00C94257">
        <w:rPr>
          <w:vertAlign w:val="superscript"/>
        </w:rPr>
        <w:t>st</w:t>
      </w:r>
      <w:r w:rsidR="00E1328C">
        <w:t xml:space="preserve"> test</w:t>
      </w:r>
      <w:r>
        <w:t>.</w:t>
      </w:r>
    </w:p>
    <w:p w:rsidR="00C94257" w:rsidRDefault="00C94257" w:rsidP="00323042">
      <w:pPr>
        <w:jc w:val="both"/>
      </w:pPr>
      <w:r>
        <w:tab/>
        <w:t>As regards the second stage. I turn to the merits of the case and specifically to the 1</w:t>
      </w:r>
      <w:r w:rsidRPr="00C94257">
        <w:rPr>
          <w:vertAlign w:val="superscript"/>
        </w:rPr>
        <w:t>st</w:t>
      </w:r>
      <w:r>
        <w:t xml:space="preserve"> issue.  The material legal provisions are the following:</w:t>
      </w:r>
    </w:p>
    <w:p w:rsidR="00323042" w:rsidRDefault="00323042" w:rsidP="00323042">
      <w:pPr>
        <w:jc w:val="both"/>
      </w:pPr>
    </w:p>
    <w:p w:rsidR="00323042" w:rsidRDefault="00323042" w:rsidP="00323042">
      <w:pPr>
        <w:jc w:val="both"/>
      </w:pPr>
    </w:p>
    <w:p w:rsidR="00C94257" w:rsidRPr="00E1328C" w:rsidRDefault="00BC1EC5" w:rsidP="00323042">
      <w:pPr>
        <w:jc w:val="both"/>
        <w:rPr>
          <w:u w:val="single"/>
        </w:rPr>
      </w:pPr>
      <w:r>
        <w:lastRenderedPageBreak/>
        <w:tab/>
        <w:t>“</w:t>
      </w:r>
      <w:r w:rsidR="00E1328C">
        <w:t xml:space="preserve"> Section </w:t>
      </w:r>
      <w:r>
        <w:t>51.</w:t>
      </w:r>
      <w:r>
        <w:tab/>
      </w:r>
      <w:r w:rsidRPr="00E1328C">
        <w:rPr>
          <w:u w:val="single"/>
        </w:rPr>
        <w:t>Appeal</w:t>
      </w:r>
    </w:p>
    <w:p w:rsidR="00BC1EC5" w:rsidRPr="00412124" w:rsidRDefault="00BC1EC5" w:rsidP="00323042">
      <w:pPr>
        <w:pStyle w:val="NoSpacing"/>
        <w:ind w:left="1440"/>
        <w:jc w:val="both"/>
        <w:rPr>
          <w:u w:val="single"/>
        </w:rPr>
      </w:pPr>
      <w:r w:rsidRPr="00412124">
        <w:t xml:space="preserve">A member who is aggrieved by any order made in terms of section forty-eight or fifty may appeal to the Police Service Commission against the order </w:t>
      </w:r>
      <w:r w:rsidRPr="00412124">
        <w:rPr>
          <w:u w:val="single"/>
        </w:rPr>
        <w:t>within the time and in the manner prescribed and the order shall not be executed until the deci</w:t>
      </w:r>
      <w:r w:rsidR="00E1328C">
        <w:rPr>
          <w:u w:val="single"/>
        </w:rPr>
        <w:t>sion of the Commissioner has</w:t>
      </w:r>
      <w:r w:rsidRPr="00412124">
        <w:rPr>
          <w:u w:val="single"/>
        </w:rPr>
        <w:t xml:space="preserve"> been given</w:t>
      </w:r>
      <w:r>
        <w:rPr>
          <w:u w:val="single"/>
        </w:rPr>
        <w:t>”</w:t>
      </w:r>
      <w:r w:rsidRPr="00412124">
        <w:rPr>
          <w:u w:val="single"/>
        </w:rPr>
        <w:t xml:space="preserve">. </w:t>
      </w:r>
      <w:r w:rsidRPr="00412124">
        <w:t>(my emphasis)</w:t>
      </w:r>
    </w:p>
    <w:p w:rsidR="00BC1EC5" w:rsidRDefault="00BC1EC5" w:rsidP="00323042">
      <w:pPr>
        <w:jc w:val="both"/>
      </w:pPr>
      <w:r>
        <w:tab/>
        <w:t xml:space="preserve">The section has two </w:t>
      </w:r>
      <w:r w:rsidR="00E1328C">
        <w:t>critical</w:t>
      </w:r>
      <w:r>
        <w:t xml:space="preserve"> components namely;</w:t>
      </w:r>
    </w:p>
    <w:p w:rsidR="00BC1EC5" w:rsidRDefault="00BC1EC5" w:rsidP="00323042">
      <w:pPr>
        <w:pStyle w:val="ListParagraph"/>
        <w:numPr>
          <w:ilvl w:val="0"/>
          <w:numId w:val="3"/>
        </w:numPr>
        <w:jc w:val="both"/>
      </w:pPr>
      <w:r>
        <w:t xml:space="preserve">the appeal must be within the </w:t>
      </w:r>
      <w:r w:rsidRPr="001B76B0">
        <w:rPr>
          <w:u w:val="single"/>
        </w:rPr>
        <w:t xml:space="preserve">time </w:t>
      </w:r>
      <w:r>
        <w:t xml:space="preserve">and </w:t>
      </w:r>
      <w:r w:rsidRPr="001B76B0">
        <w:rPr>
          <w:u w:val="single"/>
        </w:rPr>
        <w:t>manner</w:t>
      </w:r>
      <w:r>
        <w:t xml:space="preserve"> prescribed; and</w:t>
      </w:r>
    </w:p>
    <w:p w:rsidR="00E1328C" w:rsidRDefault="00BC1EC5" w:rsidP="00323042">
      <w:pPr>
        <w:pStyle w:val="ListParagraph"/>
        <w:numPr>
          <w:ilvl w:val="0"/>
          <w:numId w:val="3"/>
        </w:numPr>
        <w:jc w:val="both"/>
      </w:pPr>
      <w:r>
        <w:t xml:space="preserve">the execution of the order appealed against shall be stayed pending the decision of the Police Service Commission.  </w:t>
      </w:r>
    </w:p>
    <w:p w:rsidR="00BC1EC5" w:rsidRDefault="00BC1EC5" w:rsidP="00E1328C">
      <w:pPr>
        <w:ind w:left="720"/>
        <w:jc w:val="both"/>
      </w:pPr>
      <w:r>
        <w:t xml:space="preserve">The appeal procedure </w:t>
      </w:r>
      <w:r w:rsidR="00E1328C">
        <w:t>is</w:t>
      </w:r>
      <w:r>
        <w:t>set out in section 15 (1) of the Police (Trials and Boards of Inquiry) Regulations 1965.  It states;</w:t>
      </w:r>
    </w:p>
    <w:p w:rsidR="00BC1EC5" w:rsidRPr="00412124" w:rsidRDefault="00BC1EC5" w:rsidP="00323042">
      <w:pPr>
        <w:ind w:firstLine="360"/>
        <w:jc w:val="both"/>
        <w:rPr>
          <w:szCs w:val="24"/>
          <w:u w:val="single"/>
        </w:rPr>
      </w:pPr>
      <w:r w:rsidRPr="00412124">
        <w:rPr>
          <w:szCs w:val="24"/>
        </w:rPr>
        <w:t>“15(1)</w:t>
      </w:r>
      <w:r w:rsidRPr="00412124">
        <w:rPr>
          <w:szCs w:val="24"/>
        </w:rPr>
        <w:tab/>
        <w:t xml:space="preserve">A member who wishes to appeal in terms of s51 of the Act </w:t>
      </w:r>
      <w:r w:rsidRPr="00412124">
        <w:rPr>
          <w:szCs w:val="24"/>
          <w:u w:val="single"/>
        </w:rPr>
        <w:t>shall:</w:t>
      </w:r>
    </w:p>
    <w:p w:rsidR="00BC1EC5" w:rsidRPr="00412124" w:rsidRDefault="00BC1EC5" w:rsidP="00323042">
      <w:pPr>
        <w:pStyle w:val="ListParagraph"/>
        <w:numPr>
          <w:ilvl w:val="0"/>
          <w:numId w:val="4"/>
        </w:numPr>
        <w:jc w:val="both"/>
        <w:rPr>
          <w:szCs w:val="24"/>
          <w:u w:val="single"/>
        </w:rPr>
      </w:pPr>
      <w:r w:rsidRPr="00412124">
        <w:rPr>
          <w:szCs w:val="24"/>
        </w:rPr>
        <w:t xml:space="preserve">Within twenty-four hours of being notified of the decision of the Commissioner General of Police, </w:t>
      </w:r>
      <w:r w:rsidRPr="00412124">
        <w:rPr>
          <w:szCs w:val="24"/>
          <w:u w:val="single"/>
        </w:rPr>
        <w:t>give notice to his Officer Commanding of his or her intention.</w:t>
      </w:r>
    </w:p>
    <w:p w:rsidR="00BC1EC5" w:rsidRPr="00BC1EC5" w:rsidRDefault="00BC1EC5" w:rsidP="00323042">
      <w:pPr>
        <w:pStyle w:val="ListParagraph"/>
        <w:numPr>
          <w:ilvl w:val="0"/>
          <w:numId w:val="4"/>
        </w:numPr>
        <w:jc w:val="both"/>
        <w:rPr>
          <w:szCs w:val="24"/>
          <w:u w:val="single"/>
        </w:rPr>
      </w:pPr>
      <w:r w:rsidRPr="00412124">
        <w:rPr>
          <w:szCs w:val="24"/>
        </w:rPr>
        <w:t xml:space="preserve">Within seven (7) days of being notified of the decision of the Commissioner General of Police, </w:t>
      </w:r>
      <w:r w:rsidRPr="00412124">
        <w:rPr>
          <w:szCs w:val="24"/>
          <w:u w:val="single"/>
        </w:rPr>
        <w:t>lodge with him or her officer commanding a notice of appeal in writing</w:t>
      </w:r>
      <w:r w:rsidRPr="00412124">
        <w:rPr>
          <w:szCs w:val="24"/>
        </w:rPr>
        <w:t xml:space="preserve"> </w:t>
      </w:r>
      <w:r w:rsidRPr="00ED55B7">
        <w:rPr>
          <w:szCs w:val="24"/>
          <w:u w:val="single"/>
        </w:rPr>
        <w:t>setting out fully the grounds</w:t>
      </w:r>
      <w:r w:rsidRPr="00412124">
        <w:rPr>
          <w:szCs w:val="24"/>
        </w:rPr>
        <w:t xml:space="preserve"> </w:t>
      </w:r>
      <w:r w:rsidRPr="00BC1EC5">
        <w:rPr>
          <w:szCs w:val="24"/>
          <w:u w:val="single"/>
        </w:rPr>
        <w:t>upon which his or her appeal is based and any argument in support thereof.</w:t>
      </w:r>
    </w:p>
    <w:p w:rsidR="00BC1EC5" w:rsidRPr="00412124" w:rsidRDefault="00BC1EC5" w:rsidP="00323042">
      <w:pPr>
        <w:pStyle w:val="ListParagraph"/>
        <w:numPr>
          <w:ilvl w:val="0"/>
          <w:numId w:val="4"/>
        </w:numPr>
        <w:jc w:val="both"/>
        <w:rPr>
          <w:szCs w:val="24"/>
          <w:u w:val="single"/>
        </w:rPr>
      </w:pPr>
      <w:r w:rsidRPr="00412124">
        <w:rPr>
          <w:szCs w:val="24"/>
        </w:rPr>
        <w:t xml:space="preserve">Upon receipt of a notice given in terms of paragraph (a) of subsection (1) </w:t>
      </w:r>
      <w:r w:rsidRPr="00BC1EC5">
        <w:rPr>
          <w:szCs w:val="24"/>
          <w:u w:val="single"/>
        </w:rPr>
        <w:t xml:space="preserve">the member’s superior officer shall notify the Chief Staff Officer (Police) </w:t>
      </w:r>
      <w:r w:rsidRPr="00412124">
        <w:rPr>
          <w:szCs w:val="24"/>
        </w:rPr>
        <w:t xml:space="preserve">by the most </w:t>
      </w:r>
      <w:r>
        <w:rPr>
          <w:szCs w:val="24"/>
        </w:rPr>
        <w:t xml:space="preserve">expeditious </w:t>
      </w:r>
      <w:r w:rsidRPr="00412124">
        <w:rPr>
          <w:szCs w:val="24"/>
        </w:rPr>
        <w:t>means.” (my emphasis)</w:t>
      </w:r>
    </w:p>
    <w:p w:rsidR="00BC1EC5" w:rsidRDefault="00BC1EC5" w:rsidP="00323042">
      <w:pPr>
        <w:ind w:firstLine="720"/>
        <w:jc w:val="both"/>
      </w:pPr>
      <w:r>
        <w:t>The import of this provision is firstly</w:t>
      </w:r>
      <w:r w:rsidR="00E1328C">
        <w:t>,</w:t>
      </w:r>
      <w:r>
        <w:t xml:space="preserve"> that</w:t>
      </w:r>
      <w:r w:rsidR="001B76B0">
        <w:t xml:space="preserve"> compliance is mandatory.  Secondly, the applicants were required to give notice of their intention to appeal to their Officer Commanding.  Thirdly, both applicants were required to lodge with their Officer Commanding a notice of </w:t>
      </w:r>
      <w:r w:rsidR="001B76B0">
        <w:lastRenderedPageBreak/>
        <w:t>appeal and grounds thereof.  Finally, their superior officer was required to then notify the Chief Staff Officer of the applicants’ appeals.  The applicants contended that they filed their appeals properly in accordance with the law because the 2</w:t>
      </w:r>
      <w:r w:rsidR="001B76B0" w:rsidRPr="001B76B0">
        <w:rPr>
          <w:vertAlign w:val="superscript"/>
        </w:rPr>
        <w:t>nd</w:t>
      </w:r>
      <w:r w:rsidR="001B76B0">
        <w:t xml:space="preserve"> respondent determined the appeals.  Secondly, they argued that they submitted their appeals through their Officer Commanding who has not rebutted that assertion through an affidavit.  The 1</w:t>
      </w:r>
      <w:r w:rsidR="001B76B0" w:rsidRPr="001B76B0">
        <w:rPr>
          <w:vertAlign w:val="superscript"/>
        </w:rPr>
        <w:t>st</w:t>
      </w:r>
      <w:r w:rsidR="00E1328C">
        <w:t xml:space="preserve"> argument has</w:t>
      </w:r>
      <w:r w:rsidR="001B76B0">
        <w:t xml:space="preserve"> no merit in that</w:t>
      </w:r>
      <w:r w:rsidR="00E1328C">
        <w:t>,</w:t>
      </w:r>
      <w:r w:rsidR="001B76B0">
        <w:t xml:space="preserve"> in my view, it is neither here nor there that the 2</w:t>
      </w:r>
      <w:r w:rsidR="001B76B0" w:rsidRPr="001B76B0">
        <w:rPr>
          <w:vertAlign w:val="superscript"/>
        </w:rPr>
        <w:t>nd</w:t>
      </w:r>
      <w:r w:rsidR="001B76B0">
        <w:t xml:space="preserve"> respondent decided to consider and determine an appeal without looking at </w:t>
      </w:r>
      <w:r w:rsidR="00E1328C">
        <w:t xml:space="preserve">its </w:t>
      </w:r>
      <w:r w:rsidR="001B76B0">
        <w:t>procedural aspects.  This point was not raised or argued before the 2</w:t>
      </w:r>
      <w:r w:rsidR="001B76B0" w:rsidRPr="001B76B0">
        <w:rPr>
          <w:vertAlign w:val="superscript"/>
        </w:rPr>
        <w:t>nd</w:t>
      </w:r>
      <w:r w:rsidR="001B76B0">
        <w:t xml:space="preserve"> respondent.  Also since the reinstatement was supposed to be effected by the 1</w:t>
      </w:r>
      <w:r w:rsidR="001B76B0" w:rsidRPr="001B76B0">
        <w:rPr>
          <w:vertAlign w:val="superscript"/>
        </w:rPr>
        <w:t>st</w:t>
      </w:r>
      <w:r w:rsidR="001B76B0">
        <w:t xml:space="preserve"> respondent it was crucial that he be made aware of the appeal.  This in my v</w:t>
      </w:r>
      <w:r w:rsidR="00E1328C">
        <w:t>iew is the spirit of section 51</w:t>
      </w:r>
      <w:r w:rsidR="001B76B0">
        <w:t xml:space="preserve"> of the Act and s15 (1) of the Regulations.  The second argument has no merit in that it seeks</w:t>
      </w:r>
      <w:r w:rsidR="00D15D92">
        <w:t xml:space="preserve"> to shift the onus to the respondents to prove that the appeals were improperly filed in circumstances where applicants positively asserted that the</w:t>
      </w:r>
      <w:r w:rsidR="00E1328C">
        <w:t>y</w:t>
      </w:r>
      <w:r w:rsidR="00D15D92">
        <w:t xml:space="preserve"> appealed through their Officer Commanding.  This is a fact known to them and they would have easily discharged the onus by producing copies of their notices stamped by their Officer Commanding.</w:t>
      </w:r>
    </w:p>
    <w:p w:rsidR="00D15D92" w:rsidRDefault="00D15D92" w:rsidP="00323042">
      <w:pPr>
        <w:ind w:firstLine="720"/>
        <w:jc w:val="both"/>
      </w:pPr>
      <w:r>
        <w:t>In terms of the regulations, the 1</w:t>
      </w:r>
      <w:r w:rsidRPr="00D15D92">
        <w:rPr>
          <w:vertAlign w:val="superscript"/>
        </w:rPr>
        <w:t>st</w:t>
      </w:r>
      <w:r>
        <w:t xml:space="preserve"> respondent’s decision is only stayed by an appeal that complies with the regulations.  </w:t>
      </w:r>
      <w:r w:rsidRPr="00E1328C">
        <w:rPr>
          <w:i/>
        </w:rPr>
        <w:t>In casu,</w:t>
      </w:r>
      <w:r>
        <w:t xml:space="preserve"> I take the view that both applicants failed to comply with the regulations.  Therefore the 1</w:t>
      </w:r>
      <w:r w:rsidRPr="00D15D92">
        <w:rPr>
          <w:vertAlign w:val="superscript"/>
        </w:rPr>
        <w:t>st</w:t>
      </w:r>
      <w:r>
        <w:t xml:space="preserve"> respondent could not be obliged to reinstate applicants in circumstances where the 1</w:t>
      </w:r>
      <w:r w:rsidRPr="00D15D92">
        <w:rPr>
          <w:vertAlign w:val="superscript"/>
        </w:rPr>
        <w:t>st</w:t>
      </w:r>
      <w:r>
        <w:t xml:space="preserve"> respondent was in the dark about the appeals.  Consequently, the 1</w:t>
      </w:r>
      <w:r w:rsidRPr="00D15D92">
        <w:rPr>
          <w:vertAlign w:val="superscript"/>
        </w:rPr>
        <w:t>st</w:t>
      </w:r>
      <w:r>
        <w:t xml:space="preserve"> respondent’s failure to reinstate the applicants was not wrongful and unlawful.</w:t>
      </w:r>
    </w:p>
    <w:p w:rsidR="00D15D92" w:rsidRDefault="00D15D92" w:rsidP="00323042">
      <w:pPr>
        <w:ind w:firstLine="720"/>
        <w:jc w:val="both"/>
      </w:pPr>
      <w:r>
        <w:t>As regards the second issue the applicants’ argument</w:t>
      </w:r>
      <w:r w:rsidR="00E1328C">
        <w:t xml:space="preserve"> i</w:t>
      </w:r>
      <w:r>
        <w:t>s that they “verbally” requested for the 2</w:t>
      </w:r>
      <w:r w:rsidRPr="00D15D92">
        <w:rPr>
          <w:vertAlign w:val="superscript"/>
        </w:rPr>
        <w:t>nd</w:t>
      </w:r>
      <w:r>
        <w:t xml:space="preserve"> respondent’s reasons but none were forthcoming.  The 2</w:t>
      </w:r>
      <w:r w:rsidRPr="00D15D92">
        <w:rPr>
          <w:vertAlign w:val="superscript"/>
        </w:rPr>
        <w:t>nd</w:t>
      </w:r>
      <w:r>
        <w:t xml:space="preserve"> respondent denied r</w:t>
      </w:r>
      <w:r w:rsidR="00C155BD">
        <w:t xml:space="preserve">eceiving any such request.  The crisp issue is whether or not the applicants made verbal requests.  The court has to resolve this dispute on the papers as no </w:t>
      </w:r>
      <w:r w:rsidR="00C155BD" w:rsidRPr="00C155BD">
        <w:rPr>
          <w:i/>
        </w:rPr>
        <w:t>viva voce</w:t>
      </w:r>
      <w:r w:rsidR="00C155BD">
        <w:t xml:space="preserve"> evidence was led.  It must be noted that 2</w:t>
      </w:r>
      <w:r w:rsidR="00C155BD" w:rsidRPr="00C155BD">
        <w:rPr>
          <w:vertAlign w:val="superscript"/>
        </w:rPr>
        <w:t>nd</w:t>
      </w:r>
      <w:r w:rsidR="00C155BD">
        <w:t xml:space="preserve"> respondent is </w:t>
      </w:r>
      <w:r w:rsidR="00E1328C">
        <w:t xml:space="preserve">the chairperson of </w:t>
      </w:r>
      <w:r w:rsidR="00C155BD">
        <w:t>an institution.  Therefore, to allege that a verbal request was made without supplying further particulars of the identity of the person to whom it was made is not helpful.  Further, both applicants have not</w:t>
      </w:r>
      <w:r w:rsidR="007B18B9">
        <w:t xml:space="preserve"> stated when and where the request was allegedly made.  </w:t>
      </w:r>
      <w:r w:rsidR="00E1328C">
        <w:t>If the request was made to the 2</w:t>
      </w:r>
      <w:r w:rsidR="00E1328C" w:rsidRPr="00E1328C">
        <w:rPr>
          <w:vertAlign w:val="superscript"/>
        </w:rPr>
        <w:t>nd</w:t>
      </w:r>
      <w:r w:rsidR="00E1328C">
        <w:t xml:space="preserve"> respondent 1</w:t>
      </w:r>
      <w:r w:rsidR="00E1328C" w:rsidRPr="00E1328C">
        <w:rPr>
          <w:vertAlign w:val="superscript"/>
        </w:rPr>
        <w:t>st</w:t>
      </w:r>
      <w:r w:rsidR="00E1328C">
        <w:t xml:space="preserve"> they should have specifically </w:t>
      </w:r>
      <w:r w:rsidR="00E1328C">
        <w:lastRenderedPageBreak/>
        <w:t xml:space="preserve">stated so in their founding affidavits.  </w:t>
      </w:r>
      <w:r w:rsidR="007B18B9">
        <w:t>The probabilities in my view, do not favour a conclusion that verbal requests were made to the 2</w:t>
      </w:r>
      <w:r w:rsidR="007B18B9" w:rsidRPr="007B18B9">
        <w:rPr>
          <w:vertAlign w:val="superscript"/>
        </w:rPr>
        <w:t>nd</w:t>
      </w:r>
      <w:r w:rsidR="007B18B9">
        <w:t xml:space="preserve"> respondent.</w:t>
      </w:r>
    </w:p>
    <w:p w:rsidR="007B18B9" w:rsidRDefault="007B18B9" w:rsidP="00323042">
      <w:pPr>
        <w:ind w:firstLine="720"/>
        <w:jc w:val="both"/>
      </w:pPr>
      <w:r>
        <w:t>This brings me to section 68 of the Constitution of</w:t>
      </w:r>
      <w:r w:rsidR="00FF6391">
        <w:t xml:space="preserve"> </w:t>
      </w:r>
      <w:r>
        <w:t>Zimbabwe Amendment (No. 20) Act 2013 which provides;</w:t>
      </w:r>
    </w:p>
    <w:p w:rsidR="00FF6391" w:rsidRPr="00412124" w:rsidRDefault="00FF6391" w:rsidP="00323042">
      <w:pPr>
        <w:jc w:val="both"/>
        <w:rPr>
          <w:szCs w:val="24"/>
        </w:rPr>
      </w:pPr>
      <w:r w:rsidRPr="00412124">
        <w:rPr>
          <w:szCs w:val="24"/>
        </w:rPr>
        <w:t>68.</w:t>
      </w:r>
      <w:r w:rsidRPr="00412124">
        <w:rPr>
          <w:szCs w:val="24"/>
        </w:rPr>
        <w:tab/>
      </w:r>
      <w:r w:rsidRPr="00412124">
        <w:rPr>
          <w:szCs w:val="24"/>
          <w:u w:val="single"/>
        </w:rPr>
        <w:t>Right to administrative justice</w:t>
      </w:r>
    </w:p>
    <w:p w:rsidR="00FF6391" w:rsidRPr="00412124" w:rsidRDefault="00FF6391" w:rsidP="00323042">
      <w:pPr>
        <w:pStyle w:val="NoSpacing"/>
        <w:numPr>
          <w:ilvl w:val="0"/>
          <w:numId w:val="5"/>
        </w:numPr>
        <w:jc w:val="both"/>
      </w:pPr>
      <w:r w:rsidRPr="00412124">
        <w:t>Every person has a right to administrative conduct that is lawful, prompt, efficient, reasonable proportionate, impartial and both substantively and procedurally fair.</w:t>
      </w:r>
    </w:p>
    <w:p w:rsidR="00FF6391" w:rsidRPr="00412124" w:rsidRDefault="00FF6391" w:rsidP="00323042">
      <w:pPr>
        <w:pStyle w:val="NoSpacing"/>
        <w:numPr>
          <w:ilvl w:val="0"/>
          <w:numId w:val="5"/>
        </w:numPr>
        <w:jc w:val="both"/>
      </w:pPr>
      <w:r w:rsidRPr="00412124">
        <w:t xml:space="preserve">Any person whose right, freedom, interest or legitimate expectation has been adversely affected by administrative conduct </w:t>
      </w:r>
      <w:r w:rsidRPr="00412124">
        <w:rPr>
          <w:u w:val="single"/>
        </w:rPr>
        <w:t>has the right to be given promptly and in writing the reasons for the conduct.</w:t>
      </w:r>
    </w:p>
    <w:p w:rsidR="00D731D4" w:rsidRDefault="00D731D4" w:rsidP="00323042">
      <w:pPr>
        <w:pStyle w:val="NoSpacing"/>
        <w:numPr>
          <w:ilvl w:val="0"/>
          <w:numId w:val="5"/>
        </w:numPr>
        <w:jc w:val="both"/>
      </w:pPr>
      <w:r>
        <w:t xml:space="preserve"> An Act of Parliament must give effect to these rights, and must –</w:t>
      </w:r>
    </w:p>
    <w:p w:rsidR="00D731D4" w:rsidRDefault="00D731D4" w:rsidP="00323042">
      <w:pPr>
        <w:pStyle w:val="NoSpacing"/>
        <w:ind w:left="2520" w:hanging="360"/>
        <w:jc w:val="both"/>
      </w:pPr>
      <w:r>
        <w:t>(a)</w:t>
      </w:r>
      <w:r>
        <w:tab/>
        <w:t>provide for the review of administrative conduct by a court where appropriate, by an independent and impartial tribunal;</w:t>
      </w:r>
    </w:p>
    <w:p w:rsidR="00D731D4" w:rsidRDefault="00D731D4" w:rsidP="00323042">
      <w:pPr>
        <w:pStyle w:val="NoSpacing"/>
        <w:numPr>
          <w:ilvl w:val="0"/>
          <w:numId w:val="6"/>
        </w:numPr>
        <w:jc w:val="both"/>
      </w:pPr>
      <w:r>
        <w:t>imp</w:t>
      </w:r>
      <w:r w:rsidR="00E1328C">
        <w:t>o</w:t>
      </w:r>
      <w:r>
        <w:t>se a duty on the State to give effect to the rights in subsections (1) and (2); and</w:t>
      </w:r>
    </w:p>
    <w:p w:rsidR="00FF6391" w:rsidRPr="00412124" w:rsidRDefault="00D731D4" w:rsidP="00323042">
      <w:pPr>
        <w:pStyle w:val="NoSpacing"/>
        <w:numPr>
          <w:ilvl w:val="0"/>
          <w:numId w:val="6"/>
        </w:numPr>
        <w:jc w:val="both"/>
      </w:pPr>
      <w:r>
        <w:t>promote an efficient administration.</w:t>
      </w:r>
      <w:r w:rsidR="00FF6391" w:rsidRPr="00412124">
        <w:t>” (my emphasis)</w:t>
      </w:r>
    </w:p>
    <w:p w:rsidR="006779D7" w:rsidRDefault="001956EB" w:rsidP="00323042">
      <w:pPr>
        <w:ind w:firstLine="720"/>
        <w:jc w:val="both"/>
      </w:pPr>
      <w:r>
        <w:t>The Act that gives effect to these rights is the Administrative Justice Act (Chapter 10:28).  Sections 3</w:t>
      </w:r>
      <w:r w:rsidR="00A84AD9">
        <w:t xml:space="preserve"> thereof provides that:</w:t>
      </w:r>
    </w:p>
    <w:p w:rsidR="00A84AD9" w:rsidRDefault="00A84AD9" w:rsidP="00323042">
      <w:pPr>
        <w:ind w:firstLine="720"/>
        <w:jc w:val="both"/>
      </w:pPr>
      <w:r>
        <w:t>“3.</w:t>
      </w:r>
      <w:r>
        <w:tab/>
      </w:r>
      <w:r w:rsidRPr="0050553C">
        <w:rPr>
          <w:u w:val="single"/>
        </w:rPr>
        <w:t>Duty of Administrative Authority</w:t>
      </w:r>
    </w:p>
    <w:p w:rsidR="00A84AD9" w:rsidRDefault="00A84AD9" w:rsidP="00323042">
      <w:pPr>
        <w:pStyle w:val="ListParagraph"/>
        <w:numPr>
          <w:ilvl w:val="0"/>
          <w:numId w:val="7"/>
        </w:numPr>
        <w:jc w:val="both"/>
      </w:pPr>
      <w:r>
        <w:t xml:space="preserve"> An administrative authority which has the responsibility or power to take any administrative action which may affect the rights, interests or legitimate expectations of any person shall –</w:t>
      </w:r>
    </w:p>
    <w:p w:rsidR="00A84AD9" w:rsidRDefault="00A84AD9" w:rsidP="00323042">
      <w:pPr>
        <w:pStyle w:val="ListParagraph"/>
        <w:numPr>
          <w:ilvl w:val="1"/>
          <w:numId w:val="7"/>
        </w:numPr>
        <w:jc w:val="both"/>
      </w:pPr>
      <w:r>
        <w:t>act lawfully, reasonably and in a fair manner; and</w:t>
      </w:r>
    </w:p>
    <w:p w:rsidR="00A84AD9" w:rsidRDefault="00E1328C" w:rsidP="00323042">
      <w:pPr>
        <w:pStyle w:val="ListParagraph"/>
        <w:numPr>
          <w:ilvl w:val="1"/>
          <w:numId w:val="7"/>
        </w:numPr>
        <w:jc w:val="both"/>
      </w:pPr>
      <w:r>
        <w:t>a</w:t>
      </w:r>
      <w:r w:rsidR="00A84AD9">
        <w:t>ct within the relevant period specifi</w:t>
      </w:r>
      <w:r w:rsidR="007A401D">
        <w:t>e</w:t>
      </w:r>
      <w:r w:rsidR="00A84AD9">
        <w:t xml:space="preserve">d by law, </w:t>
      </w:r>
      <w:r w:rsidR="007A401D">
        <w:t>or if there is no such specified period, within a reasonable period after being requested to take the action by the person concerned, and</w:t>
      </w:r>
    </w:p>
    <w:p w:rsidR="007A401D" w:rsidRDefault="00E1328C" w:rsidP="00323042">
      <w:pPr>
        <w:pStyle w:val="ListParagraph"/>
        <w:numPr>
          <w:ilvl w:val="1"/>
          <w:numId w:val="7"/>
        </w:numPr>
        <w:jc w:val="both"/>
      </w:pPr>
      <w:r>
        <w:t>w</w:t>
      </w:r>
      <w:r w:rsidR="007A401D">
        <w:t xml:space="preserve">here it has taken the action, </w:t>
      </w:r>
      <w:r w:rsidR="007A401D">
        <w:rPr>
          <w:u w:val="single"/>
        </w:rPr>
        <w:t>supply w</w:t>
      </w:r>
      <w:r>
        <w:rPr>
          <w:u w:val="single"/>
        </w:rPr>
        <w:t>ritten</w:t>
      </w:r>
      <w:r w:rsidR="007A401D">
        <w:rPr>
          <w:u w:val="single"/>
        </w:rPr>
        <w:t xml:space="preserve"> reasons therefore w</w:t>
      </w:r>
      <w:r w:rsidR="00C93677">
        <w:rPr>
          <w:u w:val="single"/>
        </w:rPr>
        <w:t>ithin</w:t>
      </w:r>
      <w:r w:rsidR="007A401D">
        <w:rPr>
          <w:u w:val="single"/>
        </w:rPr>
        <w:t xml:space="preserve"> the relevant period specified by law or if there is no such specified period, within </w:t>
      </w:r>
      <w:r w:rsidR="007A401D">
        <w:rPr>
          <w:u w:val="single"/>
        </w:rPr>
        <w:lastRenderedPageBreak/>
        <w:t>a reasonable period after being requested to supply reasons by the person concerned.”</w:t>
      </w:r>
      <w:r w:rsidR="007A401D">
        <w:t xml:space="preserve"> (my emphasis)</w:t>
      </w:r>
    </w:p>
    <w:p w:rsidR="007A401D" w:rsidRDefault="007A401D" w:rsidP="00323042">
      <w:pPr>
        <w:ind w:firstLine="720"/>
        <w:jc w:val="both"/>
      </w:pPr>
      <w:r>
        <w:t>Now</w:t>
      </w:r>
      <w:r w:rsidR="00C93677">
        <w:t>,</w:t>
      </w:r>
      <w:r>
        <w:t xml:space="preserve"> in terms of this Act, a person who requires written reasons for any administrative decision which adversely affects him/her must request to be supplied with those reasons.  The question then becomes whether or not this interpretation should be extended to s68 of the Constitution?  The South African Supreme Court ascribed the s</w:t>
      </w:r>
      <w:r w:rsidR="00006871">
        <w:t xml:space="preserve">ame meaning to a provision </w:t>
      </w:r>
      <w:r w:rsidR="00323042">
        <w:t>that</w:t>
      </w:r>
      <w:r>
        <w:t xml:space="preserve"> </w:t>
      </w:r>
      <w:r w:rsidR="0050553C">
        <w:t xml:space="preserve">is </w:t>
      </w:r>
      <w:r w:rsidR="00C93677">
        <w:t>similar to s6</w:t>
      </w:r>
      <w:r>
        <w:t>8 of our Constitution</w:t>
      </w:r>
      <w:r w:rsidR="00C93677">
        <w:t>, i</w:t>
      </w:r>
      <w:r>
        <w:t xml:space="preserve">n </w:t>
      </w:r>
      <w:r w:rsidRPr="0050553C">
        <w:rPr>
          <w:i/>
        </w:rPr>
        <w:t>Sout</w:t>
      </w:r>
      <w:r w:rsidR="00006871" w:rsidRPr="0050553C">
        <w:rPr>
          <w:i/>
        </w:rPr>
        <w:t>h</w:t>
      </w:r>
      <w:r w:rsidRPr="0050553C">
        <w:rPr>
          <w:i/>
        </w:rPr>
        <w:t xml:space="preserve"> African Police Service &amp; Ors</w:t>
      </w:r>
      <w:r>
        <w:t xml:space="preserve"> v </w:t>
      </w:r>
      <w:r w:rsidRPr="0050553C">
        <w:rPr>
          <w:i/>
        </w:rPr>
        <w:t>Maimela &amp; Anor</w:t>
      </w:r>
      <w:r>
        <w:t xml:space="preserve"> 2003 (S) SA 4801.  In this case, D</w:t>
      </w:r>
      <w:r w:rsidRPr="0050553C">
        <w:rPr>
          <w:sz w:val="20"/>
          <w:szCs w:val="20"/>
        </w:rPr>
        <w:t xml:space="preserve">U </w:t>
      </w:r>
      <w:r>
        <w:t>P</w:t>
      </w:r>
      <w:r w:rsidRPr="0050553C">
        <w:rPr>
          <w:sz w:val="20"/>
          <w:szCs w:val="20"/>
        </w:rPr>
        <w:t xml:space="preserve">LESSES </w:t>
      </w:r>
      <w:r>
        <w:t>J held that:</w:t>
      </w:r>
    </w:p>
    <w:p w:rsidR="00006871" w:rsidRPr="00412124" w:rsidRDefault="00006871" w:rsidP="00323042">
      <w:pPr>
        <w:pStyle w:val="NoSpacing"/>
        <w:ind w:left="720"/>
        <w:jc w:val="both"/>
      </w:pPr>
      <w:r w:rsidRPr="00412124">
        <w:t xml:space="preserve">“When interpreting section 33 (c) of the Constitution, it must be borne in mind that the right to be furnished with reasons is very wide, it applies to every person whose right or interests are affected by any administrative action.  In many instances the persons affected may not be interested in the reasons.  </w:t>
      </w:r>
      <w:r w:rsidRPr="00412124">
        <w:rPr>
          <w:u w:val="single"/>
        </w:rPr>
        <w:t>The practical interpretation of section 33(c) is that reasons must be furnished to aff</w:t>
      </w:r>
      <w:r>
        <w:rPr>
          <w:u w:val="single"/>
        </w:rPr>
        <w:t>ected persons who assert the</w:t>
      </w:r>
      <w:r w:rsidRPr="00412124">
        <w:rPr>
          <w:u w:val="single"/>
        </w:rPr>
        <w:t xml:space="preserve"> right to be furnished with reasons.  The purpose of section 33(c) is not to oblige administrative decision-makers to furnish without a request, reasons f</w:t>
      </w:r>
      <w:r w:rsidR="00C93677">
        <w:rPr>
          <w:u w:val="single"/>
        </w:rPr>
        <w:t>or</w:t>
      </w:r>
      <w:r w:rsidRPr="00412124">
        <w:rPr>
          <w:u w:val="single"/>
        </w:rPr>
        <w:t xml:space="preserve"> every single administrative action taken in this country”.</w:t>
      </w:r>
      <w:r w:rsidRPr="00412124">
        <w:t xml:space="preserve"> (See Klaaren (in Chaskalson &amp; Others Constitutional Law of SA (Revision Services, 1999) at 25-19). (my emphasis)</w:t>
      </w:r>
    </w:p>
    <w:p w:rsidR="00006871" w:rsidRDefault="00006871" w:rsidP="00323042">
      <w:pPr>
        <w:jc w:val="both"/>
      </w:pPr>
      <w:r>
        <w:tab/>
        <w:t>In the present matter I have found that both applicants did not prior to filing this application request to be supplied with the 2</w:t>
      </w:r>
      <w:r w:rsidRPr="00006871">
        <w:rPr>
          <w:vertAlign w:val="superscript"/>
        </w:rPr>
        <w:t>nd</w:t>
      </w:r>
      <w:r>
        <w:t xml:space="preserve"> respondent’s reasons for dismissing their appeals.  It is incredible and improbable to allege or assert that they made verbal requests to an institution without identifying a specific recipient.  </w:t>
      </w:r>
      <w:r w:rsidR="00C93677">
        <w:t>As I pointed out above, i</w:t>
      </w:r>
      <w:r>
        <w:t xml:space="preserve">f they made the request to the second respondent’s chairperson then they should have said so in their founding affidavits.  They </w:t>
      </w:r>
      <w:r w:rsidR="00323042">
        <w:t>should have</w:t>
      </w:r>
      <w:r>
        <w:t xml:space="preserve"> also </w:t>
      </w:r>
      <w:r w:rsidR="00323042">
        <w:t>mentioned when</w:t>
      </w:r>
      <w:r>
        <w:t xml:space="preserve"> and where the </w:t>
      </w:r>
      <w:r w:rsidR="00323042">
        <w:t>request was</w:t>
      </w:r>
      <w:r>
        <w:t xml:space="preserve"> made.</w:t>
      </w:r>
    </w:p>
    <w:p w:rsidR="00006871" w:rsidRDefault="00006871" w:rsidP="00323042">
      <w:pPr>
        <w:jc w:val="both"/>
      </w:pPr>
      <w:r>
        <w:tab/>
        <w:t>Therefore, I find that the 2</w:t>
      </w:r>
      <w:r w:rsidRPr="00006871">
        <w:rPr>
          <w:vertAlign w:val="superscript"/>
        </w:rPr>
        <w:t>nd</w:t>
      </w:r>
      <w:r>
        <w:t xml:space="preserve"> respondent’s failure to supply his reasons for dismissing the applicants’ appeals does not contravene s68 of the Constitution.  It cannot on the authorities above be termed “wrongful and unlawful”.</w:t>
      </w:r>
    </w:p>
    <w:p w:rsidR="00006871" w:rsidRDefault="00006871" w:rsidP="00323042">
      <w:pPr>
        <w:jc w:val="both"/>
      </w:pPr>
      <w:r>
        <w:tab/>
        <w:t>The 3</w:t>
      </w:r>
      <w:r w:rsidRPr="00006871">
        <w:rPr>
          <w:vertAlign w:val="superscript"/>
        </w:rPr>
        <w:t>rd</w:t>
      </w:r>
      <w:r>
        <w:t xml:space="preserve"> issue relating to the constitutionality of the Police Service Co</w:t>
      </w:r>
      <w:r w:rsidR="008257C0">
        <w:t xml:space="preserve">mmission was included as a parting shot in my view.  I say so because the point was not sufficiently argued by both parties.  As I pointed out elsewhere, the applicants are free to file any application with the </w:t>
      </w:r>
      <w:r w:rsidR="008257C0">
        <w:lastRenderedPageBreak/>
        <w:t>Constitutional Court.  On the status of the 2</w:t>
      </w:r>
      <w:r w:rsidR="008257C0" w:rsidRPr="008257C0">
        <w:rPr>
          <w:vertAlign w:val="superscript"/>
        </w:rPr>
        <w:t>nd</w:t>
      </w:r>
      <w:r w:rsidR="008257C0">
        <w:t xml:space="preserve"> respondent this court is unable to make a determination on the basis of the unsubstantiated allegations </w:t>
      </w:r>
      <w:r w:rsidR="00C93677">
        <w:t>in</w:t>
      </w:r>
      <w:r w:rsidR="008257C0">
        <w:t xml:space="preserve"> the founding affidavits by the applicants.  The applicants have failed to </w:t>
      </w:r>
      <w:r w:rsidR="0050553C">
        <w:t>discharge the onus to prove their c</w:t>
      </w:r>
      <w:r w:rsidR="00C93677">
        <w:t>laims.</w:t>
      </w:r>
    </w:p>
    <w:p w:rsidR="0050553C" w:rsidRDefault="0050553C" w:rsidP="00323042">
      <w:pPr>
        <w:jc w:val="both"/>
      </w:pPr>
      <w:r>
        <w:tab/>
        <w:t>In the circumstances the application is hereby dismissed with costs.</w:t>
      </w:r>
    </w:p>
    <w:p w:rsidR="0050553C" w:rsidRDefault="0050553C" w:rsidP="00323042">
      <w:pPr>
        <w:jc w:val="both"/>
      </w:pPr>
    </w:p>
    <w:p w:rsidR="0050553C" w:rsidRDefault="0050553C" w:rsidP="00323042">
      <w:pPr>
        <w:pStyle w:val="NoSpacing"/>
        <w:jc w:val="both"/>
      </w:pPr>
      <w:r w:rsidRPr="0050553C">
        <w:rPr>
          <w:i/>
        </w:rPr>
        <w:t>Mugiya, &amp; Macharaga Law Chambers</w:t>
      </w:r>
      <w:r>
        <w:t>, applicants’ legal practitioners</w:t>
      </w:r>
    </w:p>
    <w:p w:rsidR="0050553C" w:rsidRPr="008F593E" w:rsidRDefault="0050553C" w:rsidP="00323042">
      <w:pPr>
        <w:pStyle w:val="NoSpacing"/>
        <w:jc w:val="both"/>
      </w:pPr>
      <w:r w:rsidRPr="0050553C">
        <w:rPr>
          <w:i/>
        </w:rPr>
        <w:t>Civil Division of the Attorney General’s Office,</w:t>
      </w:r>
      <w:r>
        <w:t xml:space="preserve"> respondents’ legal practitioners</w:t>
      </w:r>
    </w:p>
    <w:sectPr w:rsidR="0050553C" w:rsidRPr="008F593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D13" w:rsidRDefault="00FD1D13" w:rsidP="0050553C">
      <w:pPr>
        <w:spacing w:before="0" w:after="0" w:line="240" w:lineRule="auto"/>
      </w:pPr>
      <w:r>
        <w:separator/>
      </w:r>
    </w:p>
  </w:endnote>
  <w:endnote w:type="continuationSeparator" w:id="1">
    <w:p w:rsidR="00FD1D13" w:rsidRDefault="00FD1D13" w:rsidP="0050553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D13" w:rsidRDefault="00FD1D13" w:rsidP="0050553C">
      <w:pPr>
        <w:spacing w:before="0" w:after="0" w:line="240" w:lineRule="auto"/>
      </w:pPr>
      <w:r>
        <w:separator/>
      </w:r>
    </w:p>
  </w:footnote>
  <w:footnote w:type="continuationSeparator" w:id="1">
    <w:p w:rsidR="00FD1D13" w:rsidRDefault="00FD1D13" w:rsidP="0050553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2781"/>
      <w:docPartObj>
        <w:docPartGallery w:val="Page Numbers (Top of Page)"/>
        <w:docPartUnique/>
      </w:docPartObj>
    </w:sdtPr>
    <w:sdtContent>
      <w:p w:rsidR="0050553C" w:rsidRDefault="00126351">
        <w:pPr>
          <w:pStyle w:val="Header"/>
          <w:jc w:val="right"/>
        </w:pPr>
        <w:fldSimple w:instr=" PAGE   \* MERGEFORMAT ">
          <w:r w:rsidR="00C93677">
            <w:rPr>
              <w:noProof/>
            </w:rPr>
            <w:t>5</w:t>
          </w:r>
        </w:fldSimple>
      </w:p>
      <w:p w:rsidR="0050553C" w:rsidRDefault="00323042" w:rsidP="00323042">
        <w:pPr>
          <w:pStyle w:val="NoSpacing"/>
          <w:ind w:left="7920"/>
        </w:pPr>
        <w:r>
          <w:t xml:space="preserve">        </w:t>
        </w:r>
        <w:r w:rsidR="0050553C">
          <w:t>HB 02/19</w:t>
        </w:r>
      </w:p>
      <w:p w:rsidR="0050553C" w:rsidRDefault="00323042" w:rsidP="00323042">
        <w:pPr>
          <w:pStyle w:val="NoSpacing"/>
          <w:ind w:left="7920"/>
        </w:pPr>
        <w:r>
          <w:t xml:space="preserve">    HC 1887/17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507"/>
    <w:multiLevelType w:val="hybridMultilevel"/>
    <w:tmpl w:val="EBE8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6396C"/>
    <w:multiLevelType w:val="hybridMultilevel"/>
    <w:tmpl w:val="3F84271C"/>
    <w:lvl w:ilvl="0" w:tplc="518E0FC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7B51EA"/>
    <w:multiLevelType w:val="hybridMultilevel"/>
    <w:tmpl w:val="97AC2BF0"/>
    <w:lvl w:ilvl="0" w:tplc="9C40C726">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8047C74"/>
    <w:multiLevelType w:val="hybridMultilevel"/>
    <w:tmpl w:val="726296E4"/>
    <w:lvl w:ilvl="0" w:tplc="0C6CF8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A3A64ED"/>
    <w:multiLevelType w:val="hybridMultilevel"/>
    <w:tmpl w:val="FE20C3B0"/>
    <w:lvl w:ilvl="0" w:tplc="3154EEEC">
      <w:start w:val="1"/>
      <w:numFmt w:val="decimal"/>
      <w:lvlText w:val="(%1)"/>
      <w:lvlJc w:val="left"/>
      <w:pPr>
        <w:ind w:left="1080" w:hanging="360"/>
      </w:pPr>
      <w:rPr>
        <w:rFonts w:hint="default"/>
      </w:rPr>
    </w:lvl>
    <w:lvl w:ilvl="1" w:tplc="B0F08456">
      <w:start w:val="1"/>
      <w:numFmt w:val="lowerLetter"/>
      <w:lvlText w:val="(%2)"/>
      <w:lvlJc w:val="left"/>
      <w:pPr>
        <w:ind w:left="1800" w:hanging="360"/>
      </w:pPr>
      <w:rPr>
        <w:rFonts w:ascii="Times New Roman" w:eastAsiaTheme="minorHAnsi" w:hAnsi="Times New Roman"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C33F46"/>
    <w:multiLevelType w:val="hybridMultilevel"/>
    <w:tmpl w:val="06843D0E"/>
    <w:lvl w:ilvl="0" w:tplc="DE4A4C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6172F"/>
    <w:multiLevelType w:val="hybridMultilevel"/>
    <w:tmpl w:val="BB16F3E8"/>
    <w:lvl w:ilvl="0" w:tplc="557011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593E"/>
    <w:rsid w:val="00006871"/>
    <w:rsid w:val="00126351"/>
    <w:rsid w:val="001956EB"/>
    <w:rsid w:val="001B76B0"/>
    <w:rsid w:val="001C5C43"/>
    <w:rsid w:val="001D126B"/>
    <w:rsid w:val="002C7F8A"/>
    <w:rsid w:val="00323042"/>
    <w:rsid w:val="00333B86"/>
    <w:rsid w:val="003A3365"/>
    <w:rsid w:val="003E5BAA"/>
    <w:rsid w:val="00417E04"/>
    <w:rsid w:val="00477B02"/>
    <w:rsid w:val="0050553C"/>
    <w:rsid w:val="0054317D"/>
    <w:rsid w:val="0061519D"/>
    <w:rsid w:val="006779D7"/>
    <w:rsid w:val="0068662E"/>
    <w:rsid w:val="006A03C9"/>
    <w:rsid w:val="00701C30"/>
    <w:rsid w:val="0071477E"/>
    <w:rsid w:val="007A401D"/>
    <w:rsid w:val="007B18B9"/>
    <w:rsid w:val="007B49A6"/>
    <w:rsid w:val="007D0B26"/>
    <w:rsid w:val="007D2790"/>
    <w:rsid w:val="00817D4C"/>
    <w:rsid w:val="00824C7C"/>
    <w:rsid w:val="008257C0"/>
    <w:rsid w:val="008A7672"/>
    <w:rsid w:val="008C3209"/>
    <w:rsid w:val="008F593E"/>
    <w:rsid w:val="009A05A9"/>
    <w:rsid w:val="009E5C1A"/>
    <w:rsid w:val="00A50BC8"/>
    <w:rsid w:val="00A84AD9"/>
    <w:rsid w:val="00B60F02"/>
    <w:rsid w:val="00BC1EC5"/>
    <w:rsid w:val="00C155BD"/>
    <w:rsid w:val="00C61900"/>
    <w:rsid w:val="00C93677"/>
    <w:rsid w:val="00C94257"/>
    <w:rsid w:val="00D15D92"/>
    <w:rsid w:val="00D20B4C"/>
    <w:rsid w:val="00D731D4"/>
    <w:rsid w:val="00E10C27"/>
    <w:rsid w:val="00E1328C"/>
    <w:rsid w:val="00FD1D13"/>
    <w:rsid w:val="00FF6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61519D"/>
    <w:pPr>
      <w:ind w:left="720"/>
      <w:contextualSpacing/>
    </w:pPr>
  </w:style>
  <w:style w:type="paragraph" w:styleId="Header">
    <w:name w:val="header"/>
    <w:basedOn w:val="Normal"/>
    <w:link w:val="HeaderChar"/>
    <w:uiPriority w:val="99"/>
    <w:unhideWhenUsed/>
    <w:rsid w:val="0050553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0553C"/>
    <w:rPr>
      <w:rFonts w:ascii="Times New Roman" w:hAnsi="Times New Roman"/>
      <w:sz w:val="24"/>
    </w:rPr>
  </w:style>
  <w:style w:type="paragraph" w:styleId="Footer">
    <w:name w:val="footer"/>
    <w:basedOn w:val="Normal"/>
    <w:link w:val="FooterChar"/>
    <w:uiPriority w:val="99"/>
    <w:semiHidden/>
    <w:unhideWhenUsed/>
    <w:rsid w:val="0050553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0553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9</cp:revision>
  <cp:lastPrinted>2019-01-08T14:39:00Z</cp:lastPrinted>
  <dcterms:created xsi:type="dcterms:W3CDTF">2019-01-07T14:03:00Z</dcterms:created>
  <dcterms:modified xsi:type="dcterms:W3CDTF">2019-01-08T14:41:00Z</dcterms:modified>
</cp:coreProperties>
</file>