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0A" w:rsidRDefault="00C16576" w:rsidP="00B32B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EX-CONSTABLE MATSEKETSA A. 073911M</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A0BAA" w:rsidRDefault="00C16576"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C16576" w:rsidRDefault="00C16576"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16576" w:rsidRDefault="00C16576"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HOME AFFAIRS</w:t>
      </w:r>
    </w:p>
    <w:p w:rsidR="005D6D38" w:rsidRDefault="005D6D38" w:rsidP="00B32BBC">
      <w:pPr>
        <w:spacing w:after="0" w:line="360" w:lineRule="auto"/>
        <w:jc w:val="both"/>
        <w:rPr>
          <w:rFonts w:ascii="Times New Roman" w:hAnsi="Times New Roman" w:cs="Times New Roman"/>
          <w:sz w:val="24"/>
          <w:szCs w:val="24"/>
        </w:rPr>
      </w:pPr>
    </w:p>
    <w:p w:rsidR="00A01B81" w:rsidRDefault="00A01B81" w:rsidP="00B32BBC">
      <w:pPr>
        <w:spacing w:after="0" w:line="360" w:lineRule="auto"/>
        <w:jc w:val="both"/>
        <w:rPr>
          <w:rFonts w:ascii="Times New Roman" w:hAnsi="Times New Roman" w:cs="Times New Roman"/>
          <w:sz w:val="24"/>
          <w:szCs w:val="24"/>
        </w:rPr>
      </w:pP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t>
      </w:r>
      <w:r w:rsidR="00C16576">
        <w:rPr>
          <w:rFonts w:ascii="Times New Roman" w:hAnsi="Times New Roman" w:cs="Times New Roman"/>
          <w:sz w:val="24"/>
          <w:szCs w:val="24"/>
        </w:rPr>
        <w:t>NGOTA</w:t>
      </w:r>
      <w:r>
        <w:rPr>
          <w:rFonts w:ascii="Times New Roman" w:hAnsi="Times New Roman" w:cs="Times New Roman"/>
          <w:sz w:val="24"/>
          <w:szCs w:val="24"/>
        </w:rPr>
        <w:t xml:space="preserve"> J</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16576">
        <w:rPr>
          <w:rFonts w:ascii="Times New Roman" w:hAnsi="Times New Roman" w:cs="Times New Roman"/>
          <w:sz w:val="24"/>
          <w:szCs w:val="24"/>
        </w:rPr>
        <w:t xml:space="preserve">9 July, </w:t>
      </w:r>
      <w:r w:rsidR="006B3DDC">
        <w:rPr>
          <w:rFonts w:ascii="Times New Roman" w:hAnsi="Times New Roman" w:cs="Times New Roman"/>
          <w:sz w:val="24"/>
          <w:szCs w:val="24"/>
        </w:rPr>
        <w:t>2018</w:t>
      </w:r>
      <w:r w:rsidR="00DD3A4B">
        <w:rPr>
          <w:rFonts w:ascii="Times New Roman" w:hAnsi="Times New Roman" w:cs="Times New Roman"/>
          <w:sz w:val="24"/>
          <w:szCs w:val="24"/>
        </w:rPr>
        <w:t xml:space="preserve"> and 9 August, 2018</w:t>
      </w: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5D6D38" w:rsidRPr="005D6D38" w:rsidRDefault="00C16576" w:rsidP="00B32B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5D6D38" w:rsidRDefault="005D6D38" w:rsidP="00B32BBC">
      <w:pPr>
        <w:spacing w:after="0" w:line="360" w:lineRule="auto"/>
        <w:jc w:val="both"/>
        <w:rPr>
          <w:rFonts w:ascii="Times New Roman" w:hAnsi="Times New Roman" w:cs="Times New Roman"/>
          <w:sz w:val="24"/>
          <w:szCs w:val="24"/>
        </w:rPr>
      </w:pPr>
    </w:p>
    <w:p w:rsidR="008A34B8" w:rsidRDefault="00205DBD" w:rsidP="00B32B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w:t>
      </w:r>
      <w:r w:rsidR="008A34B8">
        <w:rPr>
          <w:rFonts w:ascii="Times New Roman" w:hAnsi="Times New Roman" w:cs="Times New Roman"/>
          <w:sz w:val="24"/>
          <w:szCs w:val="24"/>
        </w:rPr>
        <w:t>, for the applicant</w:t>
      </w:r>
    </w:p>
    <w:p w:rsidR="005D6D38" w:rsidRDefault="00205DBD" w:rsidP="00B32B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M. Gezera</w:t>
      </w:r>
      <w:r w:rsidR="00C16F58">
        <w:rPr>
          <w:rFonts w:ascii="Times New Roman" w:hAnsi="Times New Roman" w:cs="Times New Roman"/>
          <w:sz w:val="24"/>
          <w:szCs w:val="24"/>
        </w:rPr>
        <w:t>, for the respondent</w:t>
      </w:r>
      <w:r>
        <w:rPr>
          <w:rFonts w:ascii="Times New Roman" w:hAnsi="Times New Roman" w:cs="Times New Roman"/>
          <w:sz w:val="24"/>
          <w:szCs w:val="24"/>
        </w:rPr>
        <w:t>s</w:t>
      </w:r>
    </w:p>
    <w:p w:rsidR="005D6D38" w:rsidRDefault="005D6D38" w:rsidP="00B32BBC">
      <w:pPr>
        <w:spacing w:after="0" w:line="360" w:lineRule="auto"/>
        <w:jc w:val="both"/>
        <w:rPr>
          <w:rFonts w:ascii="Times New Roman" w:hAnsi="Times New Roman" w:cs="Times New Roman"/>
          <w:sz w:val="24"/>
          <w:szCs w:val="24"/>
        </w:rPr>
      </w:pPr>
    </w:p>
    <w:p w:rsidR="00F126CC" w:rsidRDefault="005D6D38"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505EC9">
        <w:rPr>
          <w:rFonts w:ascii="Times New Roman" w:hAnsi="Times New Roman" w:cs="Times New Roman"/>
          <w:sz w:val="24"/>
          <w:szCs w:val="24"/>
        </w:rPr>
        <w:t xml:space="preserve"> </w:t>
      </w:r>
      <w:r w:rsidR="00C16576">
        <w:rPr>
          <w:rFonts w:ascii="Times New Roman" w:hAnsi="Times New Roman" w:cs="Times New Roman"/>
          <w:sz w:val="24"/>
          <w:szCs w:val="24"/>
        </w:rPr>
        <w:t>The applicant applied for a declaratur. He moved the court to declare that:</w:t>
      </w:r>
    </w:p>
    <w:p w:rsidR="00C16576" w:rsidRDefault="00205DBD" w:rsidP="00C1657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C16576">
        <w:rPr>
          <w:rFonts w:ascii="Times New Roman" w:hAnsi="Times New Roman" w:cs="Times New Roman"/>
          <w:sz w:val="24"/>
          <w:szCs w:val="24"/>
        </w:rPr>
        <w:t xml:space="preserve">is trial under the Police Act for the offence he was tried under ordinary law which amounted to dual prosecution be declared unlawful </w:t>
      </w:r>
      <w:r>
        <w:rPr>
          <w:rFonts w:ascii="Times New Roman" w:hAnsi="Times New Roman" w:cs="Times New Roman"/>
          <w:sz w:val="24"/>
          <w:szCs w:val="24"/>
        </w:rPr>
        <w:t xml:space="preserve"> - </w:t>
      </w:r>
      <w:r w:rsidR="00C16576">
        <w:rPr>
          <w:rFonts w:ascii="Times New Roman" w:hAnsi="Times New Roman" w:cs="Times New Roman"/>
          <w:sz w:val="24"/>
          <w:szCs w:val="24"/>
        </w:rPr>
        <w:t>and</w:t>
      </w:r>
    </w:p>
    <w:p w:rsidR="00C16576" w:rsidRDefault="00205DBD" w:rsidP="00C1657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C16576">
        <w:rPr>
          <w:rFonts w:ascii="Times New Roman" w:hAnsi="Times New Roman" w:cs="Times New Roman"/>
          <w:sz w:val="24"/>
          <w:szCs w:val="24"/>
        </w:rPr>
        <w:t xml:space="preserve">is discharge from the </w:t>
      </w:r>
      <w:r>
        <w:rPr>
          <w:rFonts w:ascii="Times New Roman" w:hAnsi="Times New Roman" w:cs="Times New Roman"/>
          <w:sz w:val="24"/>
          <w:szCs w:val="24"/>
        </w:rPr>
        <w:t xml:space="preserve">Police Service </w:t>
      </w:r>
      <w:r w:rsidR="00C16576">
        <w:rPr>
          <w:rFonts w:ascii="Times New Roman" w:hAnsi="Times New Roman" w:cs="Times New Roman"/>
          <w:sz w:val="24"/>
          <w:szCs w:val="24"/>
        </w:rPr>
        <w:t>following his conviction under the Police Act for the offence he was acquitted o</w:t>
      </w:r>
      <w:r>
        <w:rPr>
          <w:rFonts w:ascii="Times New Roman" w:hAnsi="Times New Roman" w:cs="Times New Roman"/>
          <w:sz w:val="24"/>
          <w:szCs w:val="24"/>
        </w:rPr>
        <w:t>f</w:t>
      </w:r>
      <w:r w:rsidR="00C16576">
        <w:rPr>
          <w:rFonts w:ascii="Times New Roman" w:hAnsi="Times New Roman" w:cs="Times New Roman"/>
          <w:sz w:val="24"/>
          <w:szCs w:val="24"/>
        </w:rPr>
        <w:t xml:space="preserve"> under ordinary law be declared unlawful.</w:t>
      </w:r>
    </w:p>
    <w:p w:rsidR="00C16576" w:rsidRDefault="00C16576"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16576" w:rsidRDefault="00C16576"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statement is that he was charged under the Criminal Law </w:t>
      </w:r>
      <w:r w:rsidR="00205DBD">
        <w:rPr>
          <w:rFonts w:ascii="Times New Roman" w:hAnsi="Times New Roman" w:cs="Times New Roman"/>
          <w:sz w:val="24"/>
          <w:szCs w:val="24"/>
        </w:rPr>
        <w:t>(</w:t>
      </w:r>
      <w:r>
        <w:rPr>
          <w:rFonts w:ascii="Times New Roman" w:hAnsi="Times New Roman" w:cs="Times New Roman"/>
          <w:sz w:val="24"/>
          <w:szCs w:val="24"/>
        </w:rPr>
        <w:t>Codification and Reform</w:t>
      </w:r>
      <w:r w:rsidR="00205DBD">
        <w:rPr>
          <w:rFonts w:ascii="Times New Roman" w:hAnsi="Times New Roman" w:cs="Times New Roman"/>
          <w:sz w:val="24"/>
          <w:szCs w:val="24"/>
        </w:rPr>
        <w:t>)</w:t>
      </w:r>
      <w:r>
        <w:rPr>
          <w:rFonts w:ascii="Times New Roman" w:hAnsi="Times New Roman" w:cs="Times New Roman"/>
          <w:sz w:val="24"/>
          <w:szCs w:val="24"/>
        </w:rPr>
        <w:t xml:space="preserve"> Act [</w:t>
      </w:r>
      <w:r w:rsidRPr="00C16576">
        <w:rPr>
          <w:rFonts w:ascii="Times New Roman" w:hAnsi="Times New Roman" w:cs="Times New Roman"/>
          <w:i/>
          <w:sz w:val="24"/>
          <w:szCs w:val="24"/>
        </w:rPr>
        <w:t>Chapter 9:23</w:t>
      </w:r>
      <w:r>
        <w:rPr>
          <w:rFonts w:ascii="Times New Roman" w:hAnsi="Times New Roman" w:cs="Times New Roman"/>
          <w:sz w:val="24"/>
          <w:szCs w:val="24"/>
        </w:rPr>
        <w:t>] and was acquitted by the court o</w:t>
      </w:r>
      <w:r w:rsidR="002D56BE">
        <w:rPr>
          <w:rFonts w:ascii="Times New Roman" w:hAnsi="Times New Roman" w:cs="Times New Roman"/>
          <w:sz w:val="24"/>
          <w:szCs w:val="24"/>
        </w:rPr>
        <w:t>f</w:t>
      </w:r>
      <w:r>
        <w:rPr>
          <w:rFonts w:ascii="Times New Roman" w:hAnsi="Times New Roman" w:cs="Times New Roman"/>
          <w:sz w:val="24"/>
          <w:szCs w:val="24"/>
        </w:rPr>
        <w:t xml:space="preserve"> the magistrate. He states, further, that he was also charged under the Police Act [</w:t>
      </w:r>
      <w:r w:rsidRPr="00C16576">
        <w:rPr>
          <w:rFonts w:ascii="Times New Roman" w:hAnsi="Times New Roman" w:cs="Times New Roman"/>
          <w:i/>
          <w:sz w:val="24"/>
          <w:szCs w:val="24"/>
        </w:rPr>
        <w:t>Chapter 11:10</w:t>
      </w:r>
      <w:r>
        <w:rPr>
          <w:rFonts w:ascii="Times New Roman" w:hAnsi="Times New Roman" w:cs="Times New Roman"/>
          <w:sz w:val="24"/>
          <w:szCs w:val="24"/>
        </w:rPr>
        <w:t xml:space="preserve">] for the same set of facts, same evidence and same witnesses as for what was preferred against him under the Criminal Law </w:t>
      </w:r>
      <w:r w:rsidR="00205DBD">
        <w:rPr>
          <w:rFonts w:ascii="Times New Roman" w:hAnsi="Times New Roman" w:cs="Times New Roman"/>
          <w:sz w:val="24"/>
          <w:szCs w:val="24"/>
        </w:rPr>
        <w:t>(</w:t>
      </w:r>
      <w:r>
        <w:rPr>
          <w:rFonts w:ascii="Times New Roman" w:hAnsi="Times New Roman" w:cs="Times New Roman"/>
          <w:sz w:val="24"/>
          <w:szCs w:val="24"/>
        </w:rPr>
        <w:t>Codification and Reform</w:t>
      </w:r>
      <w:r w:rsidR="00205DBD">
        <w:rPr>
          <w:rFonts w:ascii="Times New Roman" w:hAnsi="Times New Roman" w:cs="Times New Roman"/>
          <w:sz w:val="24"/>
          <w:szCs w:val="24"/>
        </w:rPr>
        <w:t>)</w:t>
      </w:r>
      <w:r>
        <w:rPr>
          <w:rFonts w:ascii="Times New Roman" w:hAnsi="Times New Roman" w:cs="Times New Roman"/>
          <w:sz w:val="24"/>
          <w:szCs w:val="24"/>
        </w:rPr>
        <w:t xml:space="preserve"> Act. He </w:t>
      </w:r>
      <w:r w:rsidR="00205DBD">
        <w:rPr>
          <w:rFonts w:ascii="Times New Roman" w:hAnsi="Times New Roman" w:cs="Times New Roman"/>
          <w:sz w:val="24"/>
          <w:szCs w:val="24"/>
        </w:rPr>
        <w:t xml:space="preserve">says he </w:t>
      </w:r>
      <w:r>
        <w:rPr>
          <w:rFonts w:ascii="Times New Roman" w:hAnsi="Times New Roman" w:cs="Times New Roman"/>
          <w:sz w:val="24"/>
          <w:szCs w:val="24"/>
        </w:rPr>
        <w:t xml:space="preserve">was convicted under the Police Act, was fined $10 and was discharged from the </w:t>
      </w:r>
      <w:r w:rsidR="00205DBD">
        <w:rPr>
          <w:rFonts w:ascii="Times New Roman" w:hAnsi="Times New Roman" w:cs="Times New Roman"/>
          <w:sz w:val="24"/>
          <w:szCs w:val="24"/>
        </w:rPr>
        <w:t>Police Service</w:t>
      </w:r>
      <w:r>
        <w:rPr>
          <w:rFonts w:ascii="Times New Roman" w:hAnsi="Times New Roman" w:cs="Times New Roman"/>
          <w:sz w:val="24"/>
          <w:szCs w:val="24"/>
        </w:rPr>
        <w:t>.</w:t>
      </w:r>
    </w:p>
    <w:p w:rsidR="00B01BEC" w:rsidRDefault="00B01BEC"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Amongst the allegations which the applicant levels against the first respondent is the one which relates to the charge. He says he faced an ominibus charge which was not </w:t>
      </w:r>
      <w:r w:rsidR="0000575E">
        <w:rPr>
          <w:rFonts w:ascii="Times New Roman" w:hAnsi="Times New Roman" w:cs="Times New Roman"/>
          <w:sz w:val="24"/>
          <w:szCs w:val="24"/>
        </w:rPr>
        <w:t>pleadable at law. The charge, he submits, was defective. He indicates that, because he was acquitted by the court o</w:t>
      </w:r>
      <w:r w:rsidR="00205DBD">
        <w:rPr>
          <w:rFonts w:ascii="Times New Roman" w:hAnsi="Times New Roman" w:cs="Times New Roman"/>
          <w:sz w:val="24"/>
          <w:szCs w:val="24"/>
        </w:rPr>
        <w:t>f</w:t>
      </w:r>
      <w:r w:rsidR="0000575E">
        <w:rPr>
          <w:rFonts w:ascii="Times New Roman" w:hAnsi="Times New Roman" w:cs="Times New Roman"/>
          <w:sz w:val="24"/>
          <w:szCs w:val="24"/>
        </w:rPr>
        <w:t xml:space="preserve"> the magistrate, the defence of </w:t>
      </w:r>
      <w:r w:rsidR="0000575E" w:rsidRPr="00205DBD">
        <w:rPr>
          <w:rFonts w:ascii="Times New Roman" w:hAnsi="Times New Roman" w:cs="Times New Roman"/>
          <w:i/>
          <w:sz w:val="24"/>
          <w:szCs w:val="24"/>
        </w:rPr>
        <w:t>autre</w:t>
      </w:r>
      <w:r w:rsidR="002D56BE">
        <w:rPr>
          <w:rFonts w:ascii="Times New Roman" w:hAnsi="Times New Roman" w:cs="Times New Roman"/>
          <w:i/>
          <w:sz w:val="24"/>
          <w:szCs w:val="24"/>
        </w:rPr>
        <w:t>f</w:t>
      </w:r>
      <w:r w:rsidR="0000575E" w:rsidRPr="00205DBD">
        <w:rPr>
          <w:rFonts w:ascii="Times New Roman" w:hAnsi="Times New Roman" w:cs="Times New Roman"/>
          <w:i/>
          <w:sz w:val="24"/>
          <w:szCs w:val="24"/>
        </w:rPr>
        <w:t>ois acquit</w:t>
      </w:r>
      <w:r w:rsidR="0000575E">
        <w:rPr>
          <w:rFonts w:ascii="Times New Roman" w:hAnsi="Times New Roman" w:cs="Times New Roman"/>
          <w:sz w:val="24"/>
          <w:szCs w:val="24"/>
        </w:rPr>
        <w:t xml:space="preserve"> should remain available to him. He avers that the first respondent failed to comply with s 332 of the Constitution of Zimbabwe. He states that the first respondent should have tried him under the Police Act. He submits that he </w:t>
      </w:r>
      <w:r w:rsidR="0000575E">
        <w:rPr>
          <w:rFonts w:ascii="Times New Roman" w:hAnsi="Times New Roman" w:cs="Times New Roman"/>
          <w:sz w:val="24"/>
          <w:szCs w:val="24"/>
        </w:rPr>
        <w:lastRenderedPageBreak/>
        <w:t xml:space="preserve">was subjected to dual prosecution for the same offence. He, therefore, moves the court </w:t>
      </w:r>
      <w:r w:rsidR="00CF75CD">
        <w:rPr>
          <w:rFonts w:ascii="Times New Roman" w:hAnsi="Times New Roman" w:cs="Times New Roman"/>
          <w:sz w:val="24"/>
          <w:szCs w:val="24"/>
        </w:rPr>
        <w:t xml:space="preserve">to enter judgment in his favour as </w:t>
      </w:r>
      <w:r w:rsidR="00DD3A4B">
        <w:rPr>
          <w:rFonts w:ascii="Times New Roman" w:hAnsi="Times New Roman" w:cs="Times New Roman"/>
          <w:sz w:val="24"/>
          <w:szCs w:val="24"/>
        </w:rPr>
        <w:t xml:space="preserve">has </w:t>
      </w:r>
      <w:r w:rsidR="0000575E">
        <w:rPr>
          <w:rFonts w:ascii="Times New Roman" w:hAnsi="Times New Roman" w:cs="Times New Roman"/>
          <w:sz w:val="24"/>
          <w:szCs w:val="24"/>
        </w:rPr>
        <w:t>been stated in the foregoing paragraph of this judgment.</w:t>
      </w:r>
    </w:p>
    <w:p w:rsidR="0000575E" w:rsidRDefault="0000575E"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oppose the application. The second does not. </w:t>
      </w:r>
      <w:r w:rsidR="005823CD">
        <w:rPr>
          <w:rFonts w:ascii="Times New Roman" w:hAnsi="Times New Roman" w:cs="Times New Roman"/>
          <w:sz w:val="24"/>
          <w:szCs w:val="24"/>
        </w:rPr>
        <w:t>My assumption is that he intends to abide by the decision of the court.</w:t>
      </w:r>
    </w:p>
    <w:p w:rsidR="005823CD" w:rsidRDefault="005823CD"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w:t>
      </w:r>
      <w:r w:rsidRPr="000658E7">
        <w:rPr>
          <w:rFonts w:ascii="Times New Roman" w:hAnsi="Times New Roman" w:cs="Times New Roman"/>
          <w:i/>
          <w:sz w:val="24"/>
          <w:szCs w:val="24"/>
        </w:rPr>
        <w:t>in limine</w:t>
      </w:r>
      <w:r>
        <w:rPr>
          <w:rFonts w:ascii="Times New Roman" w:hAnsi="Times New Roman" w:cs="Times New Roman"/>
          <w:sz w:val="24"/>
          <w:szCs w:val="24"/>
        </w:rPr>
        <w:t xml:space="preserve"> matter is that the application is for review which h</w:t>
      </w:r>
      <w:r w:rsidR="00767429">
        <w:rPr>
          <w:rFonts w:ascii="Times New Roman" w:hAnsi="Times New Roman" w:cs="Times New Roman"/>
          <w:sz w:val="24"/>
          <w:szCs w:val="24"/>
        </w:rPr>
        <w:t xml:space="preserve">as been filed under the guise of a declaratur. He states, on the merits, that he preferred a specific charge against the applicant. He attached to his notice of opposition Annexure B. </w:t>
      </w:r>
      <w:r w:rsidR="00CF75CD">
        <w:rPr>
          <w:rFonts w:ascii="Times New Roman" w:hAnsi="Times New Roman" w:cs="Times New Roman"/>
          <w:sz w:val="24"/>
          <w:szCs w:val="24"/>
        </w:rPr>
        <w:t>T</w:t>
      </w:r>
      <w:r w:rsidR="00767429">
        <w:rPr>
          <w:rFonts w:ascii="Times New Roman" w:hAnsi="Times New Roman" w:cs="Times New Roman"/>
          <w:sz w:val="24"/>
          <w:szCs w:val="24"/>
        </w:rPr>
        <w:t xml:space="preserve">he annexure, he says, is proof of the charge which he preferred against the applicant. He insists that the applicant’s acquittal at the magistrate’s court does not take away his right to inquire into his suitability to remain in the </w:t>
      </w:r>
      <w:r w:rsidR="00CF75CD">
        <w:rPr>
          <w:rFonts w:ascii="Times New Roman" w:hAnsi="Times New Roman" w:cs="Times New Roman"/>
          <w:sz w:val="24"/>
          <w:szCs w:val="24"/>
        </w:rPr>
        <w:t>Police Service</w:t>
      </w:r>
      <w:r w:rsidR="00767429">
        <w:rPr>
          <w:rFonts w:ascii="Times New Roman" w:hAnsi="Times New Roman" w:cs="Times New Roman"/>
          <w:sz w:val="24"/>
          <w:szCs w:val="24"/>
        </w:rPr>
        <w:t xml:space="preserve">. He relies on s 278 (2) and (3) of the Criminal Law [Codification and Reform] Act as read with s 193 (b) of the Constitution of Zimbabwe in the mentioned regard. </w:t>
      </w:r>
      <w:r w:rsidR="00E11AA9">
        <w:rPr>
          <w:rFonts w:ascii="Times New Roman" w:hAnsi="Times New Roman" w:cs="Times New Roman"/>
          <w:sz w:val="24"/>
          <w:szCs w:val="24"/>
        </w:rPr>
        <w:t xml:space="preserve">He submits that, at the magistrate’s court, the applicant faced the charge of </w:t>
      </w:r>
      <w:r w:rsidR="00E11AA9" w:rsidRPr="00E11AA9">
        <w:rPr>
          <w:rFonts w:ascii="Times New Roman" w:hAnsi="Times New Roman" w:cs="Times New Roman"/>
          <w:i/>
          <w:sz w:val="24"/>
          <w:szCs w:val="24"/>
        </w:rPr>
        <w:t>Criminal Abuse of Duty as a public officer</w:t>
      </w:r>
      <w:r w:rsidR="00E11AA9">
        <w:rPr>
          <w:rFonts w:ascii="Times New Roman" w:hAnsi="Times New Roman" w:cs="Times New Roman"/>
          <w:sz w:val="24"/>
          <w:szCs w:val="24"/>
        </w:rPr>
        <w:t xml:space="preserve">. He states that the charge in question is different from that of </w:t>
      </w:r>
      <w:r w:rsidR="00E11AA9" w:rsidRPr="00E11AA9">
        <w:rPr>
          <w:rFonts w:ascii="Times New Roman" w:hAnsi="Times New Roman" w:cs="Times New Roman"/>
          <w:i/>
          <w:sz w:val="24"/>
          <w:szCs w:val="24"/>
        </w:rPr>
        <w:t>performing duty in an improper manner</w:t>
      </w:r>
      <w:r w:rsidR="00E11AA9">
        <w:rPr>
          <w:rFonts w:ascii="Times New Roman" w:hAnsi="Times New Roman" w:cs="Times New Roman"/>
          <w:sz w:val="24"/>
          <w:szCs w:val="24"/>
        </w:rPr>
        <w:t xml:space="preserve"> which he </w:t>
      </w:r>
      <w:r w:rsidR="00013EAC">
        <w:rPr>
          <w:rFonts w:ascii="Times New Roman" w:hAnsi="Times New Roman" w:cs="Times New Roman"/>
          <w:sz w:val="24"/>
          <w:szCs w:val="24"/>
        </w:rPr>
        <w:t>preferred against him under the Police Act. He insists that the objectives of the two laws are separate from each other and</w:t>
      </w:r>
      <w:r w:rsidR="002D56BE">
        <w:rPr>
          <w:rFonts w:ascii="Times New Roman" w:hAnsi="Times New Roman" w:cs="Times New Roman"/>
          <w:sz w:val="24"/>
          <w:szCs w:val="24"/>
        </w:rPr>
        <w:t>,</w:t>
      </w:r>
      <w:r w:rsidR="00CF75CD">
        <w:rPr>
          <w:rFonts w:ascii="Times New Roman" w:hAnsi="Times New Roman" w:cs="Times New Roman"/>
          <w:sz w:val="24"/>
          <w:szCs w:val="24"/>
        </w:rPr>
        <w:t xml:space="preserve"> t</w:t>
      </w:r>
      <w:r w:rsidR="00013EAC">
        <w:rPr>
          <w:rFonts w:ascii="Times New Roman" w:hAnsi="Times New Roman" w:cs="Times New Roman"/>
          <w:sz w:val="24"/>
          <w:szCs w:val="24"/>
        </w:rPr>
        <w:t>herefore, different. He refutes the allegation that the applicant suffered dual prosecution for the same offence.</w:t>
      </w:r>
      <w:r w:rsidR="000F686C">
        <w:rPr>
          <w:rFonts w:ascii="Times New Roman" w:hAnsi="Times New Roman" w:cs="Times New Roman"/>
          <w:sz w:val="24"/>
          <w:szCs w:val="24"/>
        </w:rPr>
        <w:t xml:space="preserve"> He moves the court to dismiss the application with costs.</w:t>
      </w:r>
    </w:p>
    <w:p w:rsidR="000F686C" w:rsidRDefault="000F686C"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cannot make any head or tail of the first respondent’s preliminary matter. He makes a statement on the same but does not support the allegation with either evidence or argument. He should have gone further than what he did and showed the way in which he alleges that the application is one for review as opposed to that of a declaratur.</w:t>
      </w:r>
    </w:p>
    <w:p w:rsidR="000F686C" w:rsidRDefault="000F686C"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draft order which the </w:t>
      </w:r>
      <w:r w:rsidR="007028C3">
        <w:rPr>
          <w:rFonts w:ascii="Times New Roman" w:hAnsi="Times New Roman" w:cs="Times New Roman"/>
          <w:sz w:val="24"/>
          <w:szCs w:val="24"/>
        </w:rPr>
        <w:t>applicant is</w:t>
      </w:r>
      <w:r>
        <w:rPr>
          <w:rFonts w:ascii="Times New Roman" w:hAnsi="Times New Roman" w:cs="Times New Roman"/>
          <w:sz w:val="24"/>
          <w:szCs w:val="24"/>
        </w:rPr>
        <w:t xml:space="preserve"> moving the court to grant to him has all the indication that his application is one for a declaratur. The events which he narrates in the same are </w:t>
      </w:r>
      <w:r w:rsidRPr="000F686C">
        <w:rPr>
          <w:rFonts w:ascii="Times New Roman" w:hAnsi="Times New Roman" w:cs="Times New Roman"/>
          <w:i/>
          <w:sz w:val="24"/>
          <w:szCs w:val="24"/>
        </w:rPr>
        <w:t>in sync</w:t>
      </w:r>
      <w:r>
        <w:rPr>
          <w:rFonts w:ascii="Times New Roman" w:hAnsi="Times New Roman" w:cs="Times New Roman"/>
          <w:sz w:val="24"/>
          <w:szCs w:val="24"/>
        </w:rPr>
        <w:t xml:space="preserve"> with those of an application which he made. They fall under the purview of s 14 of the High Court Act [</w:t>
      </w:r>
      <w:r w:rsidRPr="007028C3">
        <w:rPr>
          <w:rFonts w:ascii="Times New Roman" w:hAnsi="Times New Roman" w:cs="Times New Roman"/>
          <w:i/>
          <w:sz w:val="24"/>
          <w:szCs w:val="24"/>
        </w:rPr>
        <w:t>Chapter 7:06</w:t>
      </w:r>
      <w:r>
        <w:rPr>
          <w:rFonts w:ascii="Times New Roman" w:hAnsi="Times New Roman" w:cs="Times New Roman"/>
          <w:sz w:val="24"/>
          <w:szCs w:val="24"/>
        </w:rPr>
        <w:t>].</w:t>
      </w:r>
    </w:p>
    <w:p w:rsidR="000658E7" w:rsidRDefault="000F686C"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right to employment c</w:t>
      </w:r>
      <w:r w:rsidR="00DE47A5">
        <w:rPr>
          <w:rFonts w:ascii="Times New Roman" w:hAnsi="Times New Roman" w:cs="Times New Roman"/>
          <w:sz w:val="24"/>
          <w:szCs w:val="24"/>
        </w:rPr>
        <w:t>an</w:t>
      </w:r>
      <w:r>
        <w:rPr>
          <w:rFonts w:ascii="Times New Roman" w:hAnsi="Times New Roman" w:cs="Times New Roman"/>
          <w:sz w:val="24"/>
          <w:szCs w:val="24"/>
        </w:rPr>
        <w:t xml:space="preserve"> hardly </w:t>
      </w:r>
      <w:r w:rsidR="00DE47A5">
        <w:rPr>
          <w:rFonts w:ascii="Times New Roman" w:hAnsi="Times New Roman" w:cs="Times New Roman"/>
          <w:sz w:val="24"/>
          <w:szCs w:val="24"/>
        </w:rPr>
        <w:t xml:space="preserve">be </w:t>
      </w:r>
      <w:r>
        <w:rPr>
          <w:rFonts w:ascii="Times New Roman" w:hAnsi="Times New Roman" w:cs="Times New Roman"/>
          <w:sz w:val="24"/>
          <w:szCs w:val="24"/>
        </w:rPr>
        <w:t xml:space="preserve">underestimated. It constitutes his means to a livelihood. He is, in the words of </w:t>
      </w:r>
      <w:r w:rsidRPr="007028C3">
        <w:rPr>
          <w:rFonts w:ascii="Times New Roman" w:hAnsi="Times New Roman" w:cs="Times New Roman"/>
          <w:smallCaps/>
          <w:sz w:val="24"/>
          <w:szCs w:val="24"/>
        </w:rPr>
        <w:t>Gubbay CJ</w:t>
      </w:r>
      <w:r>
        <w:rPr>
          <w:rFonts w:ascii="Times New Roman" w:hAnsi="Times New Roman" w:cs="Times New Roman"/>
          <w:sz w:val="24"/>
          <w:szCs w:val="24"/>
        </w:rPr>
        <w:t xml:space="preserve">, an interested person. He has a direct and substantial interest in the subject matter of the suit which was prejudicially affected by the judgment of the court </w:t>
      </w:r>
      <w:r w:rsidRPr="00DE47A5">
        <w:rPr>
          <w:rFonts w:ascii="Times New Roman" w:hAnsi="Times New Roman" w:cs="Times New Roman"/>
          <w:i/>
          <w:sz w:val="24"/>
          <w:szCs w:val="24"/>
        </w:rPr>
        <w:t>a quo</w:t>
      </w:r>
      <w:r>
        <w:rPr>
          <w:rFonts w:ascii="Times New Roman" w:hAnsi="Times New Roman" w:cs="Times New Roman"/>
          <w:sz w:val="24"/>
          <w:szCs w:val="24"/>
        </w:rPr>
        <w:t xml:space="preserve"> [see </w:t>
      </w:r>
      <w:r w:rsidR="00DE47A5">
        <w:rPr>
          <w:rFonts w:ascii="Times New Roman" w:hAnsi="Times New Roman" w:cs="Times New Roman"/>
          <w:i/>
          <w:sz w:val="24"/>
          <w:szCs w:val="24"/>
        </w:rPr>
        <w:t>J</w:t>
      </w:r>
      <w:r w:rsidRPr="007028C3">
        <w:rPr>
          <w:rFonts w:ascii="Times New Roman" w:hAnsi="Times New Roman" w:cs="Times New Roman"/>
          <w:i/>
          <w:sz w:val="24"/>
          <w:szCs w:val="24"/>
        </w:rPr>
        <w:t>oh</w:t>
      </w:r>
      <w:r w:rsidR="00DE47A5">
        <w:rPr>
          <w:rFonts w:ascii="Times New Roman" w:hAnsi="Times New Roman" w:cs="Times New Roman"/>
          <w:i/>
          <w:sz w:val="24"/>
          <w:szCs w:val="24"/>
        </w:rPr>
        <w:t>n</w:t>
      </w:r>
      <w:r w:rsidRPr="007028C3">
        <w:rPr>
          <w:rFonts w:ascii="Times New Roman" w:hAnsi="Times New Roman" w:cs="Times New Roman"/>
          <w:i/>
          <w:sz w:val="24"/>
          <w:szCs w:val="24"/>
        </w:rPr>
        <w:t>sen</w:t>
      </w:r>
      <w:r>
        <w:rPr>
          <w:rFonts w:ascii="Times New Roman" w:hAnsi="Times New Roman" w:cs="Times New Roman"/>
          <w:sz w:val="24"/>
          <w:szCs w:val="24"/>
        </w:rPr>
        <w:t xml:space="preserve"> v </w:t>
      </w:r>
      <w:r w:rsidRPr="007028C3">
        <w:rPr>
          <w:rFonts w:ascii="Times New Roman" w:hAnsi="Times New Roman" w:cs="Times New Roman"/>
          <w:i/>
          <w:sz w:val="24"/>
          <w:szCs w:val="24"/>
        </w:rPr>
        <w:t>AFC</w:t>
      </w:r>
      <w:r>
        <w:rPr>
          <w:rFonts w:ascii="Times New Roman" w:hAnsi="Times New Roman" w:cs="Times New Roman"/>
          <w:sz w:val="24"/>
          <w:szCs w:val="24"/>
        </w:rPr>
        <w:t>, 1995 (1) ZLR 65 (5</w:t>
      </w:r>
      <w:r w:rsidR="007028C3">
        <w:rPr>
          <w:rFonts w:ascii="Times New Roman" w:hAnsi="Times New Roman" w:cs="Times New Roman"/>
          <w:sz w:val="24"/>
          <w:szCs w:val="24"/>
        </w:rPr>
        <w:t>)]</w:t>
      </w:r>
      <w:r w:rsidR="000658E7">
        <w:rPr>
          <w:rFonts w:ascii="Times New Roman" w:hAnsi="Times New Roman" w:cs="Times New Roman"/>
          <w:sz w:val="24"/>
          <w:szCs w:val="24"/>
        </w:rPr>
        <w:t>. The first respondent</w:t>
      </w:r>
      <w:r w:rsidR="00DE47A5">
        <w:rPr>
          <w:rFonts w:ascii="Times New Roman" w:hAnsi="Times New Roman" w:cs="Times New Roman"/>
          <w:sz w:val="24"/>
          <w:szCs w:val="24"/>
        </w:rPr>
        <w:t>’s</w:t>
      </w:r>
      <w:r w:rsidR="000658E7">
        <w:rPr>
          <w:rFonts w:ascii="Times New Roman" w:hAnsi="Times New Roman" w:cs="Times New Roman"/>
          <w:sz w:val="24"/>
          <w:szCs w:val="24"/>
        </w:rPr>
        <w:t xml:space="preserve"> </w:t>
      </w:r>
      <w:r w:rsidR="000658E7" w:rsidRPr="000658E7">
        <w:rPr>
          <w:rFonts w:ascii="Times New Roman" w:hAnsi="Times New Roman" w:cs="Times New Roman"/>
          <w:i/>
          <w:sz w:val="24"/>
          <w:szCs w:val="24"/>
        </w:rPr>
        <w:t>in limine</w:t>
      </w:r>
      <w:r w:rsidR="000658E7">
        <w:rPr>
          <w:rFonts w:ascii="Times New Roman" w:hAnsi="Times New Roman" w:cs="Times New Roman"/>
          <w:sz w:val="24"/>
          <w:szCs w:val="24"/>
        </w:rPr>
        <w:t xml:space="preserve"> matter is, therefore</w:t>
      </w:r>
      <w:r w:rsidR="00DE47A5">
        <w:rPr>
          <w:rFonts w:ascii="Times New Roman" w:hAnsi="Times New Roman" w:cs="Times New Roman"/>
          <w:sz w:val="24"/>
          <w:szCs w:val="24"/>
        </w:rPr>
        <w:t>,</w:t>
      </w:r>
      <w:r w:rsidR="000658E7">
        <w:rPr>
          <w:rFonts w:ascii="Times New Roman" w:hAnsi="Times New Roman" w:cs="Times New Roman"/>
          <w:sz w:val="24"/>
          <w:szCs w:val="24"/>
        </w:rPr>
        <w:t xml:space="preserve"> devoid of merit.</w:t>
      </w:r>
    </w:p>
    <w:p w:rsidR="000F686C" w:rsidRDefault="000658E7"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F686C">
        <w:rPr>
          <w:rFonts w:ascii="Times New Roman" w:hAnsi="Times New Roman" w:cs="Times New Roman"/>
          <w:sz w:val="24"/>
          <w:szCs w:val="24"/>
        </w:rPr>
        <w:t xml:space="preserve"> </w:t>
      </w:r>
      <w:r>
        <w:rPr>
          <w:rFonts w:ascii="Times New Roman" w:hAnsi="Times New Roman" w:cs="Times New Roman"/>
          <w:sz w:val="24"/>
          <w:szCs w:val="24"/>
        </w:rPr>
        <w:t xml:space="preserve">applicant’s assertion, on the merits, is that he was tried and acquitted by the court of the magistrate. He produced no evidence of his acquittal. Nor does he make mention of the charge which the state preferred against him when he appeared before the magistrate. All he </w:t>
      </w:r>
      <w:r>
        <w:rPr>
          <w:rFonts w:ascii="Times New Roman" w:hAnsi="Times New Roman" w:cs="Times New Roman"/>
          <w:sz w:val="24"/>
          <w:szCs w:val="24"/>
        </w:rPr>
        <w:lastRenderedPageBreak/>
        <w:t xml:space="preserve">says on that matter is that he was charged in terms of the Criminal Law [Codification and Reform] Act and was acquitted. He states, in the same breadth, that he was again charged under the Police Act for the same set of facts, same evidence and same witnesses as for the charge under the Criminal Law </w:t>
      </w:r>
      <w:r w:rsidR="00BC75F4">
        <w:rPr>
          <w:rFonts w:ascii="Times New Roman" w:hAnsi="Times New Roman" w:cs="Times New Roman"/>
          <w:sz w:val="24"/>
          <w:szCs w:val="24"/>
        </w:rPr>
        <w:t>(</w:t>
      </w:r>
      <w:r>
        <w:rPr>
          <w:rFonts w:ascii="Times New Roman" w:hAnsi="Times New Roman" w:cs="Times New Roman"/>
          <w:sz w:val="24"/>
          <w:szCs w:val="24"/>
        </w:rPr>
        <w:t>Codification and Reform</w:t>
      </w:r>
      <w:r w:rsidR="00BC75F4">
        <w:rPr>
          <w:rFonts w:ascii="Times New Roman" w:hAnsi="Times New Roman" w:cs="Times New Roman"/>
          <w:sz w:val="24"/>
          <w:szCs w:val="24"/>
        </w:rPr>
        <w:t>)</w:t>
      </w:r>
      <w:r>
        <w:rPr>
          <w:rFonts w:ascii="Times New Roman" w:hAnsi="Times New Roman" w:cs="Times New Roman"/>
          <w:sz w:val="24"/>
          <w:szCs w:val="24"/>
        </w:rPr>
        <w:t xml:space="preserve"> Act.</w:t>
      </w:r>
    </w:p>
    <w:p w:rsidR="000658E7" w:rsidRDefault="000658E7"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statements which the applicant made lack substance. He did not attach to his application the charge under which he was tried at the magistrate’s court. Nor did he attach to the same a summary of evidence which </w:t>
      </w:r>
      <w:r w:rsidR="00FE2E8F">
        <w:rPr>
          <w:rFonts w:ascii="Times New Roman" w:hAnsi="Times New Roman" w:cs="Times New Roman"/>
          <w:sz w:val="24"/>
          <w:szCs w:val="24"/>
        </w:rPr>
        <w:t>the</w:t>
      </w:r>
      <w:r>
        <w:rPr>
          <w:rFonts w:ascii="Times New Roman" w:hAnsi="Times New Roman" w:cs="Times New Roman"/>
          <w:sz w:val="24"/>
          <w:szCs w:val="24"/>
        </w:rPr>
        <w:t xml:space="preserve"> state led from each of its witnesses in support of its case against him. He did not attach to the application the charge which the first respondent preferred against him under the Police Act. Nor </w:t>
      </w:r>
      <w:r w:rsidR="00FE2E8F">
        <w:rPr>
          <w:rFonts w:ascii="Times New Roman" w:hAnsi="Times New Roman" w:cs="Times New Roman"/>
          <w:sz w:val="24"/>
          <w:szCs w:val="24"/>
        </w:rPr>
        <w:t>did he attach t</w:t>
      </w:r>
      <w:r>
        <w:rPr>
          <w:rFonts w:ascii="Times New Roman" w:hAnsi="Times New Roman" w:cs="Times New Roman"/>
          <w:sz w:val="24"/>
          <w:szCs w:val="24"/>
        </w:rPr>
        <w:t>o</w:t>
      </w:r>
      <w:r w:rsidR="00FE2E8F">
        <w:rPr>
          <w:rFonts w:ascii="Times New Roman" w:hAnsi="Times New Roman" w:cs="Times New Roman"/>
          <w:sz w:val="24"/>
          <w:szCs w:val="24"/>
        </w:rPr>
        <w:t xml:space="preserve"> </w:t>
      </w:r>
      <w:r>
        <w:rPr>
          <w:rFonts w:ascii="Times New Roman" w:hAnsi="Times New Roman" w:cs="Times New Roman"/>
          <w:sz w:val="24"/>
          <w:szCs w:val="24"/>
        </w:rPr>
        <w:t xml:space="preserve">the same the list of witnesses who testified against him when he appeared before the </w:t>
      </w:r>
      <w:r w:rsidR="00FE2E8F">
        <w:rPr>
          <w:rFonts w:ascii="Times New Roman" w:hAnsi="Times New Roman" w:cs="Times New Roman"/>
          <w:sz w:val="24"/>
          <w:szCs w:val="24"/>
        </w:rPr>
        <w:t xml:space="preserve">trial officer </w:t>
      </w:r>
      <w:r w:rsidR="00DD3A4B">
        <w:rPr>
          <w:rFonts w:ascii="Times New Roman" w:hAnsi="Times New Roman" w:cs="Times New Roman"/>
          <w:sz w:val="24"/>
          <w:szCs w:val="24"/>
        </w:rPr>
        <w:t>or</w:t>
      </w:r>
      <w:r w:rsidR="00FE2E8F">
        <w:rPr>
          <w:rFonts w:ascii="Times New Roman" w:hAnsi="Times New Roman" w:cs="Times New Roman"/>
          <w:sz w:val="24"/>
          <w:szCs w:val="24"/>
        </w:rPr>
        <w:t xml:space="preserve"> a summary of the evidence of each witness for the state.</w:t>
      </w:r>
    </w:p>
    <w:p w:rsidR="00FE2E8F" w:rsidRDefault="00FE2E8F"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attachments would, no doubt, have made it easier than otherwise for the court to make a comparative analysis of his complaint.</w:t>
      </w:r>
      <w:r w:rsidR="0064385D">
        <w:rPr>
          <w:rFonts w:ascii="Times New Roman" w:hAnsi="Times New Roman" w:cs="Times New Roman"/>
          <w:sz w:val="24"/>
          <w:szCs w:val="24"/>
        </w:rPr>
        <w:t xml:space="preserve"> It would have known what he was made to endure at the court of the magistrate. It would have compared that with what the trial officer subjected him to under the Police Act. The comparison would, in short, have satisfied the court of whether or not his complaint ha</w:t>
      </w:r>
      <w:r w:rsidR="00BC75F4">
        <w:rPr>
          <w:rFonts w:ascii="Times New Roman" w:hAnsi="Times New Roman" w:cs="Times New Roman"/>
          <w:sz w:val="24"/>
          <w:szCs w:val="24"/>
        </w:rPr>
        <w:t>s</w:t>
      </w:r>
      <w:r w:rsidR="0064385D">
        <w:rPr>
          <w:rFonts w:ascii="Times New Roman" w:hAnsi="Times New Roman" w:cs="Times New Roman"/>
          <w:sz w:val="24"/>
          <w:szCs w:val="24"/>
        </w:rPr>
        <w:t xml:space="preserve"> merit.</w:t>
      </w:r>
    </w:p>
    <w:p w:rsidR="0064385D" w:rsidRDefault="0064385D"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assertion which is to the effect that he was subjected to dual prosecution under some substantially similar set of circumstances, would, in the absence of the attachments, not hold. He cannot prove his case on the basis of unsubstantiated statements which are part and parcel of his founding affidavit. The affidavit constitutes the </w:t>
      </w:r>
      <w:r w:rsidR="00BC75F4">
        <w:rPr>
          <w:rFonts w:ascii="Times New Roman" w:hAnsi="Times New Roman" w:cs="Times New Roman"/>
          <w:sz w:val="24"/>
          <w:szCs w:val="24"/>
        </w:rPr>
        <w:t>bare</w:t>
      </w:r>
      <w:r>
        <w:rPr>
          <w:rFonts w:ascii="Times New Roman" w:hAnsi="Times New Roman" w:cs="Times New Roman"/>
          <w:sz w:val="24"/>
          <w:szCs w:val="24"/>
        </w:rPr>
        <w:t xml:space="preserve"> bones of his application. Those require flesh to be added on to them as proof of what he is alleging.</w:t>
      </w:r>
    </w:p>
    <w:p w:rsidR="0064385D" w:rsidRDefault="0064385D"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in action proceedings, </w:t>
      </w:r>
      <w:r w:rsidRPr="0064385D">
        <w:rPr>
          <w:rFonts w:ascii="Times New Roman" w:hAnsi="Times New Roman" w:cs="Times New Roman"/>
          <w:i/>
          <w:sz w:val="24"/>
          <w:szCs w:val="24"/>
        </w:rPr>
        <w:t>viva voce</w:t>
      </w:r>
      <w:r>
        <w:rPr>
          <w:rFonts w:ascii="Times New Roman" w:hAnsi="Times New Roman" w:cs="Times New Roman"/>
          <w:sz w:val="24"/>
          <w:szCs w:val="24"/>
        </w:rPr>
        <w:t xml:space="preserve"> evidence which is led from witnesses requires </w:t>
      </w:r>
      <w:r w:rsidR="00F35F40">
        <w:rPr>
          <w:rFonts w:ascii="Times New Roman" w:hAnsi="Times New Roman" w:cs="Times New Roman"/>
          <w:sz w:val="24"/>
          <w:szCs w:val="24"/>
        </w:rPr>
        <w:t>concrete</w:t>
      </w:r>
      <w:r>
        <w:rPr>
          <w:rFonts w:ascii="Times New Roman" w:hAnsi="Times New Roman" w:cs="Times New Roman"/>
          <w:sz w:val="24"/>
          <w:szCs w:val="24"/>
        </w:rPr>
        <w:t xml:space="preserve"> evidence in the </w:t>
      </w:r>
      <w:r w:rsidR="00BC75F4">
        <w:rPr>
          <w:rFonts w:ascii="Times New Roman" w:hAnsi="Times New Roman" w:cs="Times New Roman"/>
          <w:sz w:val="24"/>
          <w:szCs w:val="24"/>
        </w:rPr>
        <w:t>fo</w:t>
      </w:r>
      <w:r>
        <w:rPr>
          <w:rFonts w:ascii="Times New Roman" w:hAnsi="Times New Roman" w:cs="Times New Roman"/>
          <w:sz w:val="24"/>
          <w:szCs w:val="24"/>
        </w:rPr>
        <w:t>rm of exhibits in areas of serious dispute as between the parties. Where exhibits are a requirement in a case and are capable of being produced but have, for some reason</w:t>
      </w:r>
      <w:r w:rsidR="00BC75F4">
        <w:rPr>
          <w:rFonts w:ascii="Times New Roman" w:hAnsi="Times New Roman" w:cs="Times New Roman"/>
          <w:sz w:val="24"/>
          <w:szCs w:val="24"/>
        </w:rPr>
        <w:t>,</w:t>
      </w:r>
      <w:r>
        <w:rPr>
          <w:rFonts w:ascii="Times New Roman" w:hAnsi="Times New Roman" w:cs="Times New Roman"/>
          <w:sz w:val="24"/>
          <w:szCs w:val="24"/>
        </w:rPr>
        <w:t xml:space="preserve"> not been produced, a party’s case has, mo</w:t>
      </w:r>
      <w:r w:rsidR="00BC75F4">
        <w:rPr>
          <w:rFonts w:ascii="Times New Roman" w:hAnsi="Times New Roman" w:cs="Times New Roman"/>
          <w:sz w:val="24"/>
          <w:szCs w:val="24"/>
        </w:rPr>
        <w:t>r</w:t>
      </w:r>
      <w:r>
        <w:rPr>
          <w:rFonts w:ascii="Times New Roman" w:hAnsi="Times New Roman" w:cs="Times New Roman"/>
          <w:sz w:val="24"/>
          <w:szCs w:val="24"/>
        </w:rPr>
        <w:t xml:space="preserve">e often than not, fallen to pieces, on the mentioned basis </w:t>
      </w:r>
      <w:r w:rsidR="002E4DAE">
        <w:rPr>
          <w:rFonts w:ascii="Times New Roman" w:hAnsi="Times New Roman" w:cs="Times New Roman"/>
          <w:sz w:val="24"/>
          <w:szCs w:val="24"/>
        </w:rPr>
        <w:t xml:space="preserve">alone. Similarly, in motion proceedings, attachments form an </w:t>
      </w:r>
      <w:r w:rsidR="00F35F40">
        <w:rPr>
          <w:rFonts w:ascii="Times New Roman" w:hAnsi="Times New Roman" w:cs="Times New Roman"/>
          <w:sz w:val="24"/>
          <w:szCs w:val="24"/>
        </w:rPr>
        <w:t>integral</w:t>
      </w:r>
      <w:r w:rsidR="002E4DAE">
        <w:rPr>
          <w:rFonts w:ascii="Times New Roman" w:hAnsi="Times New Roman" w:cs="Times New Roman"/>
          <w:sz w:val="24"/>
          <w:szCs w:val="24"/>
        </w:rPr>
        <w:t xml:space="preserve"> part of a party’s proof of its case. It follows, therefore, that, where these are available but have not</w:t>
      </w:r>
      <w:r w:rsidR="00BC75F4">
        <w:rPr>
          <w:rFonts w:ascii="Times New Roman" w:hAnsi="Times New Roman" w:cs="Times New Roman"/>
          <w:sz w:val="24"/>
          <w:szCs w:val="24"/>
        </w:rPr>
        <w:t>,</w:t>
      </w:r>
      <w:r w:rsidR="002E4DAE">
        <w:rPr>
          <w:rFonts w:ascii="Times New Roman" w:hAnsi="Times New Roman" w:cs="Times New Roman"/>
          <w:sz w:val="24"/>
          <w:szCs w:val="24"/>
        </w:rPr>
        <w:t xml:space="preserve"> for some reason, been produced when they should have been, as </w:t>
      </w:r>
      <w:r w:rsidR="002E4DAE" w:rsidRPr="00BC75F4">
        <w:rPr>
          <w:rFonts w:ascii="Times New Roman" w:hAnsi="Times New Roman" w:cs="Times New Roman"/>
          <w:i/>
          <w:sz w:val="24"/>
          <w:szCs w:val="24"/>
        </w:rPr>
        <w:t>in casu</w:t>
      </w:r>
      <w:r w:rsidR="002E4DAE">
        <w:rPr>
          <w:rFonts w:ascii="Times New Roman" w:hAnsi="Times New Roman" w:cs="Times New Roman"/>
          <w:sz w:val="24"/>
          <w:szCs w:val="24"/>
        </w:rPr>
        <w:t xml:space="preserve">, a party’s reliance on its unaided affidavit would not assist it to prove its case to the satisfaction </w:t>
      </w:r>
      <w:r w:rsidR="002E4DAE">
        <w:rPr>
          <w:rFonts w:ascii="Times New Roman" w:hAnsi="Times New Roman" w:cs="Times New Roman"/>
          <w:sz w:val="24"/>
          <w:szCs w:val="24"/>
        </w:rPr>
        <w:lastRenderedPageBreak/>
        <w:t xml:space="preserve">of the court. </w:t>
      </w:r>
      <w:r w:rsidR="005548AC">
        <w:rPr>
          <w:rFonts w:ascii="Times New Roman" w:hAnsi="Times New Roman" w:cs="Times New Roman"/>
          <w:sz w:val="24"/>
          <w:szCs w:val="24"/>
        </w:rPr>
        <w:t>The party cannot, in the mentioned set of circumstances, persuade the court to place reliance on the contents of its affidavit, and that alone, to find for it.</w:t>
      </w:r>
    </w:p>
    <w:p w:rsidR="004C3253" w:rsidRDefault="004C3253"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onus lies on the applicant to prove the </w:t>
      </w:r>
      <w:r w:rsidR="00DD3A4B">
        <w:rPr>
          <w:rFonts w:ascii="Times New Roman" w:hAnsi="Times New Roman" w:cs="Times New Roman"/>
          <w:sz w:val="24"/>
          <w:szCs w:val="24"/>
        </w:rPr>
        <w:t>veracity</w:t>
      </w:r>
      <w:r>
        <w:rPr>
          <w:rFonts w:ascii="Times New Roman" w:hAnsi="Times New Roman" w:cs="Times New Roman"/>
          <w:sz w:val="24"/>
          <w:szCs w:val="24"/>
        </w:rPr>
        <w:t xml:space="preserve"> of what he alleges. Where, as is alleged </w:t>
      </w:r>
      <w:r w:rsidRPr="004C3253">
        <w:rPr>
          <w:rFonts w:ascii="Times New Roman" w:hAnsi="Times New Roman" w:cs="Times New Roman"/>
          <w:i/>
          <w:sz w:val="24"/>
          <w:szCs w:val="24"/>
        </w:rPr>
        <w:t>in casu</w:t>
      </w:r>
      <w:r>
        <w:rPr>
          <w:rFonts w:ascii="Times New Roman" w:hAnsi="Times New Roman" w:cs="Times New Roman"/>
          <w:sz w:val="24"/>
          <w:szCs w:val="24"/>
        </w:rPr>
        <w:t>, con</w:t>
      </w:r>
      <w:r w:rsidR="002D56BE">
        <w:rPr>
          <w:rFonts w:ascii="Times New Roman" w:hAnsi="Times New Roman" w:cs="Times New Roman"/>
          <w:sz w:val="24"/>
          <w:szCs w:val="24"/>
        </w:rPr>
        <w:t>c</w:t>
      </w:r>
      <w:r>
        <w:rPr>
          <w:rFonts w:ascii="Times New Roman" w:hAnsi="Times New Roman" w:cs="Times New Roman"/>
          <w:sz w:val="24"/>
          <w:szCs w:val="24"/>
        </w:rPr>
        <w:t>rete evidence is available, he does well to produce it in substantiation of what he states in his affidavit. The produced evidence would leave his case intact and not open to doubt.</w:t>
      </w:r>
    </w:p>
    <w:p w:rsidR="005548AC" w:rsidRDefault="005548AC"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CDA">
        <w:rPr>
          <w:rFonts w:ascii="Times New Roman" w:hAnsi="Times New Roman" w:cs="Times New Roman"/>
          <w:sz w:val="24"/>
          <w:szCs w:val="24"/>
        </w:rPr>
        <w:t xml:space="preserve">The statement of the first respondent places the application in a balance. He challenges the applicant to prove that he was acquitted for the same charge at the magistrate’s court as he was charged with under the Police Act. He submits that the applicant was charged with the offence of </w:t>
      </w:r>
      <w:r w:rsidR="00324CDA" w:rsidRPr="00324CDA">
        <w:rPr>
          <w:rFonts w:ascii="Times New Roman" w:hAnsi="Times New Roman" w:cs="Times New Roman"/>
          <w:i/>
          <w:sz w:val="24"/>
          <w:szCs w:val="24"/>
        </w:rPr>
        <w:t>Criminal Abuse of Duty as a public officer</w:t>
      </w:r>
      <w:r w:rsidR="00324CDA">
        <w:rPr>
          <w:rFonts w:ascii="Times New Roman" w:hAnsi="Times New Roman" w:cs="Times New Roman"/>
          <w:sz w:val="24"/>
          <w:szCs w:val="24"/>
        </w:rPr>
        <w:t xml:space="preserve"> when he appeared before the court of the magistrate. He says he charged him with the offence of </w:t>
      </w:r>
      <w:r w:rsidR="00324CDA" w:rsidRPr="00324CDA">
        <w:rPr>
          <w:rFonts w:ascii="Times New Roman" w:hAnsi="Times New Roman" w:cs="Times New Roman"/>
          <w:i/>
          <w:sz w:val="24"/>
          <w:szCs w:val="24"/>
        </w:rPr>
        <w:t>Perfoming Duty in an Improper Manner</w:t>
      </w:r>
      <w:r w:rsidR="00324CDA">
        <w:rPr>
          <w:rFonts w:ascii="Times New Roman" w:hAnsi="Times New Roman" w:cs="Times New Roman"/>
          <w:sz w:val="24"/>
          <w:szCs w:val="24"/>
        </w:rPr>
        <w:t>. He states that the two charges cannot be the same. He denies</w:t>
      </w:r>
      <w:r w:rsidR="006045A5">
        <w:rPr>
          <w:rFonts w:ascii="Times New Roman" w:hAnsi="Times New Roman" w:cs="Times New Roman"/>
          <w:sz w:val="24"/>
          <w:szCs w:val="24"/>
        </w:rPr>
        <w:t>,</w:t>
      </w:r>
      <w:r w:rsidR="00324CDA">
        <w:rPr>
          <w:rFonts w:ascii="Times New Roman" w:hAnsi="Times New Roman" w:cs="Times New Roman"/>
          <w:sz w:val="24"/>
          <w:szCs w:val="24"/>
        </w:rPr>
        <w:t xml:space="preserve"> on the basis of the stated matter, </w:t>
      </w:r>
      <w:r w:rsidR="006045A5">
        <w:rPr>
          <w:rFonts w:ascii="Times New Roman" w:hAnsi="Times New Roman" w:cs="Times New Roman"/>
          <w:sz w:val="24"/>
          <w:szCs w:val="24"/>
        </w:rPr>
        <w:t xml:space="preserve">that </w:t>
      </w:r>
      <w:r w:rsidR="00324CDA">
        <w:rPr>
          <w:rFonts w:ascii="Times New Roman" w:hAnsi="Times New Roman" w:cs="Times New Roman"/>
          <w:sz w:val="24"/>
          <w:szCs w:val="24"/>
        </w:rPr>
        <w:t>the applicant was subjected to dual prosecution.</w:t>
      </w:r>
    </w:p>
    <w:p w:rsidR="00324CDA" w:rsidRDefault="00324C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gives the distinct </w:t>
      </w:r>
      <w:r w:rsidR="006045A5">
        <w:rPr>
          <w:rFonts w:ascii="Times New Roman" w:hAnsi="Times New Roman" w:cs="Times New Roman"/>
          <w:sz w:val="24"/>
          <w:szCs w:val="24"/>
        </w:rPr>
        <w:t>impression</w:t>
      </w:r>
      <w:r>
        <w:rPr>
          <w:rFonts w:ascii="Times New Roman" w:hAnsi="Times New Roman" w:cs="Times New Roman"/>
          <w:sz w:val="24"/>
          <w:szCs w:val="24"/>
        </w:rPr>
        <w:t xml:space="preserve"> that that he decided not to mention specifics which relate to the two charges which each court preferred against him. He appea</w:t>
      </w:r>
      <w:r w:rsidR="006045A5">
        <w:rPr>
          <w:rFonts w:ascii="Times New Roman" w:hAnsi="Times New Roman" w:cs="Times New Roman"/>
          <w:sz w:val="24"/>
          <w:szCs w:val="24"/>
        </w:rPr>
        <w:t>r</w:t>
      </w:r>
      <w:r>
        <w:rPr>
          <w:rFonts w:ascii="Times New Roman" w:hAnsi="Times New Roman" w:cs="Times New Roman"/>
          <w:sz w:val="24"/>
          <w:szCs w:val="24"/>
        </w:rPr>
        <w:t>s not to have wanted to rock the boat, as it were. He must have realised that</w:t>
      </w:r>
      <w:r w:rsidR="00646AAF">
        <w:rPr>
          <w:rFonts w:ascii="Times New Roman" w:hAnsi="Times New Roman" w:cs="Times New Roman"/>
          <w:sz w:val="24"/>
          <w:szCs w:val="24"/>
        </w:rPr>
        <w:t>,</w:t>
      </w:r>
      <w:r>
        <w:rPr>
          <w:rFonts w:ascii="Times New Roman" w:hAnsi="Times New Roman" w:cs="Times New Roman"/>
          <w:sz w:val="24"/>
          <w:szCs w:val="24"/>
        </w:rPr>
        <w:t xml:space="preserve"> if it were to be discovered that the charge which was preferred against him at the court of the magistrate was different from the one which the first respondent </w:t>
      </w:r>
      <w:r w:rsidR="00646AAF">
        <w:rPr>
          <w:rFonts w:ascii="Times New Roman" w:hAnsi="Times New Roman" w:cs="Times New Roman"/>
          <w:sz w:val="24"/>
          <w:szCs w:val="24"/>
        </w:rPr>
        <w:t>pr</w:t>
      </w:r>
      <w:r w:rsidR="002D56BE">
        <w:rPr>
          <w:rFonts w:ascii="Times New Roman" w:hAnsi="Times New Roman" w:cs="Times New Roman"/>
          <w:sz w:val="24"/>
          <w:szCs w:val="24"/>
        </w:rPr>
        <w:t>e</w:t>
      </w:r>
      <w:r w:rsidR="00646AAF">
        <w:rPr>
          <w:rFonts w:ascii="Times New Roman" w:hAnsi="Times New Roman" w:cs="Times New Roman"/>
          <w:sz w:val="24"/>
          <w:szCs w:val="24"/>
        </w:rPr>
        <w:t>fe</w:t>
      </w:r>
      <w:r w:rsidR="002D56BE">
        <w:rPr>
          <w:rFonts w:ascii="Times New Roman" w:hAnsi="Times New Roman" w:cs="Times New Roman"/>
          <w:sz w:val="24"/>
          <w:szCs w:val="24"/>
        </w:rPr>
        <w:t>r</w:t>
      </w:r>
      <w:r w:rsidR="00646AAF">
        <w:rPr>
          <w:rFonts w:ascii="Times New Roman" w:hAnsi="Times New Roman" w:cs="Times New Roman"/>
          <w:sz w:val="24"/>
          <w:szCs w:val="24"/>
        </w:rPr>
        <w:t>red</w:t>
      </w:r>
      <w:r>
        <w:rPr>
          <w:rFonts w:ascii="Times New Roman" w:hAnsi="Times New Roman" w:cs="Times New Roman"/>
          <w:sz w:val="24"/>
          <w:szCs w:val="24"/>
        </w:rPr>
        <w:t xml:space="preserve"> against him, his application for a declaratur would not hold.</w:t>
      </w:r>
    </w:p>
    <w:p w:rsidR="00324CDA" w:rsidRDefault="00324C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charges</w:t>
      </w:r>
      <w:r w:rsidR="00A12DD3">
        <w:rPr>
          <w:rFonts w:ascii="Times New Roman" w:hAnsi="Times New Roman" w:cs="Times New Roman"/>
          <w:sz w:val="24"/>
          <w:szCs w:val="24"/>
        </w:rPr>
        <w:t>,</w:t>
      </w:r>
      <w:r>
        <w:rPr>
          <w:rFonts w:ascii="Times New Roman" w:hAnsi="Times New Roman" w:cs="Times New Roman"/>
          <w:sz w:val="24"/>
          <w:szCs w:val="24"/>
        </w:rPr>
        <w:t xml:space="preserve"> as stated in the first respondent’s unchallenged statement, are similar. They are similar in that they both relate to the issue of corruption. They are, however, not the same.</w:t>
      </w:r>
    </w:p>
    <w:p w:rsidR="00324CDA" w:rsidRDefault="00324C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trial at the magistrate’s court aimed at punishing him for corruption, if such was the finding of the court. His trial under the Police Act aimed at instilling discipline in him as a member of the Police Service if such was the finding of the </w:t>
      </w:r>
      <w:r w:rsidR="00A12DD3">
        <w:rPr>
          <w:rFonts w:ascii="Times New Roman" w:hAnsi="Times New Roman" w:cs="Times New Roman"/>
          <w:sz w:val="24"/>
          <w:szCs w:val="24"/>
        </w:rPr>
        <w:t xml:space="preserve">Suitability Board </w:t>
      </w:r>
      <w:r>
        <w:rPr>
          <w:rFonts w:ascii="Times New Roman" w:hAnsi="Times New Roman" w:cs="Times New Roman"/>
          <w:sz w:val="24"/>
          <w:szCs w:val="24"/>
        </w:rPr>
        <w:t>which dealt with his case. He was, in my view, not subjected to dual prosecution as he would have the court believe.</w:t>
      </w:r>
    </w:p>
    <w:p w:rsidR="00324CDA" w:rsidRDefault="00324C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applicant did not appeal or review the decision of the trial officer supports the view that he agrees with the same. His application which he filed some ten (10) or so months after the trial officer’s decision appears to be an after-thought. It is my considered view that he made up his mind to try his luck and challenge his dismissal from the Police Service.</w:t>
      </w:r>
      <w:r w:rsidR="00D80530">
        <w:rPr>
          <w:rFonts w:ascii="Times New Roman" w:hAnsi="Times New Roman" w:cs="Times New Roman"/>
          <w:sz w:val="24"/>
          <w:szCs w:val="24"/>
        </w:rPr>
        <w:t xml:space="preserve"> Luck was, however, not with him at all. The untruths which he told coupled </w:t>
      </w:r>
      <w:r w:rsidR="00D80530">
        <w:rPr>
          <w:rFonts w:ascii="Times New Roman" w:hAnsi="Times New Roman" w:cs="Times New Roman"/>
          <w:sz w:val="24"/>
          <w:szCs w:val="24"/>
        </w:rPr>
        <w:lastRenderedPageBreak/>
        <w:t xml:space="preserve">with his many </w:t>
      </w:r>
      <w:r w:rsidR="000B3FC8">
        <w:rPr>
          <w:rFonts w:ascii="Times New Roman" w:hAnsi="Times New Roman" w:cs="Times New Roman"/>
          <w:sz w:val="24"/>
          <w:szCs w:val="24"/>
        </w:rPr>
        <w:t>unsubstantiated</w:t>
      </w:r>
      <w:r w:rsidR="00D80530">
        <w:rPr>
          <w:rFonts w:ascii="Times New Roman" w:hAnsi="Times New Roman" w:cs="Times New Roman"/>
          <w:sz w:val="24"/>
          <w:szCs w:val="24"/>
        </w:rPr>
        <w:t xml:space="preserve"> statement</w:t>
      </w:r>
      <w:r w:rsidR="00DD3A4B">
        <w:rPr>
          <w:rFonts w:ascii="Times New Roman" w:hAnsi="Times New Roman" w:cs="Times New Roman"/>
          <w:sz w:val="24"/>
          <w:szCs w:val="24"/>
        </w:rPr>
        <w:t>s</w:t>
      </w:r>
      <w:r w:rsidR="00D80530">
        <w:rPr>
          <w:rFonts w:ascii="Times New Roman" w:hAnsi="Times New Roman" w:cs="Times New Roman"/>
          <w:sz w:val="24"/>
          <w:szCs w:val="24"/>
        </w:rPr>
        <w:t xml:space="preserve"> destroyed any chance of him salvaging his case from the deep pit into which he had thro</w:t>
      </w:r>
      <w:r w:rsidR="00A12DD3">
        <w:rPr>
          <w:rFonts w:ascii="Times New Roman" w:hAnsi="Times New Roman" w:cs="Times New Roman"/>
          <w:sz w:val="24"/>
          <w:szCs w:val="24"/>
        </w:rPr>
        <w:t>wn</w:t>
      </w:r>
      <w:r w:rsidR="00D80530">
        <w:rPr>
          <w:rFonts w:ascii="Times New Roman" w:hAnsi="Times New Roman" w:cs="Times New Roman"/>
          <w:sz w:val="24"/>
          <w:szCs w:val="24"/>
        </w:rPr>
        <w:t xml:space="preserve"> it.</w:t>
      </w:r>
    </w:p>
    <w:p w:rsidR="00D80530" w:rsidRDefault="00D80530"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not being </w:t>
      </w:r>
      <w:r w:rsidR="00A12DD3">
        <w:rPr>
          <w:rFonts w:ascii="Times New Roman" w:hAnsi="Times New Roman" w:cs="Times New Roman"/>
          <w:sz w:val="24"/>
          <w:szCs w:val="24"/>
        </w:rPr>
        <w:t>candid</w:t>
      </w:r>
      <w:r>
        <w:rPr>
          <w:rFonts w:ascii="Times New Roman" w:hAnsi="Times New Roman" w:cs="Times New Roman"/>
          <w:sz w:val="24"/>
          <w:szCs w:val="24"/>
        </w:rPr>
        <w:t xml:space="preserve"> with the court when he alleged that he faced an omnibus charge which was not pleadable at law. Annexure B which </w:t>
      </w:r>
      <w:r w:rsidR="00DC2F52">
        <w:rPr>
          <w:rFonts w:ascii="Times New Roman" w:hAnsi="Times New Roman" w:cs="Times New Roman"/>
          <w:sz w:val="24"/>
          <w:szCs w:val="24"/>
        </w:rPr>
        <w:t>the</w:t>
      </w:r>
      <w:r>
        <w:rPr>
          <w:rFonts w:ascii="Times New Roman" w:hAnsi="Times New Roman" w:cs="Times New Roman"/>
          <w:sz w:val="24"/>
          <w:szCs w:val="24"/>
        </w:rPr>
        <w:t xml:space="preserve"> first respondent attached to his notice of opposition is the charge which was preferred against him under the Police Act. The charge is</w:t>
      </w:r>
      <w:r w:rsidR="00DC2F52">
        <w:rPr>
          <w:rFonts w:ascii="Times New Roman" w:hAnsi="Times New Roman" w:cs="Times New Roman"/>
          <w:sz w:val="24"/>
          <w:szCs w:val="24"/>
        </w:rPr>
        <w:t xml:space="preserve"> </w:t>
      </w:r>
      <w:r>
        <w:rPr>
          <w:rFonts w:ascii="Times New Roman" w:hAnsi="Times New Roman" w:cs="Times New Roman"/>
          <w:sz w:val="24"/>
          <w:szCs w:val="24"/>
        </w:rPr>
        <w:t xml:space="preserve">not an omnibus </w:t>
      </w:r>
      <w:r w:rsidR="00A12DD3">
        <w:rPr>
          <w:rFonts w:ascii="Times New Roman" w:hAnsi="Times New Roman" w:cs="Times New Roman"/>
          <w:sz w:val="24"/>
          <w:szCs w:val="24"/>
        </w:rPr>
        <w:t xml:space="preserve">one </w:t>
      </w:r>
      <w:r>
        <w:rPr>
          <w:rFonts w:ascii="Times New Roman" w:hAnsi="Times New Roman" w:cs="Times New Roman"/>
          <w:sz w:val="24"/>
          <w:szCs w:val="24"/>
        </w:rPr>
        <w:t>as he alleges. It is specific</w:t>
      </w:r>
      <w:r w:rsidR="00A12DD3">
        <w:rPr>
          <w:rFonts w:ascii="Times New Roman" w:hAnsi="Times New Roman" w:cs="Times New Roman"/>
          <w:sz w:val="24"/>
          <w:szCs w:val="24"/>
        </w:rPr>
        <w:t>. I</w:t>
      </w:r>
      <w:r>
        <w:rPr>
          <w:rFonts w:ascii="Times New Roman" w:hAnsi="Times New Roman" w:cs="Times New Roman"/>
          <w:sz w:val="24"/>
          <w:szCs w:val="24"/>
        </w:rPr>
        <w:t>t informs him of the period he is alleged to have committed the offence, the manner he is alleged to have committed it as well as the place of the commission of the same.</w:t>
      </w:r>
    </w:p>
    <w:p w:rsidR="00D80530" w:rsidRDefault="00D80530"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specific allegation which is contained in the charge is that the applicant released one Cloudy Kaundo who was charged with the crim</w:t>
      </w:r>
      <w:r w:rsidR="00A12DD3">
        <w:rPr>
          <w:rFonts w:ascii="Times New Roman" w:hAnsi="Times New Roman" w:cs="Times New Roman"/>
          <w:sz w:val="24"/>
          <w:szCs w:val="24"/>
        </w:rPr>
        <w:t>e</w:t>
      </w:r>
      <w:r>
        <w:rPr>
          <w:rFonts w:ascii="Times New Roman" w:hAnsi="Times New Roman" w:cs="Times New Roman"/>
          <w:sz w:val="24"/>
          <w:szCs w:val="24"/>
        </w:rPr>
        <w:t xml:space="preserve"> of assault. It states that he released him without authority and demanded a </w:t>
      </w:r>
      <w:r w:rsidR="00A12DD3">
        <w:rPr>
          <w:rFonts w:ascii="Times New Roman" w:hAnsi="Times New Roman" w:cs="Times New Roman"/>
          <w:sz w:val="24"/>
          <w:szCs w:val="24"/>
        </w:rPr>
        <w:t>bribe</w:t>
      </w:r>
      <w:r>
        <w:rPr>
          <w:rFonts w:ascii="Times New Roman" w:hAnsi="Times New Roman" w:cs="Times New Roman"/>
          <w:sz w:val="24"/>
          <w:szCs w:val="24"/>
        </w:rPr>
        <w:t xml:space="preserve"> of $50 from him.</w:t>
      </w:r>
      <w:r w:rsidR="00A12DD3">
        <w:rPr>
          <w:rFonts w:ascii="Times New Roman" w:hAnsi="Times New Roman" w:cs="Times New Roman"/>
          <w:sz w:val="24"/>
          <w:szCs w:val="24"/>
        </w:rPr>
        <w:t xml:space="preserve"> </w:t>
      </w:r>
      <w:r w:rsidR="00011DE3">
        <w:rPr>
          <w:rFonts w:ascii="Times New Roman" w:hAnsi="Times New Roman" w:cs="Times New Roman"/>
          <w:sz w:val="24"/>
          <w:szCs w:val="24"/>
        </w:rPr>
        <w:t>The charge is, no doubt, clear and specific. It is, therefore, pleadable.</w:t>
      </w:r>
    </w:p>
    <w:p w:rsidR="00011DE3" w:rsidRDefault="00011DE3"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violated no law when he set up the </w:t>
      </w:r>
      <w:r w:rsidR="00A12DD3">
        <w:rPr>
          <w:rFonts w:ascii="Times New Roman" w:hAnsi="Times New Roman" w:cs="Times New Roman"/>
          <w:sz w:val="24"/>
          <w:szCs w:val="24"/>
        </w:rPr>
        <w:t>S</w:t>
      </w:r>
      <w:r>
        <w:rPr>
          <w:rFonts w:ascii="Times New Roman" w:hAnsi="Times New Roman" w:cs="Times New Roman"/>
          <w:sz w:val="24"/>
          <w:szCs w:val="24"/>
        </w:rPr>
        <w:t xml:space="preserve">uitability Board to inquire into the applicant’s suitability to remain in the Police Service. </w:t>
      </w:r>
      <w:r w:rsidR="00C72652">
        <w:rPr>
          <w:rFonts w:ascii="Times New Roman" w:hAnsi="Times New Roman" w:cs="Times New Roman"/>
          <w:sz w:val="24"/>
          <w:szCs w:val="24"/>
        </w:rPr>
        <w:t xml:space="preserve">Section 193 (b) of the Constitution of Zimbabwe as read with s 278 (2) and (3) of the Criminal Law </w:t>
      </w:r>
      <w:r w:rsidR="00BE63DA">
        <w:rPr>
          <w:rFonts w:ascii="Times New Roman" w:hAnsi="Times New Roman" w:cs="Times New Roman"/>
          <w:sz w:val="24"/>
          <w:szCs w:val="24"/>
        </w:rPr>
        <w:t>(</w:t>
      </w:r>
      <w:r w:rsidR="00C72652">
        <w:rPr>
          <w:rFonts w:ascii="Times New Roman" w:hAnsi="Times New Roman" w:cs="Times New Roman"/>
          <w:sz w:val="24"/>
          <w:szCs w:val="24"/>
        </w:rPr>
        <w:t>Codification and Reform</w:t>
      </w:r>
      <w:r w:rsidR="00BE63DA">
        <w:rPr>
          <w:rFonts w:ascii="Times New Roman" w:hAnsi="Times New Roman" w:cs="Times New Roman"/>
          <w:sz w:val="24"/>
          <w:szCs w:val="24"/>
        </w:rPr>
        <w:t>)</w:t>
      </w:r>
      <w:r w:rsidR="00C72652">
        <w:rPr>
          <w:rFonts w:ascii="Times New Roman" w:hAnsi="Times New Roman" w:cs="Times New Roman"/>
          <w:sz w:val="24"/>
          <w:szCs w:val="24"/>
        </w:rPr>
        <w:t xml:space="preserve"> Act confers power upon him to act as he did. </w:t>
      </w:r>
    </w:p>
    <w:p w:rsidR="00C16576" w:rsidRDefault="00C16576"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75C7">
        <w:rPr>
          <w:rFonts w:ascii="Times New Roman" w:hAnsi="Times New Roman" w:cs="Times New Roman"/>
          <w:sz w:val="24"/>
          <w:szCs w:val="24"/>
        </w:rPr>
        <w:t xml:space="preserve">Whilst the proceedings which the first respondent constituted have the connotations of a criminal trial as stated in s 193 (b) of the Constitution, the substance of the same is very clear. It is, as is stated in the </w:t>
      </w:r>
      <w:r w:rsidR="00A12DD3">
        <w:rPr>
          <w:rFonts w:ascii="Times New Roman" w:hAnsi="Times New Roman" w:cs="Times New Roman"/>
          <w:sz w:val="24"/>
          <w:szCs w:val="24"/>
        </w:rPr>
        <w:t xml:space="preserve">Suitability </w:t>
      </w:r>
      <w:r w:rsidR="00D875C7">
        <w:rPr>
          <w:rFonts w:ascii="Times New Roman" w:hAnsi="Times New Roman" w:cs="Times New Roman"/>
          <w:sz w:val="24"/>
          <w:szCs w:val="24"/>
        </w:rPr>
        <w:t xml:space="preserve">Board’s </w:t>
      </w:r>
      <w:r w:rsidR="00D25BFB">
        <w:rPr>
          <w:rFonts w:ascii="Times New Roman" w:hAnsi="Times New Roman" w:cs="Times New Roman"/>
          <w:sz w:val="24"/>
          <w:szCs w:val="24"/>
        </w:rPr>
        <w:t>terms</w:t>
      </w:r>
      <w:r w:rsidR="00D875C7">
        <w:rPr>
          <w:rFonts w:ascii="Times New Roman" w:hAnsi="Times New Roman" w:cs="Times New Roman"/>
          <w:sz w:val="24"/>
          <w:szCs w:val="24"/>
        </w:rPr>
        <w:t xml:space="preserve"> of reference, to look into the suitability  or fitness of the applicant to remain in the police service as well as to retain his rank, salary or seniority. The terms are </w:t>
      </w:r>
      <w:r w:rsidR="00D875C7" w:rsidRPr="00C77FF8">
        <w:rPr>
          <w:rFonts w:ascii="Times New Roman" w:hAnsi="Times New Roman" w:cs="Times New Roman"/>
          <w:i/>
          <w:sz w:val="24"/>
          <w:szCs w:val="24"/>
        </w:rPr>
        <w:t>in sync</w:t>
      </w:r>
      <w:r w:rsidR="00D875C7">
        <w:rPr>
          <w:rFonts w:ascii="Times New Roman" w:hAnsi="Times New Roman" w:cs="Times New Roman"/>
          <w:sz w:val="24"/>
          <w:szCs w:val="24"/>
        </w:rPr>
        <w:t xml:space="preserve"> with s 278 (2) and (3) of the Criminal Law </w:t>
      </w:r>
      <w:r w:rsidR="00C77FF8">
        <w:rPr>
          <w:rFonts w:ascii="Times New Roman" w:hAnsi="Times New Roman" w:cs="Times New Roman"/>
          <w:sz w:val="24"/>
          <w:szCs w:val="24"/>
        </w:rPr>
        <w:t>(</w:t>
      </w:r>
      <w:r w:rsidR="00D875C7">
        <w:rPr>
          <w:rFonts w:ascii="Times New Roman" w:hAnsi="Times New Roman" w:cs="Times New Roman"/>
          <w:sz w:val="24"/>
          <w:szCs w:val="24"/>
        </w:rPr>
        <w:t>Codification and Reform</w:t>
      </w:r>
      <w:r w:rsidR="00C77FF8">
        <w:rPr>
          <w:rFonts w:ascii="Times New Roman" w:hAnsi="Times New Roman" w:cs="Times New Roman"/>
          <w:sz w:val="24"/>
          <w:szCs w:val="24"/>
        </w:rPr>
        <w:t>)</w:t>
      </w:r>
      <w:r w:rsidR="00D875C7">
        <w:rPr>
          <w:rFonts w:ascii="Times New Roman" w:hAnsi="Times New Roman" w:cs="Times New Roman"/>
          <w:sz w:val="24"/>
          <w:szCs w:val="24"/>
        </w:rPr>
        <w:t xml:space="preserve"> Act which reads:</w:t>
      </w:r>
    </w:p>
    <w:p w:rsidR="00D875C7" w:rsidRPr="00767300" w:rsidRDefault="00D875C7" w:rsidP="00767300">
      <w:pPr>
        <w:spacing w:after="0" w:line="240" w:lineRule="auto"/>
        <w:jc w:val="both"/>
        <w:rPr>
          <w:rFonts w:ascii="Times New Roman" w:hAnsi="Times New Roman" w:cs="Times New Roman"/>
        </w:rPr>
      </w:pPr>
      <w:r>
        <w:rPr>
          <w:rFonts w:ascii="Times New Roman" w:hAnsi="Times New Roman" w:cs="Times New Roman"/>
          <w:sz w:val="24"/>
          <w:szCs w:val="24"/>
        </w:rPr>
        <w:tab/>
      </w:r>
      <w:r w:rsidRPr="00767300">
        <w:rPr>
          <w:rFonts w:ascii="Times New Roman" w:hAnsi="Times New Roman" w:cs="Times New Roman"/>
        </w:rPr>
        <w:t>“278 RELATION OF CRIMINAL TO CIVIL OR DISCIPLINARY PROCEEDINGS</w:t>
      </w:r>
    </w:p>
    <w:p w:rsidR="00D875C7" w:rsidRPr="00767300" w:rsidRDefault="00D875C7" w:rsidP="00767300">
      <w:pPr>
        <w:spacing w:after="0" w:line="240" w:lineRule="auto"/>
        <w:jc w:val="both"/>
        <w:rPr>
          <w:rFonts w:ascii="Times New Roman" w:hAnsi="Times New Roman" w:cs="Times New Roman"/>
        </w:rPr>
      </w:pPr>
      <w:r w:rsidRPr="00767300">
        <w:rPr>
          <w:rFonts w:ascii="Times New Roman" w:hAnsi="Times New Roman" w:cs="Times New Roman"/>
        </w:rPr>
        <w:tab/>
        <w:t>(1)……</w:t>
      </w:r>
    </w:p>
    <w:p w:rsidR="00D875C7" w:rsidRPr="00767300" w:rsidRDefault="00D875C7" w:rsidP="00767300">
      <w:pPr>
        <w:spacing w:after="0" w:line="240" w:lineRule="auto"/>
        <w:jc w:val="both"/>
        <w:rPr>
          <w:rFonts w:ascii="Times New Roman" w:hAnsi="Times New Roman" w:cs="Times New Roman"/>
        </w:rPr>
      </w:pPr>
      <w:r w:rsidRPr="00767300">
        <w:rPr>
          <w:rFonts w:ascii="Times New Roman" w:hAnsi="Times New Roman" w:cs="Times New Roman"/>
        </w:rPr>
        <w:tab/>
        <w:t xml:space="preserve">(2) A conviction or acquittal in respect of any crime shall </w:t>
      </w:r>
      <w:r w:rsidRPr="00767300">
        <w:rPr>
          <w:rFonts w:ascii="Times New Roman" w:hAnsi="Times New Roman" w:cs="Times New Roman"/>
          <w:i/>
        </w:rPr>
        <w:t>not be a bar</w:t>
      </w:r>
      <w:r w:rsidRPr="00767300">
        <w:rPr>
          <w:rFonts w:ascii="Times New Roman" w:hAnsi="Times New Roman" w:cs="Times New Roman"/>
        </w:rPr>
        <w:t xml:space="preserve"> to civil or </w:t>
      </w:r>
      <w:r w:rsidRPr="00767300">
        <w:rPr>
          <w:rFonts w:ascii="Times New Roman" w:hAnsi="Times New Roman" w:cs="Times New Roman"/>
        </w:rPr>
        <w:tab/>
      </w:r>
      <w:r w:rsidRPr="00767300">
        <w:rPr>
          <w:rFonts w:ascii="Times New Roman" w:hAnsi="Times New Roman" w:cs="Times New Roman"/>
          <w:i/>
        </w:rPr>
        <w:t xml:space="preserve">disciplinary </w:t>
      </w:r>
      <w:r w:rsidR="00767300">
        <w:rPr>
          <w:rFonts w:ascii="Times New Roman" w:hAnsi="Times New Roman" w:cs="Times New Roman"/>
          <w:i/>
        </w:rPr>
        <w:tab/>
      </w:r>
      <w:r w:rsidRPr="00767300">
        <w:rPr>
          <w:rFonts w:ascii="Times New Roman" w:hAnsi="Times New Roman" w:cs="Times New Roman"/>
          <w:i/>
        </w:rPr>
        <w:t>proceedings</w:t>
      </w:r>
      <w:r w:rsidRPr="00767300">
        <w:rPr>
          <w:rFonts w:ascii="Times New Roman" w:hAnsi="Times New Roman" w:cs="Times New Roman"/>
        </w:rPr>
        <w:t xml:space="preserve"> in relation to any conduct constituting the crime at the instance of  or ….. the </w:t>
      </w:r>
      <w:r w:rsidR="00767300">
        <w:rPr>
          <w:rFonts w:ascii="Times New Roman" w:hAnsi="Times New Roman" w:cs="Times New Roman"/>
        </w:rPr>
        <w:tab/>
      </w:r>
      <w:r w:rsidRPr="00767300">
        <w:rPr>
          <w:rFonts w:ascii="Times New Roman" w:hAnsi="Times New Roman" w:cs="Times New Roman"/>
          <w:i/>
        </w:rPr>
        <w:t>relevant disciplinary authority</w:t>
      </w:r>
      <w:r w:rsidRPr="00767300">
        <w:rPr>
          <w:rFonts w:ascii="Times New Roman" w:hAnsi="Times New Roman" w:cs="Times New Roman"/>
        </w:rPr>
        <w:t xml:space="preserve">. </w:t>
      </w:r>
    </w:p>
    <w:p w:rsidR="00767300" w:rsidRPr="00767300" w:rsidRDefault="00D875C7" w:rsidP="00767300">
      <w:pPr>
        <w:spacing w:after="0" w:line="240" w:lineRule="auto"/>
        <w:jc w:val="both"/>
        <w:rPr>
          <w:rFonts w:ascii="Times New Roman" w:hAnsi="Times New Roman" w:cs="Times New Roman"/>
        </w:rPr>
      </w:pPr>
      <w:r w:rsidRPr="00767300">
        <w:rPr>
          <w:rFonts w:ascii="Times New Roman" w:hAnsi="Times New Roman" w:cs="Times New Roman"/>
        </w:rPr>
        <w:tab/>
        <w:t xml:space="preserve">(3) Civil or disciplinary proceedings, in relation to any conduct that constitutes a </w:t>
      </w:r>
      <w:r w:rsidR="00767300" w:rsidRPr="00767300">
        <w:rPr>
          <w:rFonts w:ascii="Times New Roman" w:hAnsi="Times New Roman" w:cs="Times New Roman"/>
        </w:rPr>
        <w:tab/>
      </w:r>
      <w:r w:rsidRPr="00767300">
        <w:rPr>
          <w:rFonts w:ascii="Times New Roman" w:hAnsi="Times New Roman" w:cs="Times New Roman"/>
        </w:rPr>
        <w:t xml:space="preserve">crime may, </w:t>
      </w:r>
      <w:r w:rsidR="00767300">
        <w:rPr>
          <w:rFonts w:ascii="Times New Roman" w:hAnsi="Times New Roman" w:cs="Times New Roman"/>
        </w:rPr>
        <w:tab/>
      </w:r>
      <w:r w:rsidRPr="00767300">
        <w:rPr>
          <w:rFonts w:ascii="Times New Roman" w:hAnsi="Times New Roman" w:cs="Times New Roman"/>
        </w:rPr>
        <w:t xml:space="preserve">without prejudice to the </w:t>
      </w:r>
      <w:r w:rsidR="00B40C5C" w:rsidRPr="00767300">
        <w:rPr>
          <w:rFonts w:ascii="Times New Roman" w:hAnsi="Times New Roman" w:cs="Times New Roman"/>
        </w:rPr>
        <w:t xml:space="preserve">prosecution of any criminal proceedings </w:t>
      </w:r>
      <w:r w:rsidR="00767300" w:rsidRPr="00767300">
        <w:rPr>
          <w:rFonts w:ascii="Times New Roman" w:hAnsi="Times New Roman" w:cs="Times New Roman"/>
        </w:rPr>
        <w:t>in</w:t>
      </w:r>
      <w:r w:rsidR="00767300">
        <w:rPr>
          <w:rFonts w:ascii="Times New Roman" w:hAnsi="Times New Roman" w:cs="Times New Roman"/>
        </w:rPr>
        <w:t xml:space="preserve"> </w:t>
      </w:r>
      <w:r w:rsidR="00767300" w:rsidRPr="00767300">
        <w:rPr>
          <w:rFonts w:ascii="Times New Roman" w:hAnsi="Times New Roman" w:cs="Times New Roman"/>
        </w:rPr>
        <w:t xml:space="preserve">respect of the same </w:t>
      </w:r>
      <w:r w:rsidR="00767300">
        <w:rPr>
          <w:rFonts w:ascii="Times New Roman" w:hAnsi="Times New Roman" w:cs="Times New Roman"/>
        </w:rPr>
        <w:tab/>
      </w:r>
      <w:r w:rsidR="00767300" w:rsidRPr="00767300">
        <w:rPr>
          <w:rFonts w:ascii="Times New Roman" w:hAnsi="Times New Roman" w:cs="Times New Roman"/>
        </w:rPr>
        <w:t xml:space="preserve">conduct, be instituted at any time before or after the commencement of such criminal </w:t>
      </w:r>
      <w:r w:rsidR="00767300">
        <w:rPr>
          <w:rFonts w:ascii="Times New Roman" w:hAnsi="Times New Roman" w:cs="Times New Roman"/>
        </w:rPr>
        <w:tab/>
      </w:r>
      <w:r w:rsidR="00767300" w:rsidRPr="00767300">
        <w:rPr>
          <w:rFonts w:ascii="Times New Roman" w:hAnsi="Times New Roman" w:cs="Times New Roman"/>
        </w:rPr>
        <w:t>proceedings.”</w:t>
      </w:r>
    </w:p>
    <w:p w:rsidR="00767300" w:rsidRDefault="00767300" w:rsidP="00C16576">
      <w:pPr>
        <w:spacing w:after="0" w:line="360" w:lineRule="auto"/>
        <w:jc w:val="both"/>
        <w:rPr>
          <w:rFonts w:ascii="Times New Roman" w:hAnsi="Times New Roman" w:cs="Times New Roman"/>
          <w:sz w:val="24"/>
          <w:szCs w:val="24"/>
        </w:rPr>
      </w:pPr>
    </w:p>
    <w:p w:rsidR="00BE63DA" w:rsidRDefault="00BE63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635B">
        <w:rPr>
          <w:rFonts w:ascii="Times New Roman" w:hAnsi="Times New Roman" w:cs="Times New Roman"/>
          <w:sz w:val="24"/>
          <w:szCs w:val="24"/>
        </w:rPr>
        <w:t>The section, no doubt</w:t>
      </w:r>
      <w:r>
        <w:rPr>
          <w:rFonts w:ascii="Times New Roman" w:hAnsi="Times New Roman" w:cs="Times New Roman"/>
          <w:sz w:val="24"/>
          <w:szCs w:val="24"/>
        </w:rPr>
        <w:t>,</w:t>
      </w:r>
      <w:r w:rsidR="001B635B">
        <w:rPr>
          <w:rFonts w:ascii="Times New Roman" w:hAnsi="Times New Roman" w:cs="Times New Roman"/>
          <w:sz w:val="24"/>
          <w:szCs w:val="24"/>
        </w:rPr>
        <w:t xml:space="preserve"> makes a clear distinction between criminal proceedings and civil or disciplinary proceedings. It is a </w:t>
      </w:r>
      <w:r>
        <w:rPr>
          <w:rFonts w:ascii="Times New Roman" w:hAnsi="Times New Roman" w:cs="Times New Roman"/>
          <w:sz w:val="24"/>
          <w:szCs w:val="24"/>
        </w:rPr>
        <w:t>misno</w:t>
      </w:r>
      <w:r w:rsidR="00BB5FC6">
        <w:rPr>
          <w:rFonts w:ascii="Times New Roman" w:hAnsi="Times New Roman" w:cs="Times New Roman"/>
          <w:sz w:val="24"/>
          <w:szCs w:val="24"/>
        </w:rPr>
        <w:t>r</w:t>
      </w:r>
      <w:r>
        <w:rPr>
          <w:rFonts w:ascii="Times New Roman" w:hAnsi="Times New Roman" w:cs="Times New Roman"/>
          <w:sz w:val="24"/>
          <w:szCs w:val="24"/>
        </w:rPr>
        <w:t>mer</w:t>
      </w:r>
      <w:r w:rsidR="001B635B">
        <w:rPr>
          <w:rFonts w:ascii="Times New Roman" w:hAnsi="Times New Roman" w:cs="Times New Roman"/>
          <w:sz w:val="24"/>
          <w:szCs w:val="24"/>
        </w:rPr>
        <w:t xml:space="preserve"> for the applicant to suggest that the criminal proceedings which he </w:t>
      </w:r>
      <w:r w:rsidR="00B40C5C">
        <w:rPr>
          <w:rFonts w:ascii="Times New Roman" w:hAnsi="Times New Roman" w:cs="Times New Roman"/>
          <w:sz w:val="24"/>
          <w:szCs w:val="24"/>
        </w:rPr>
        <w:t xml:space="preserve">underwent at the magistrate’s court are equivalent to the </w:t>
      </w:r>
      <w:r w:rsidR="00B40C5C">
        <w:rPr>
          <w:rFonts w:ascii="Times New Roman" w:hAnsi="Times New Roman" w:cs="Times New Roman"/>
          <w:sz w:val="24"/>
          <w:szCs w:val="24"/>
        </w:rPr>
        <w:lastRenderedPageBreak/>
        <w:t xml:space="preserve">disciplinary proceedings which the first respondent </w:t>
      </w:r>
      <w:r w:rsidR="00D91014">
        <w:rPr>
          <w:rFonts w:ascii="Times New Roman" w:hAnsi="Times New Roman" w:cs="Times New Roman"/>
          <w:sz w:val="24"/>
          <w:szCs w:val="24"/>
        </w:rPr>
        <w:t xml:space="preserve">preferred against him under the Police Act. </w:t>
      </w:r>
    </w:p>
    <w:p w:rsidR="00D875C7" w:rsidRDefault="00BE63DA"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014">
        <w:rPr>
          <w:rFonts w:ascii="Times New Roman" w:hAnsi="Times New Roman" w:cs="Times New Roman"/>
          <w:sz w:val="24"/>
          <w:szCs w:val="24"/>
        </w:rPr>
        <w:t>The first respondent stated</w:t>
      </w:r>
      <w:r>
        <w:rPr>
          <w:rFonts w:ascii="Times New Roman" w:hAnsi="Times New Roman" w:cs="Times New Roman"/>
          <w:sz w:val="24"/>
          <w:szCs w:val="24"/>
        </w:rPr>
        <w:t>,</w:t>
      </w:r>
      <w:r w:rsidR="00D91014">
        <w:rPr>
          <w:rFonts w:ascii="Times New Roman" w:hAnsi="Times New Roman" w:cs="Times New Roman"/>
          <w:sz w:val="24"/>
          <w:szCs w:val="24"/>
        </w:rPr>
        <w:t xml:space="preserve"> and l agree</w:t>
      </w:r>
      <w:r>
        <w:rPr>
          <w:rFonts w:ascii="Times New Roman" w:hAnsi="Times New Roman" w:cs="Times New Roman"/>
          <w:sz w:val="24"/>
          <w:szCs w:val="24"/>
        </w:rPr>
        <w:t>,</w:t>
      </w:r>
      <w:r w:rsidR="00D91014">
        <w:rPr>
          <w:rFonts w:ascii="Times New Roman" w:hAnsi="Times New Roman" w:cs="Times New Roman"/>
          <w:sz w:val="24"/>
          <w:szCs w:val="24"/>
        </w:rPr>
        <w:t xml:space="preserve"> that the objectives of the two pieces of </w:t>
      </w:r>
      <w:r>
        <w:rPr>
          <w:rFonts w:ascii="Times New Roman" w:hAnsi="Times New Roman" w:cs="Times New Roman"/>
          <w:sz w:val="24"/>
          <w:szCs w:val="24"/>
        </w:rPr>
        <w:t>l</w:t>
      </w:r>
      <w:r w:rsidR="00D91014">
        <w:rPr>
          <w:rFonts w:ascii="Times New Roman" w:hAnsi="Times New Roman" w:cs="Times New Roman"/>
          <w:sz w:val="24"/>
          <w:szCs w:val="24"/>
        </w:rPr>
        <w:t xml:space="preserve">aw are different. They </w:t>
      </w:r>
      <w:r>
        <w:rPr>
          <w:rFonts w:ascii="Times New Roman" w:hAnsi="Times New Roman" w:cs="Times New Roman"/>
          <w:sz w:val="24"/>
          <w:szCs w:val="24"/>
        </w:rPr>
        <w:t xml:space="preserve">do </w:t>
      </w:r>
      <w:r w:rsidR="00D91014">
        <w:rPr>
          <w:rFonts w:ascii="Times New Roman" w:hAnsi="Times New Roman" w:cs="Times New Roman"/>
          <w:sz w:val="24"/>
          <w:szCs w:val="24"/>
        </w:rPr>
        <w:t xml:space="preserve">not, as has already been stated, aim at addressing the same mischief. They deal </w:t>
      </w:r>
      <w:r w:rsidR="00D44C6F">
        <w:rPr>
          <w:rFonts w:ascii="Times New Roman" w:hAnsi="Times New Roman" w:cs="Times New Roman"/>
          <w:sz w:val="24"/>
          <w:szCs w:val="24"/>
        </w:rPr>
        <w:t>with different aspects of the applicant’s conduct. If he was convicted by the court of the magistrate, the sanction which he would have endured would have been punishment which is in tandem with the Criminal Law of Zimbabwe. His conviction under the Police Act aimed at not so much as at punishing</w:t>
      </w:r>
      <w:r w:rsidR="008D2BEA">
        <w:rPr>
          <w:rFonts w:ascii="Times New Roman" w:hAnsi="Times New Roman" w:cs="Times New Roman"/>
          <w:sz w:val="24"/>
          <w:szCs w:val="24"/>
        </w:rPr>
        <w:t xml:space="preserve"> him</w:t>
      </w:r>
      <w:r w:rsidR="00D44C6F">
        <w:rPr>
          <w:rFonts w:ascii="Times New Roman" w:hAnsi="Times New Roman" w:cs="Times New Roman"/>
          <w:sz w:val="24"/>
          <w:szCs w:val="24"/>
        </w:rPr>
        <w:t xml:space="preserve">, </w:t>
      </w:r>
      <w:r w:rsidR="008D2BEA">
        <w:rPr>
          <w:rFonts w:ascii="Times New Roman" w:hAnsi="Times New Roman" w:cs="Times New Roman"/>
          <w:sz w:val="24"/>
          <w:szCs w:val="24"/>
        </w:rPr>
        <w:t>but at instilling discipline in</w:t>
      </w:r>
      <w:r w:rsidR="00D44C6F">
        <w:rPr>
          <w:rFonts w:ascii="Times New Roman" w:hAnsi="Times New Roman" w:cs="Times New Roman"/>
          <w:sz w:val="24"/>
          <w:szCs w:val="24"/>
        </w:rPr>
        <w:t xml:space="preserve"> him.</w:t>
      </w:r>
    </w:p>
    <w:p w:rsidR="000E4798" w:rsidRDefault="000E4798"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could not, under the stated circumstances, plead the defence of </w:t>
      </w:r>
      <w:r w:rsidRPr="000E4798">
        <w:rPr>
          <w:rFonts w:ascii="Times New Roman" w:hAnsi="Times New Roman" w:cs="Times New Roman"/>
          <w:i/>
          <w:sz w:val="24"/>
          <w:szCs w:val="24"/>
        </w:rPr>
        <w:t>autre</w:t>
      </w:r>
      <w:r w:rsidR="00BB5FC6">
        <w:rPr>
          <w:rFonts w:ascii="Times New Roman" w:hAnsi="Times New Roman" w:cs="Times New Roman"/>
          <w:i/>
          <w:sz w:val="24"/>
          <w:szCs w:val="24"/>
        </w:rPr>
        <w:t>f</w:t>
      </w:r>
      <w:r w:rsidRPr="000E4798">
        <w:rPr>
          <w:rFonts w:ascii="Times New Roman" w:hAnsi="Times New Roman" w:cs="Times New Roman"/>
          <w:i/>
          <w:sz w:val="24"/>
          <w:szCs w:val="24"/>
        </w:rPr>
        <w:t>ois acquit</w:t>
      </w:r>
      <w:r>
        <w:rPr>
          <w:rFonts w:ascii="Times New Roman" w:hAnsi="Times New Roman" w:cs="Times New Roman"/>
          <w:sz w:val="24"/>
          <w:szCs w:val="24"/>
        </w:rPr>
        <w:t xml:space="preserve">. That </w:t>
      </w:r>
      <w:r w:rsidR="00C93E05">
        <w:rPr>
          <w:rFonts w:ascii="Times New Roman" w:hAnsi="Times New Roman" w:cs="Times New Roman"/>
          <w:sz w:val="24"/>
          <w:szCs w:val="24"/>
        </w:rPr>
        <w:t xml:space="preserve">defence was not, and is not, available to him owing to the difference, not only in </w:t>
      </w:r>
      <w:r w:rsidR="003D10AD">
        <w:rPr>
          <w:rFonts w:ascii="Times New Roman" w:hAnsi="Times New Roman" w:cs="Times New Roman"/>
          <w:sz w:val="24"/>
          <w:szCs w:val="24"/>
        </w:rPr>
        <w:t>fo</w:t>
      </w:r>
      <w:r w:rsidR="00C93E05">
        <w:rPr>
          <w:rFonts w:ascii="Times New Roman" w:hAnsi="Times New Roman" w:cs="Times New Roman"/>
          <w:sz w:val="24"/>
          <w:szCs w:val="24"/>
        </w:rPr>
        <w:t>rm but also in substance, of the two set of proceedings. The proceedings under the Police Act bear the connotations of a criminal trial in the sense that they should follow, as nearly as is possible</w:t>
      </w:r>
      <w:r w:rsidR="003D10AD">
        <w:rPr>
          <w:rFonts w:ascii="Times New Roman" w:hAnsi="Times New Roman" w:cs="Times New Roman"/>
          <w:sz w:val="24"/>
          <w:szCs w:val="24"/>
        </w:rPr>
        <w:t>,</w:t>
      </w:r>
      <w:r w:rsidR="00C93E05">
        <w:rPr>
          <w:rFonts w:ascii="Times New Roman" w:hAnsi="Times New Roman" w:cs="Times New Roman"/>
          <w:sz w:val="24"/>
          <w:szCs w:val="24"/>
        </w:rPr>
        <w:t xml:space="preserve"> the stages as well as the manner of leading evidence in a criminal trial. They are howev</w:t>
      </w:r>
      <w:r w:rsidR="00D25BFB">
        <w:rPr>
          <w:rFonts w:ascii="Times New Roman" w:hAnsi="Times New Roman" w:cs="Times New Roman"/>
          <w:sz w:val="24"/>
          <w:szCs w:val="24"/>
        </w:rPr>
        <w:t xml:space="preserve">er, not a criminal trial </w:t>
      </w:r>
      <w:r w:rsidR="003D10AD">
        <w:rPr>
          <w:rFonts w:ascii="Times New Roman" w:hAnsi="Times New Roman" w:cs="Times New Roman"/>
          <w:sz w:val="24"/>
          <w:szCs w:val="24"/>
        </w:rPr>
        <w:t xml:space="preserve">in the </w:t>
      </w:r>
      <w:r w:rsidR="00D25BFB">
        <w:rPr>
          <w:rFonts w:ascii="Times New Roman" w:hAnsi="Times New Roman" w:cs="Times New Roman"/>
          <w:sz w:val="24"/>
          <w:szCs w:val="24"/>
        </w:rPr>
        <w:t xml:space="preserve">strict </w:t>
      </w:r>
      <w:r w:rsidR="00C93E05">
        <w:rPr>
          <w:rFonts w:ascii="Times New Roman" w:hAnsi="Times New Roman" w:cs="Times New Roman"/>
          <w:sz w:val="24"/>
          <w:szCs w:val="24"/>
        </w:rPr>
        <w:t>se</w:t>
      </w:r>
      <w:r w:rsidR="00D25BFB">
        <w:rPr>
          <w:rFonts w:ascii="Times New Roman" w:hAnsi="Times New Roman" w:cs="Times New Roman"/>
          <w:sz w:val="24"/>
          <w:szCs w:val="24"/>
        </w:rPr>
        <w:t>nse</w:t>
      </w:r>
      <w:r w:rsidR="003D10AD">
        <w:rPr>
          <w:rFonts w:ascii="Times New Roman" w:hAnsi="Times New Roman" w:cs="Times New Roman"/>
          <w:sz w:val="24"/>
          <w:szCs w:val="24"/>
        </w:rPr>
        <w:t xml:space="preserve"> of the word</w:t>
      </w:r>
      <w:r w:rsidR="00C93E05">
        <w:rPr>
          <w:rFonts w:ascii="Times New Roman" w:hAnsi="Times New Roman" w:cs="Times New Roman"/>
          <w:sz w:val="24"/>
          <w:szCs w:val="24"/>
        </w:rPr>
        <w:t>. They are more of an inquiry than they fall into the area of a criminal trial pro</w:t>
      </w:r>
      <w:r w:rsidR="003D10AD">
        <w:rPr>
          <w:rFonts w:ascii="Times New Roman" w:hAnsi="Times New Roman" w:cs="Times New Roman"/>
          <w:sz w:val="24"/>
          <w:szCs w:val="24"/>
        </w:rPr>
        <w:t>per.</w:t>
      </w:r>
    </w:p>
    <w:p w:rsidR="00C93E05" w:rsidRDefault="00C93E05"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findings which the trial officer made at the conclusion of the disciplinary, and not criminal</w:t>
      </w:r>
      <w:r w:rsidR="00A21D40">
        <w:rPr>
          <w:rFonts w:ascii="Times New Roman" w:hAnsi="Times New Roman" w:cs="Times New Roman"/>
          <w:sz w:val="24"/>
          <w:szCs w:val="24"/>
        </w:rPr>
        <w:t>,</w:t>
      </w:r>
      <w:r>
        <w:rPr>
          <w:rFonts w:ascii="Times New Roman" w:hAnsi="Times New Roman" w:cs="Times New Roman"/>
          <w:sz w:val="24"/>
          <w:szCs w:val="24"/>
        </w:rPr>
        <w:t xml:space="preserve"> proceedings led </w:t>
      </w:r>
      <w:r w:rsidR="00D25BFB">
        <w:rPr>
          <w:rFonts w:ascii="Times New Roman" w:hAnsi="Times New Roman" w:cs="Times New Roman"/>
          <w:sz w:val="24"/>
          <w:szCs w:val="24"/>
        </w:rPr>
        <w:t xml:space="preserve">to </w:t>
      </w:r>
      <w:r>
        <w:rPr>
          <w:rFonts w:ascii="Times New Roman" w:hAnsi="Times New Roman" w:cs="Times New Roman"/>
          <w:sz w:val="24"/>
          <w:szCs w:val="24"/>
        </w:rPr>
        <w:t>the discharge of the applicant from the police service. It is trite that</w:t>
      </w:r>
      <w:r w:rsidR="00A21D40">
        <w:rPr>
          <w:rFonts w:ascii="Times New Roman" w:hAnsi="Times New Roman" w:cs="Times New Roman"/>
          <w:sz w:val="24"/>
          <w:szCs w:val="24"/>
        </w:rPr>
        <w:t xml:space="preserve"> if</w:t>
      </w:r>
      <w:r>
        <w:rPr>
          <w:rFonts w:ascii="Times New Roman" w:hAnsi="Times New Roman" w:cs="Times New Roman"/>
          <w:sz w:val="24"/>
          <w:szCs w:val="24"/>
        </w:rPr>
        <w:t xml:space="preserve"> the magistrate had convicted him, he (the magistrate) would not have imposed upon him the sanction of having </w:t>
      </w:r>
      <w:r w:rsidR="00D25BFB">
        <w:rPr>
          <w:rFonts w:ascii="Times New Roman" w:hAnsi="Times New Roman" w:cs="Times New Roman"/>
          <w:sz w:val="24"/>
          <w:szCs w:val="24"/>
        </w:rPr>
        <w:t>to</w:t>
      </w:r>
      <w:r>
        <w:rPr>
          <w:rFonts w:ascii="Times New Roman" w:hAnsi="Times New Roman" w:cs="Times New Roman"/>
          <w:sz w:val="24"/>
          <w:szCs w:val="24"/>
        </w:rPr>
        <w:t xml:space="preserve"> discharge him from the </w:t>
      </w:r>
      <w:r w:rsidR="00A21D40">
        <w:rPr>
          <w:rFonts w:ascii="Times New Roman" w:hAnsi="Times New Roman" w:cs="Times New Roman"/>
          <w:sz w:val="24"/>
          <w:szCs w:val="24"/>
        </w:rPr>
        <w:t>Police Service</w:t>
      </w:r>
      <w:r>
        <w:rPr>
          <w:rFonts w:ascii="Times New Roman" w:hAnsi="Times New Roman" w:cs="Times New Roman"/>
          <w:sz w:val="24"/>
          <w:szCs w:val="24"/>
        </w:rPr>
        <w:t xml:space="preserve">. </w:t>
      </w:r>
      <w:r w:rsidR="00A21D40">
        <w:rPr>
          <w:rFonts w:ascii="Times New Roman" w:hAnsi="Times New Roman" w:cs="Times New Roman"/>
          <w:sz w:val="24"/>
          <w:szCs w:val="24"/>
        </w:rPr>
        <w:t>Hi</w:t>
      </w:r>
      <w:r>
        <w:rPr>
          <w:rFonts w:ascii="Times New Roman" w:hAnsi="Times New Roman" w:cs="Times New Roman"/>
          <w:sz w:val="24"/>
          <w:szCs w:val="24"/>
        </w:rPr>
        <w:t>s mandate did not, and does not, extend to that type of sanction. I mention this fact, in passing, as a way of demonstrating the difference between the two set</w:t>
      </w:r>
      <w:r w:rsidR="00A21D40">
        <w:rPr>
          <w:rFonts w:ascii="Times New Roman" w:hAnsi="Times New Roman" w:cs="Times New Roman"/>
          <w:sz w:val="24"/>
          <w:szCs w:val="24"/>
        </w:rPr>
        <w:t>s</w:t>
      </w:r>
      <w:r>
        <w:rPr>
          <w:rFonts w:ascii="Times New Roman" w:hAnsi="Times New Roman" w:cs="Times New Roman"/>
          <w:sz w:val="24"/>
          <w:szCs w:val="24"/>
        </w:rPr>
        <w:t xml:space="preserve"> of proceedings.</w:t>
      </w:r>
    </w:p>
    <w:p w:rsidR="00C93E05" w:rsidRDefault="00C93E05" w:rsidP="00C1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in his answering affidavit</w:t>
      </w:r>
      <w:r w:rsidR="00A21D40">
        <w:rPr>
          <w:rFonts w:ascii="Times New Roman" w:hAnsi="Times New Roman" w:cs="Times New Roman"/>
          <w:sz w:val="24"/>
          <w:szCs w:val="24"/>
        </w:rPr>
        <w:t>,</w:t>
      </w:r>
      <w:r>
        <w:rPr>
          <w:rFonts w:ascii="Times New Roman" w:hAnsi="Times New Roman" w:cs="Times New Roman"/>
          <w:sz w:val="24"/>
          <w:szCs w:val="24"/>
        </w:rPr>
        <w:t xml:space="preserve"> that:</w:t>
      </w:r>
    </w:p>
    <w:p w:rsidR="00C93E05" w:rsidRDefault="00A21D40" w:rsidP="00C93E0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C93E05">
        <w:rPr>
          <w:rFonts w:ascii="Times New Roman" w:hAnsi="Times New Roman" w:cs="Times New Roman"/>
          <w:sz w:val="24"/>
          <w:szCs w:val="24"/>
        </w:rPr>
        <w:t xml:space="preserve">e was not given reasons for his discharge </w:t>
      </w:r>
      <w:r>
        <w:rPr>
          <w:rFonts w:ascii="Times New Roman" w:hAnsi="Times New Roman" w:cs="Times New Roman"/>
          <w:sz w:val="24"/>
          <w:szCs w:val="24"/>
        </w:rPr>
        <w:t xml:space="preserve">- </w:t>
      </w:r>
      <w:r w:rsidR="00C93E05">
        <w:rPr>
          <w:rFonts w:ascii="Times New Roman" w:hAnsi="Times New Roman" w:cs="Times New Roman"/>
          <w:sz w:val="24"/>
          <w:szCs w:val="24"/>
        </w:rPr>
        <w:t>and</w:t>
      </w:r>
    </w:p>
    <w:p w:rsidR="00C93E05" w:rsidRDefault="003B0951" w:rsidP="00C93E0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93E05">
        <w:rPr>
          <w:rFonts w:ascii="Times New Roman" w:hAnsi="Times New Roman" w:cs="Times New Roman"/>
          <w:sz w:val="24"/>
          <w:szCs w:val="24"/>
        </w:rPr>
        <w:t>he person or officer who convened the Board of Suitability did not, at law, have the power to conven</w:t>
      </w:r>
      <w:r>
        <w:rPr>
          <w:rFonts w:ascii="Times New Roman" w:hAnsi="Times New Roman" w:cs="Times New Roman"/>
          <w:sz w:val="24"/>
          <w:szCs w:val="24"/>
        </w:rPr>
        <w:t>e</w:t>
      </w:r>
      <w:r w:rsidR="00C93E05">
        <w:rPr>
          <w:rFonts w:ascii="Times New Roman" w:hAnsi="Times New Roman" w:cs="Times New Roman"/>
          <w:sz w:val="24"/>
          <w:szCs w:val="24"/>
        </w:rPr>
        <w:t xml:space="preserve"> such. He submits that it should not have been convened by </w:t>
      </w:r>
      <w:r w:rsidR="00DD3A4B">
        <w:rPr>
          <w:rFonts w:ascii="Times New Roman" w:hAnsi="Times New Roman" w:cs="Times New Roman"/>
          <w:sz w:val="24"/>
          <w:szCs w:val="24"/>
        </w:rPr>
        <w:t>anyone</w:t>
      </w:r>
      <w:r w:rsidR="00C93E05">
        <w:rPr>
          <w:rFonts w:ascii="Times New Roman" w:hAnsi="Times New Roman" w:cs="Times New Roman"/>
          <w:sz w:val="24"/>
          <w:szCs w:val="24"/>
        </w:rPr>
        <w:t xml:space="preserve"> else but (by) the first respondent</w:t>
      </w:r>
      <w:r w:rsidR="005F65CA">
        <w:rPr>
          <w:rFonts w:ascii="Times New Roman" w:hAnsi="Times New Roman" w:cs="Times New Roman"/>
          <w:sz w:val="24"/>
          <w:szCs w:val="24"/>
        </w:rPr>
        <w:t>.</w:t>
      </w:r>
    </w:p>
    <w:p w:rsidR="00C93E05" w:rsidRDefault="00C93E05" w:rsidP="00C93E05">
      <w:pPr>
        <w:spacing w:after="0" w:line="360" w:lineRule="auto"/>
        <w:jc w:val="both"/>
        <w:rPr>
          <w:rFonts w:ascii="Times New Roman" w:hAnsi="Times New Roman" w:cs="Times New Roman"/>
          <w:sz w:val="24"/>
          <w:szCs w:val="24"/>
        </w:rPr>
      </w:pPr>
    </w:p>
    <w:p w:rsidR="00C93E05" w:rsidRDefault="00C93E05"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moves the court to find in his favour on the abovementioned basis. He </w:t>
      </w:r>
      <w:r w:rsidR="00D25BFB">
        <w:rPr>
          <w:rFonts w:ascii="Times New Roman" w:hAnsi="Times New Roman" w:cs="Times New Roman"/>
          <w:sz w:val="24"/>
          <w:szCs w:val="24"/>
        </w:rPr>
        <w:t xml:space="preserve">insists that the </w:t>
      </w:r>
      <w:r>
        <w:rPr>
          <w:rFonts w:ascii="Times New Roman" w:hAnsi="Times New Roman" w:cs="Times New Roman"/>
          <w:sz w:val="24"/>
          <w:szCs w:val="24"/>
        </w:rPr>
        <w:t>first respondent’s notice of opposition is, to the extent of the stated matters, fatally defective.</w:t>
      </w:r>
    </w:p>
    <w:p w:rsidR="00C93E05" w:rsidRDefault="00C93E05"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063F3">
        <w:rPr>
          <w:rFonts w:ascii="Times New Roman" w:hAnsi="Times New Roman" w:cs="Times New Roman"/>
          <w:sz w:val="24"/>
          <w:szCs w:val="24"/>
        </w:rPr>
        <w:t xml:space="preserve">applicant did not raise the abovementioned two matters in his founding affidavit. He advanced no reason for not having done so. He, in the process, did not </w:t>
      </w:r>
      <w:r w:rsidR="005F65CA">
        <w:rPr>
          <w:rFonts w:ascii="Times New Roman" w:hAnsi="Times New Roman" w:cs="Times New Roman"/>
          <w:sz w:val="24"/>
          <w:szCs w:val="24"/>
        </w:rPr>
        <w:t>acc</w:t>
      </w:r>
      <w:r w:rsidR="000063F3">
        <w:rPr>
          <w:rFonts w:ascii="Times New Roman" w:hAnsi="Times New Roman" w:cs="Times New Roman"/>
          <w:sz w:val="24"/>
          <w:szCs w:val="24"/>
        </w:rPr>
        <w:t>ord an opportunity to the first respondent to comment on those. He placed him in a very in</w:t>
      </w:r>
      <w:r w:rsidR="00D25BFB">
        <w:rPr>
          <w:rFonts w:ascii="Times New Roman" w:hAnsi="Times New Roman" w:cs="Times New Roman"/>
          <w:sz w:val="24"/>
          <w:szCs w:val="24"/>
        </w:rPr>
        <w:t>vidious</w:t>
      </w:r>
      <w:r w:rsidR="000063F3">
        <w:rPr>
          <w:rFonts w:ascii="Times New Roman" w:hAnsi="Times New Roman" w:cs="Times New Roman"/>
          <w:sz w:val="24"/>
          <w:szCs w:val="24"/>
        </w:rPr>
        <w:t xml:space="preserve"> position. He cannot deal with such after the answering affidavit has been filed.</w:t>
      </w:r>
    </w:p>
    <w:p w:rsidR="000063F3" w:rsidRDefault="000063F3"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submissions which the first respondent’s legal </w:t>
      </w:r>
      <w:r w:rsidR="00D25BFB">
        <w:rPr>
          <w:rFonts w:ascii="Times New Roman" w:hAnsi="Times New Roman" w:cs="Times New Roman"/>
          <w:sz w:val="24"/>
          <w:szCs w:val="24"/>
        </w:rPr>
        <w:t>practitioners</w:t>
      </w:r>
      <w:r>
        <w:rPr>
          <w:rFonts w:ascii="Times New Roman" w:hAnsi="Times New Roman" w:cs="Times New Roman"/>
          <w:sz w:val="24"/>
          <w:szCs w:val="24"/>
        </w:rPr>
        <w:t xml:space="preserve"> made on the same fall </w:t>
      </w:r>
      <w:r w:rsidR="00D25BFB">
        <w:rPr>
          <w:rFonts w:ascii="Times New Roman" w:hAnsi="Times New Roman" w:cs="Times New Roman"/>
          <w:sz w:val="24"/>
          <w:szCs w:val="24"/>
        </w:rPr>
        <w:t>into</w:t>
      </w:r>
      <w:r>
        <w:rPr>
          <w:rFonts w:ascii="Times New Roman" w:hAnsi="Times New Roman" w:cs="Times New Roman"/>
          <w:sz w:val="24"/>
          <w:szCs w:val="24"/>
        </w:rPr>
        <w:t xml:space="preserve"> the realms of </w:t>
      </w:r>
      <w:r w:rsidR="00282058">
        <w:rPr>
          <w:rFonts w:ascii="Times New Roman" w:hAnsi="Times New Roman" w:cs="Times New Roman"/>
          <w:sz w:val="24"/>
          <w:szCs w:val="24"/>
        </w:rPr>
        <w:t>speculation</w:t>
      </w:r>
      <w:r>
        <w:rPr>
          <w:rFonts w:ascii="Times New Roman" w:hAnsi="Times New Roman" w:cs="Times New Roman"/>
          <w:sz w:val="24"/>
          <w:szCs w:val="24"/>
        </w:rPr>
        <w:t xml:space="preserve"> more than they </w:t>
      </w:r>
      <w:r w:rsidR="00282058">
        <w:rPr>
          <w:rFonts w:ascii="Times New Roman" w:hAnsi="Times New Roman" w:cs="Times New Roman"/>
          <w:sz w:val="24"/>
          <w:szCs w:val="24"/>
        </w:rPr>
        <w:t>d</w:t>
      </w:r>
      <w:r>
        <w:rPr>
          <w:rFonts w:ascii="Times New Roman" w:hAnsi="Times New Roman" w:cs="Times New Roman"/>
          <w:sz w:val="24"/>
          <w:szCs w:val="24"/>
        </w:rPr>
        <w:t xml:space="preserve">eal </w:t>
      </w:r>
      <w:r w:rsidR="00282058">
        <w:rPr>
          <w:rFonts w:ascii="Times New Roman" w:hAnsi="Times New Roman" w:cs="Times New Roman"/>
          <w:sz w:val="24"/>
          <w:szCs w:val="24"/>
        </w:rPr>
        <w:t xml:space="preserve">with </w:t>
      </w:r>
      <w:r w:rsidR="00D25BFB">
        <w:rPr>
          <w:rFonts w:ascii="Times New Roman" w:hAnsi="Times New Roman" w:cs="Times New Roman"/>
          <w:sz w:val="24"/>
          <w:szCs w:val="24"/>
        </w:rPr>
        <w:t>his evidence o</w:t>
      </w:r>
      <w:r>
        <w:rPr>
          <w:rFonts w:ascii="Times New Roman" w:hAnsi="Times New Roman" w:cs="Times New Roman"/>
          <w:sz w:val="24"/>
          <w:szCs w:val="24"/>
        </w:rPr>
        <w:t>n th</w:t>
      </w:r>
      <w:r w:rsidR="00D25BFB">
        <w:rPr>
          <w:rFonts w:ascii="Times New Roman" w:hAnsi="Times New Roman" w:cs="Times New Roman"/>
          <w:sz w:val="24"/>
          <w:szCs w:val="24"/>
        </w:rPr>
        <w:t>e two</w:t>
      </w:r>
      <w:r>
        <w:rPr>
          <w:rFonts w:ascii="Times New Roman" w:hAnsi="Times New Roman" w:cs="Times New Roman"/>
          <w:sz w:val="24"/>
          <w:szCs w:val="24"/>
        </w:rPr>
        <w:t xml:space="preserve"> matters. Because he was not offe</w:t>
      </w:r>
      <w:r w:rsidR="00D25BFB">
        <w:rPr>
          <w:rFonts w:ascii="Times New Roman" w:hAnsi="Times New Roman" w:cs="Times New Roman"/>
          <w:sz w:val="24"/>
          <w:szCs w:val="24"/>
        </w:rPr>
        <w:t>red the opportunity to deal wit</w:t>
      </w:r>
      <w:r>
        <w:rPr>
          <w:rFonts w:ascii="Times New Roman" w:hAnsi="Times New Roman" w:cs="Times New Roman"/>
          <w:sz w:val="24"/>
          <w:szCs w:val="24"/>
        </w:rPr>
        <w:t>h</w:t>
      </w:r>
      <w:r w:rsidR="00D25BFB">
        <w:rPr>
          <w:rFonts w:ascii="Times New Roman" w:hAnsi="Times New Roman" w:cs="Times New Roman"/>
          <w:sz w:val="24"/>
          <w:szCs w:val="24"/>
        </w:rPr>
        <w:t xml:space="preserve"> </w:t>
      </w:r>
      <w:r>
        <w:rPr>
          <w:rFonts w:ascii="Times New Roman" w:hAnsi="Times New Roman" w:cs="Times New Roman"/>
          <w:sz w:val="24"/>
          <w:szCs w:val="24"/>
        </w:rPr>
        <w:t xml:space="preserve">them, </w:t>
      </w:r>
      <w:r w:rsidR="00D25BFB">
        <w:rPr>
          <w:rFonts w:ascii="Times New Roman" w:hAnsi="Times New Roman" w:cs="Times New Roman"/>
          <w:sz w:val="24"/>
          <w:szCs w:val="24"/>
        </w:rPr>
        <w:t>that</w:t>
      </w:r>
      <w:r>
        <w:rPr>
          <w:rFonts w:ascii="Times New Roman" w:hAnsi="Times New Roman" w:cs="Times New Roman"/>
          <w:sz w:val="24"/>
          <w:szCs w:val="24"/>
        </w:rPr>
        <w:t xml:space="preserve"> cannot be held against him. The blame for the same lies entirely on the applicant’s shoulder</w:t>
      </w:r>
      <w:r w:rsidR="00AF309A">
        <w:rPr>
          <w:rFonts w:ascii="Times New Roman" w:hAnsi="Times New Roman" w:cs="Times New Roman"/>
          <w:sz w:val="24"/>
          <w:szCs w:val="24"/>
        </w:rPr>
        <w:t>s. He</w:t>
      </w:r>
      <w:r>
        <w:rPr>
          <w:rFonts w:ascii="Times New Roman" w:hAnsi="Times New Roman" w:cs="Times New Roman"/>
          <w:sz w:val="24"/>
          <w:szCs w:val="24"/>
        </w:rPr>
        <w:t xml:space="preserve"> embarked upon what may be re</w:t>
      </w:r>
      <w:r w:rsidR="00AF309A">
        <w:rPr>
          <w:rFonts w:ascii="Times New Roman" w:hAnsi="Times New Roman" w:cs="Times New Roman"/>
          <w:sz w:val="24"/>
          <w:szCs w:val="24"/>
        </w:rPr>
        <w:t>ferre</w:t>
      </w:r>
      <w:r>
        <w:rPr>
          <w:rFonts w:ascii="Times New Roman" w:hAnsi="Times New Roman" w:cs="Times New Roman"/>
          <w:sz w:val="24"/>
          <w:szCs w:val="24"/>
        </w:rPr>
        <w:t xml:space="preserve">d to as an ambush to the attainment </w:t>
      </w:r>
      <w:r w:rsidR="007517B0">
        <w:rPr>
          <w:rFonts w:ascii="Times New Roman" w:hAnsi="Times New Roman" w:cs="Times New Roman"/>
          <w:sz w:val="24"/>
          <w:szCs w:val="24"/>
        </w:rPr>
        <w:t>of real and substantial justice.</w:t>
      </w:r>
    </w:p>
    <w:p w:rsidR="007517B0" w:rsidRDefault="007517B0"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an application stands or falls on its affidavit. It is well established that, in application proceedings, the cause of action should be fully set out in the founding affidavit and that new matters should not be raised in an answering affidavit</w:t>
      </w:r>
      <w:r w:rsidR="00D25BFB">
        <w:rPr>
          <w:rFonts w:ascii="Times New Roman" w:hAnsi="Times New Roman" w:cs="Times New Roman"/>
          <w:sz w:val="24"/>
          <w:szCs w:val="24"/>
        </w:rPr>
        <w:t>. (</w:t>
      </w:r>
      <w:r>
        <w:rPr>
          <w:rFonts w:ascii="Times New Roman" w:hAnsi="Times New Roman" w:cs="Times New Roman"/>
          <w:sz w:val="24"/>
          <w:szCs w:val="24"/>
        </w:rPr>
        <w:t xml:space="preserve">See </w:t>
      </w:r>
      <w:r w:rsidRPr="00D25BFB">
        <w:rPr>
          <w:rFonts w:ascii="Times New Roman" w:hAnsi="Times New Roman" w:cs="Times New Roman"/>
          <w:i/>
          <w:sz w:val="24"/>
          <w:szCs w:val="24"/>
        </w:rPr>
        <w:t>Mangwi</w:t>
      </w:r>
      <w:r w:rsidR="00AF309A">
        <w:rPr>
          <w:rFonts w:ascii="Times New Roman" w:hAnsi="Times New Roman" w:cs="Times New Roman"/>
          <w:i/>
          <w:sz w:val="24"/>
          <w:szCs w:val="24"/>
        </w:rPr>
        <w:t>z</w:t>
      </w:r>
      <w:r w:rsidRPr="00D25BFB">
        <w:rPr>
          <w:rFonts w:ascii="Times New Roman" w:hAnsi="Times New Roman" w:cs="Times New Roman"/>
          <w:i/>
          <w:sz w:val="24"/>
          <w:szCs w:val="24"/>
        </w:rPr>
        <w:t>a</w:t>
      </w:r>
      <w:r>
        <w:rPr>
          <w:rFonts w:ascii="Times New Roman" w:hAnsi="Times New Roman" w:cs="Times New Roman"/>
          <w:sz w:val="24"/>
          <w:szCs w:val="24"/>
        </w:rPr>
        <w:t xml:space="preserve"> v </w:t>
      </w:r>
      <w:r w:rsidRPr="00D25BFB">
        <w:rPr>
          <w:rFonts w:ascii="Times New Roman" w:hAnsi="Times New Roman" w:cs="Times New Roman"/>
          <w:i/>
          <w:sz w:val="24"/>
          <w:szCs w:val="24"/>
        </w:rPr>
        <w:t>Ziumbe No &amp; Anor</w:t>
      </w:r>
      <w:r>
        <w:rPr>
          <w:rFonts w:ascii="Times New Roman" w:hAnsi="Times New Roman" w:cs="Times New Roman"/>
          <w:sz w:val="24"/>
          <w:szCs w:val="24"/>
        </w:rPr>
        <w:t xml:space="preserve">, 2000 (2) ZLR 489 (SC), 492E-F per </w:t>
      </w:r>
      <w:r w:rsidRPr="00D25BFB">
        <w:rPr>
          <w:rFonts w:ascii="Times New Roman" w:hAnsi="Times New Roman" w:cs="Times New Roman"/>
          <w:smallCaps/>
          <w:sz w:val="24"/>
          <w:szCs w:val="24"/>
        </w:rPr>
        <w:t>Sandura JA</w:t>
      </w:r>
      <w:r>
        <w:rPr>
          <w:rFonts w:ascii="Times New Roman" w:hAnsi="Times New Roman" w:cs="Times New Roman"/>
          <w:sz w:val="24"/>
          <w:szCs w:val="24"/>
        </w:rPr>
        <w:t xml:space="preserve">). In </w:t>
      </w:r>
      <w:r w:rsidRPr="00D25BFB">
        <w:rPr>
          <w:rFonts w:ascii="Times New Roman" w:hAnsi="Times New Roman" w:cs="Times New Roman"/>
          <w:i/>
          <w:sz w:val="24"/>
          <w:szCs w:val="24"/>
        </w:rPr>
        <w:t>Coffee, Tea and Chocolate Co Ltd</w:t>
      </w:r>
      <w:r>
        <w:rPr>
          <w:rFonts w:ascii="Times New Roman" w:hAnsi="Times New Roman" w:cs="Times New Roman"/>
          <w:sz w:val="24"/>
          <w:szCs w:val="24"/>
        </w:rPr>
        <w:t xml:space="preserve"> v </w:t>
      </w:r>
      <w:r w:rsidRPr="00D25BFB">
        <w:rPr>
          <w:rFonts w:ascii="Times New Roman" w:hAnsi="Times New Roman" w:cs="Times New Roman"/>
          <w:i/>
          <w:sz w:val="24"/>
          <w:szCs w:val="24"/>
        </w:rPr>
        <w:t>Cape Trading Co L</w:t>
      </w:r>
      <w:r w:rsidR="00D25BFB">
        <w:rPr>
          <w:rFonts w:ascii="Times New Roman" w:hAnsi="Times New Roman" w:cs="Times New Roman"/>
          <w:i/>
          <w:sz w:val="24"/>
          <w:szCs w:val="24"/>
        </w:rPr>
        <w:t>t</w:t>
      </w:r>
      <w:r w:rsidRPr="00D25BFB">
        <w:rPr>
          <w:rFonts w:ascii="Times New Roman" w:hAnsi="Times New Roman" w:cs="Times New Roman"/>
          <w:i/>
          <w:sz w:val="24"/>
          <w:szCs w:val="24"/>
        </w:rPr>
        <w:t>d</w:t>
      </w:r>
      <w:r>
        <w:rPr>
          <w:rFonts w:ascii="Times New Roman" w:hAnsi="Times New Roman" w:cs="Times New Roman"/>
          <w:sz w:val="24"/>
          <w:szCs w:val="24"/>
        </w:rPr>
        <w:t xml:space="preserve"> 1930 (P</w:t>
      </w:r>
      <w:r w:rsidR="00D25BFB">
        <w:rPr>
          <w:rFonts w:ascii="Times New Roman" w:hAnsi="Times New Roman" w:cs="Times New Roman"/>
          <w:sz w:val="24"/>
          <w:szCs w:val="24"/>
        </w:rPr>
        <w:t>I</w:t>
      </w:r>
      <w:r>
        <w:rPr>
          <w:rFonts w:ascii="Times New Roman" w:hAnsi="Times New Roman" w:cs="Times New Roman"/>
          <w:sz w:val="24"/>
          <w:szCs w:val="24"/>
        </w:rPr>
        <w:t>) 8</w:t>
      </w:r>
      <w:r w:rsidR="00D25BFB">
        <w:rPr>
          <w:rFonts w:ascii="Times New Roman" w:hAnsi="Times New Roman" w:cs="Times New Roman"/>
          <w:sz w:val="24"/>
          <w:szCs w:val="24"/>
        </w:rPr>
        <w:t>1</w:t>
      </w:r>
      <w:r>
        <w:rPr>
          <w:rFonts w:ascii="Times New Roman" w:hAnsi="Times New Roman" w:cs="Times New Roman"/>
          <w:sz w:val="24"/>
          <w:szCs w:val="24"/>
        </w:rPr>
        <w:t xml:space="preserve"> at 82 which </w:t>
      </w:r>
      <w:r w:rsidRPr="00D25BFB">
        <w:rPr>
          <w:rFonts w:ascii="Times New Roman" w:hAnsi="Times New Roman" w:cs="Times New Roman"/>
          <w:smallCaps/>
          <w:sz w:val="24"/>
          <w:szCs w:val="24"/>
        </w:rPr>
        <w:t>Sandura JA</w:t>
      </w:r>
      <w:r>
        <w:rPr>
          <w:rFonts w:ascii="Times New Roman" w:hAnsi="Times New Roman" w:cs="Times New Roman"/>
          <w:sz w:val="24"/>
          <w:szCs w:val="24"/>
        </w:rPr>
        <w:t xml:space="preserve"> placed </w:t>
      </w:r>
      <w:r w:rsidR="00D25BFB">
        <w:rPr>
          <w:rFonts w:ascii="Times New Roman" w:hAnsi="Times New Roman" w:cs="Times New Roman"/>
          <w:sz w:val="24"/>
          <w:szCs w:val="24"/>
        </w:rPr>
        <w:t>reliance</w:t>
      </w:r>
      <w:r>
        <w:rPr>
          <w:rFonts w:ascii="Times New Roman" w:hAnsi="Times New Roman" w:cs="Times New Roman"/>
          <w:sz w:val="24"/>
          <w:szCs w:val="24"/>
        </w:rPr>
        <w:t xml:space="preserve"> upon when he made the remarks which appear in </w:t>
      </w:r>
      <w:r w:rsidRPr="00D25BFB">
        <w:rPr>
          <w:rFonts w:ascii="Times New Roman" w:hAnsi="Times New Roman" w:cs="Times New Roman"/>
          <w:i/>
          <w:sz w:val="24"/>
          <w:szCs w:val="24"/>
        </w:rPr>
        <w:t>Mangwiza</w:t>
      </w:r>
      <w:r>
        <w:rPr>
          <w:rFonts w:ascii="Times New Roman" w:hAnsi="Times New Roman" w:cs="Times New Roman"/>
          <w:sz w:val="24"/>
          <w:szCs w:val="24"/>
        </w:rPr>
        <w:t xml:space="preserve"> v </w:t>
      </w:r>
      <w:r w:rsidRPr="00D25BFB">
        <w:rPr>
          <w:rFonts w:ascii="Times New Roman" w:hAnsi="Times New Roman" w:cs="Times New Roman"/>
          <w:i/>
          <w:sz w:val="24"/>
          <w:szCs w:val="24"/>
        </w:rPr>
        <w:t>Ziumbe</w:t>
      </w:r>
      <w:r>
        <w:rPr>
          <w:rFonts w:ascii="Times New Roman" w:hAnsi="Times New Roman" w:cs="Times New Roman"/>
          <w:sz w:val="24"/>
          <w:szCs w:val="24"/>
        </w:rPr>
        <w:t xml:space="preserve">. </w:t>
      </w:r>
      <w:r w:rsidRPr="00D25BFB">
        <w:rPr>
          <w:rFonts w:ascii="Times New Roman" w:hAnsi="Times New Roman" w:cs="Times New Roman"/>
          <w:smallCaps/>
          <w:sz w:val="24"/>
          <w:szCs w:val="24"/>
        </w:rPr>
        <w:t>Gardiner JP</w:t>
      </w:r>
      <w:r>
        <w:rPr>
          <w:rFonts w:ascii="Times New Roman" w:hAnsi="Times New Roman" w:cs="Times New Roman"/>
          <w:sz w:val="24"/>
          <w:szCs w:val="24"/>
        </w:rPr>
        <w:t xml:space="preserve"> discussed the same subject matter extensively and said;</w:t>
      </w:r>
    </w:p>
    <w:p w:rsidR="007517B0" w:rsidRDefault="007517B0" w:rsidP="00D25BF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D25BFB">
        <w:rPr>
          <w:rFonts w:ascii="Times New Roman" w:hAnsi="Times New Roman" w:cs="Times New Roman"/>
        </w:rPr>
        <w:t xml:space="preserve">A very bad practice and one by no means uncommon, is that of keeping evidence on </w:t>
      </w:r>
      <w:r w:rsidR="00D25BFB" w:rsidRPr="00D25BFB">
        <w:rPr>
          <w:rFonts w:ascii="Times New Roman" w:hAnsi="Times New Roman" w:cs="Times New Roman"/>
        </w:rPr>
        <w:tab/>
      </w:r>
      <w:r w:rsidRPr="00D25BFB">
        <w:rPr>
          <w:rFonts w:ascii="Times New Roman" w:hAnsi="Times New Roman" w:cs="Times New Roman"/>
        </w:rPr>
        <w:t xml:space="preserve">affidavit until the replying stage, instead of putting it in support of the affidavit filed </w:t>
      </w:r>
      <w:r w:rsidR="00D25BFB" w:rsidRPr="00D25BFB">
        <w:rPr>
          <w:rFonts w:ascii="Times New Roman" w:hAnsi="Times New Roman" w:cs="Times New Roman"/>
        </w:rPr>
        <w:tab/>
      </w:r>
      <w:r w:rsidR="003F4EDD">
        <w:rPr>
          <w:rFonts w:ascii="Times New Roman" w:hAnsi="Times New Roman" w:cs="Times New Roman"/>
        </w:rPr>
        <w:t xml:space="preserve">upon </w:t>
      </w:r>
      <w:r w:rsidRPr="00D25BFB">
        <w:rPr>
          <w:rFonts w:ascii="Times New Roman" w:hAnsi="Times New Roman" w:cs="Times New Roman"/>
        </w:rPr>
        <w:t xml:space="preserve">the notice of motion. The result of this practice is either that a fourth set of affidavits has </w:t>
      </w:r>
      <w:r w:rsidR="003F4EDD">
        <w:rPr>
          <w:rFonts w:ascii="Times New Roman" w:hAnsi="Times New Roman" w:cs="Times New Roman"/>
        </w:rPr>
        <w:tab/>
      </w:r>
      <w:r w:rsidRPr="00D25BFB">
        <w:rPr>
          <w:rFonts w:ascii="Times New Roman" w:hAnsi="Times New Roman" w:cs="Times New Roman"/>
        </w:rPr>
        <w:t xml:space="preserve">to be allowed or that the respondent has not an opportunity of replying. Now, these affidavits </w:t>
      </w:r>
      <w:r w:rsidR="003F4EDD">
        <w:rPr>
          <w:rFonts w:ascii="Times New Roman" w:hAnsi="Times New Roman" w:cs="Times New Roman"/>
        </w:rPr>
        <w:tab/>
      </w:r>
      <w:r w:rsidRPr="00D25BFB">
        <w:rPr>
          <w:rFonts w:ascii="Times New Roman" w:hAnsi="Times New Roman" w:cs="Times New Roman"/>
        </w:rPr>
        <w:t>of Barnes, Tu</w:t>
      </w:r>
      <w:r w:rsidR="00D25BFB" w:rsidRPr="00D25BFB">
        <w:rPr>
          <w:rFonts w:ascii="Times New Roman" w:hAnsi="Times New Roman" w:cs="Times New Roman"/>
        </w:rPr>
        <w:t>r</w:t>
      </w:r>
      <w:r w:rsidRPr="00D25BFB">
        <w:rPr>
          <w:rFonts w:ascii="Times New Roman" w:hAnsi="Times New Roman" w:cs="Times New Roman"/>
        </w:rPr>
        <w:t xml:space="preserve">nshall, </w:t>
      </w:r>
      <w:r w:rsidR="00D25BFB" w:rsidRPr="00D25BFB">
        <w:rPr>
          <w:rFonts w:ascii="Times New Roman" w:hAnsi="Times New Roman" w:cs="Times New Roman"/>
        </w:rPr>
        <w:t>L</w:t>
      </w:r>
      <w:r w:rsidRPr="00D25BFB">
        <w:rPr>
          <w:rFonts w:ascii="Times New Roman" w:hAnsi="Times New Roman" w:cs="Times New Roman"/>
        </w:rPr>
        <w:t xml:space="preserve">ee, Gardner and Long should in my opinion properly have been put in </w:t>
      </w:r>
      <w:r w:rsidR="00D25BFB">
        <w:rPr>
          <w:rFonts w:ascii="Times New Roman" w:hAnsi="Times New Roman" w:cs="Times New Roman"/>
        </w:rPr>
        <w:tab/>
      </w:r>
      <w:r w:rsidRPr="00D25BFB">
        <w:rPr>
          <w:rFonts w:ascii="Times New Roman" w:hAnsi="Times New Roman" w:cs="Times New Roman"/>
        </w:rPr>
        <w:t xml:space="preserve">support of the notice of motion. They are not a reply to what has been said by the respondent </w:t>
      </w:r>
      <w:r w:rsidR="00D25BFB">
        <w:rPr>
          <w:rFonts w:ascii="Times New Roman" w:hAnsi="Times New Roman" w:cs="Times New Roman"/>
        </w:rPr>
        <w:tab/>
      </w:r>
      <w:r w:rsidRPr="00D25BFB">
        <w:rPr>
          <w:rFonts w:ascii="Times New Roman" w:hAnsi="Times New Roman" w:cs="Times New Roman"/>
        </w:rPr>
        <w:t xml:space="preserve">and </w:t>
      </w:r>
      <w:r w:rsidRPr="00D25BFB">
        <w:rPr>
          <w:rFonts w:ascii="Times New Roman" w:hAnsi="Times New Roman" w:cs="Times New Roman"/>
          <w:u w:val="single"/>
        </w:rPr>
        <w:t>I am not prepared to allow them to be put at this stage</w:t>
      </w:r>
      <w:r w:rsidRPr="00D25BFB">
        <w:rPr>
          <w:rFonts w:ascii="Times New Roman" w:hAnsi="Times New Roman" w:cs="Times New Roman"/>
        </w:rPr>
        <w:t>.</w:t>
      </w:r>
      <w:r w:rsidR="00D25BFB">
        <w:rPr>
          <w:rFonts w:ascii="Times New Roman" w:hAnsi="Times New Roman" w:cs="Times New Roman"/>
        </w:rPr>
        <w:t>”</w:t>
      </w:r>
      <w:r w:rsidRPr="00D25BFB">
        <w:rPr>
          <w:rFonts w:ascii="Times New Roman" w:hAnsi="Times New Roman" w:cs="Times New Roman"/>
        </w:rPr>
        <w:t xml:space="preserve"> [emphasis added]</w:t>
      </w:r>
    </w:p>
    <w:p w:rsidR="00D25BFB" w:rsidRPr="00D25BFB" w:rsidRDefault="00D25BFB" w:rsidP="00D25BFB">
      <w:pPr>
        <w:spacing w:after="0" w:line="240" w:lineRule="auto"/>
        <w:jc w:val="both"/>
        <w:rPr>
          <w:rFonts w:ascii="Times New Roman" w:hAnsi="Times New Roman" w:cs="Times New Roman"/>
        </w:rPr>
      </w:pPr>
    </w:p>
    <w:p w:rsidR="007517B0" w:rsidRDefault="007517B0"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 the basis of the above cited </w:t>
      </w:r>
      <w:r w:rsidRPr="003F4EDD">
        <w:rPr>
          <w:rFonts w:ascii="Times New Roman" w:hAnsi="Times New Roman" w:cs="Times New Roman"/>
          <w:i/>
          <w:sz w:val="24"/>
          <w:szCs w:val="24"/>
        </w:rPr>
        <w:t>dicta</w:t>
      </w:r>
      <w:r>
        <w:rPr>
          <w:rFonts w:ascii="Times New Roman" w:hAnsi="Times New Roman" w:cs="Times New Roman"/>
          <w:sz w:val="24"/>
          <w:szCs w:val="24"/>
        </w:rPr>
        <w:t xml:space="preserve"> that the matters which the applicant raised in his answering affidavit cannot be allowed to strengthen his case. Allowing them into the record when the respondent has had no chance to comment upon them would be akin to the act of administering injustice as opposed to justice in respect of the respondent’s case.</w:t>
      </w:r>
    </w:p>
    <w:p w:rsidR="007517B0" w:rsidRDefault="007517B0"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3F4EDD">
        <w:rPr>
          <w:rFonts w:ascii="Times New Roman" w:hAnsi="Times New Roman" w:cs="Times New Roman"/>
          <w:i/>
          <w:sz w:val="24"/>
          <w:szCs w:val="24"/>
        </w:rPr>
        <w:t>onus</w:t>
      </w:r>
      <w:r>
        <w:rPr>
          <w:rFonts w:ascii="Times New Roman" w:hAnsi="Times New Roman" w:cs="Times New Roman"/>
          <w:sz w:val="24"/>
          <w:szCs w:val="24"/>
        </w:rPr>
        <w:t xml:space="preserve"> lies on he who alleges. He must prove his case on a balance of probabilities. It is not for the defendant or the respondent to disprove what the plaintiff or the applicant alleges against him. That is the im</w:t>
      </w:r>
      <w:r w:rsidR="003F4EDD">
        <w:rPr>
          <w:rFonts w:ascii="Times New Roman" w:hAnsi="Times New Roman" w:cs="Times New Roman"/>
          <w:sz w:val="24"/>
          <w:szCs w:val="24"/>
        </w:rPr>
        <w:t>mutab</w:t>
      </w:r>
      <w:r>
        <w:rPr>
          <w:rFonts w:ascii="Times New Roman" w:hAnsi="Times New Roman" w:cs="Times New Roman"/>
          <w:sz w:val="24"/>
          <w:szCs w:val="24"/>
        </w:rPr>
        <w:t xml:space="preserve">le </w:t>
      </w:r>
      <w:r w:rsidR="00DD3A4B">
        <w:rPr>
          <w:rFonts w:ascii="Times New Roman" w:hAnsi="Times New Roman" w:cs="Times New Roman"/>
          <w:sz w:val="24"/>
          <w:szCs w:val="24"/>
        </w:rPr>
        <w:t xml:space="preserve">rule </w:t>
      </w:r>
      <w:r>
        <w:rPr>
          <w:rFonts w:ascii="Times New Roman" w:hAnsi="Times New Roman" w:cs="Times New Roman"/>
          <w:sz w:val="24"/>
          <w:szCs w:val="24"/>
        </w:rPr>
        <w:t>of criminal or civil procedure.</w:t>
      </w:r>
    </w:p>
    <w:p w:rsidR="007517B0" w:rsidRPr="00C93E05" w:rsidRDefault="007517B0" w:rsidP="00C93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prove his case on balance of probabilities. His application stands on nothing. It is devoid of merit. It is, in the premise, dismissed with costs.</w:t>
      </w:r>
    </w:p>
    <w:p w:rsidR="005009C9" w:rsidRDefault="005009C9" w:rsidP="00B32BBC">
      <w:pPr>
        <w:spacing w:line="360" w:lineRule="auto"/>
        <w:jc w:val="both"/>
        <w:rPr>
          <w:rFonts w:ascii="Times New Roman" w:hAnsi="Times New Roman" w:cs="Times New Roman"/>
          <w:sz w:val="24"/>
          <w:szCs w:val="24"/>
        </w:rPr>
      </w:pPr>
    </w:p>
    <w:p w:rsidR="00BB5FC6" w:rsidRDefault="00BB5FC6" w:rsidP="00B32BBC">
      <w:pPr>
        <w:spacing w:line="360" w:lineRule="auto"/>
        <w:jc w:val="both"/>
        <w:rPr>
          <w:rFonts w:ascii="Times New Roman" w:hAnsi="Times New Roman" w:cs="Times New Roman"/>
          <w:sz w:val="24"/>
          <w:szCs w:val="24"/>
        </w:rPr>
      </w:pPr>
    </w:p>
    <w:p w:rsidR="00BB5FC6" w:rsidRDefault="00BB5FC6" w:rsidP="00B32BBC">
      <w:pPr>
        <w:spacing w:line="360" w:lineRule="auto"/>
        <w:jc w:val="both"/>
        <w:rPr>
          <w:rFonts w:ascii="Times New Roman" w:hAnsi="Times New Roman" w:cs="Times New Roman"/>
          <w:sz w:val="24"/>
          <w:szCs w:val="24"/>
        </w:rPr>
      </w:pPr>
    </w:p>
    <w:p w:rsidR="007F76A8" w:rsidRDefault="007F76A8" w:rsidP="00BB5FC6">
      <w:pPr>
        <w:spacing w:after="0" w:line="240" w:lineRule="auto"/>
        <w:jc w:val="both"/>
        <w:rPr>
          <w:rFonts w:ascii="Times New Roman" w:hAnsi="Times New Roman" w:cs="Times New Roman"/>
          <w:sz w:val="24"/>
          <w:szCs w:val="24"/>
        </w:rPr>
      </w:pPr>
      <w:r w:rsidRPr="007F76A8">
        <w:rPr>
          <w:rFonts w:ascii="Times New Roman" w:hAnsi="Times New Roman" w:cs="Times New Roman"/>
          <w:i/>
          <w:sz w:val="24"/>
          <w:szCs w:val="24"/>
        </w:rPr>
        <w:t>Mugiya &amp; Macharaga Law Chambers</w:t>
      </w:r>
      <w:r>
        <w:rPr>
          <w:rFonts w:ascii="Times New Roman" w:hAnsi="Times New Roman" w:cs="Times New Roman"/>
          <w:sz w:val="24"/>
          <w:szCs w:val="24"/>
        </w:rPr>
        <w:t xml:space="preserve">, applicant’s legal practitioners </w:t>
      </w:r>
    </w:p>
    <w:p w:rsidR="00BB5FC6" w:rsidRDefault="00BB5FC6" w:rsidP="00BB5FC6">
      <w:pPr>
        <w:spacing w:after="0" w:line="240" w:lineRule="auto"/>
        <w:jc w:val="both"/>
        <w:rPr>
          <w:rFonts w:ascii="Times New Roman" w:hAnsi="Times New Roman" w:cs="Times New Roman"/>
          <w:sz w:val="24"/>
          <w:szCs w:val="24"/>
        </w:rPr>
      </w:pPr>
      <w:r w:rsidRPr="00BB5FC6">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7F76A8" w:rsidRPr="00B50384" w:rsidRDefault="007F76A8" w:rsidP="00B32BBC">
      <w:pPr>
        <w:spacing w:line="360" w:lineRule="auto"/>
        <w:jc w:val="both"/>
        <w:rPr>
          <w:rFonts w:ascii="Times New Roman" w:hAnsi="Times New Roman" w:cs="Times New Roman"/>
          <w:sz w:val="24"/>
          <w:szCs w:val="24"/>
        </w:rPr>
      </w:pPr>
    </w:p>
    <w:sectPr w:rsidR="007F76A8" w:rsidRPr="00B5038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09" w:rsidRDefault="00876C09" w:rsidP="005D6D38">
      <w:pPr>
        <w:spacing w:after="0" w:line="240" w:lineRule="auto"/>
      </w:pPr>
      <w:r>
        <w:separator/>
      </w:r>
    </w:p>
  </w:endnote>
  <w:endnote w:type="continuationSeparator" w:id="0">
    <w:p w:rsidR="00876C09" w:rsidRDefault="00876C09" w:rsidP="005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09" w:rsidRDefault="00876C09" w:rsidP="005D6D38">
      <w:pPr>
        <w:spacing w:after="0" w:line="240" w:lineRule="auto"/>
      </w:pPr>
      <w:r>
        <w:separator/>
      </w:r>
    </w:p>
  </w:footnote>
  <w:footnote w:type="continuationSeparator" w:id="0">
    <w:p w:rsidR="00876C09" w:rsidRDefault="00876C09" w:rsidP="005D6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498751"/>
      <w:docPartObj>
        <w:docPartGallery w:val="Page Numbers (Top of Page)"/>
        <w:docPartUnique/>
      </w:docPartObj>
    </w:sdtPr>
    <w:sdtEndPr>
      <w:rPr>
        <w:noProof/>
      </w:rPr>
    </w:sdtEndPr>
    <w:sdtContent>
      <w:p w:rsidR="00D25BFB" w:rsidRDefault="00D25BFB">
        <w:pPr>
          <w:pStyle w:val="Header"/>
          <w:jc w:val="right"/>
          <w:rPr>
            <w:noProof/>
          </w:rPr>
        </w:pPr>
        <w:r>
          <w:fldChar w:fldCharType="begin"/>
        </w:r>
        <w:r>
          <w:instrText xml:space="preserve"> PAGE   \* MERGEFORMAT </w:instrText>
        </w:r>
        <w:r>
          <w:fldChar w:fldCharType="separate"/>
        </w:r>
        <w:r w:rsidR="005427D7">
          <w:rPr>
            <w:noProof/>
          </w:rPr>
          <w:t>1</w:t>
        </w:r>
        <w:r>
          <w:rPr>
            <w:noProof/>
          </w:rPr>
          <w:fldChar w:fldCharType="end"/>
        </w:r>
      </w:p>
      <w:p w:rsidR="00D25BFB" w:rsidRDefault="00D25BFB">
        <w:pPr>
          <w:pStyle w:val="Header"/>
          <w:jc w:val="right"/>
          <w:rPr>
            <w:noProof/>
          </w:rPr>
        </w:pPr>
        <w:r>
          <w:rPr>
            <w:noProof/>
          </w:rPr>
          <w:t xml:space="preserve">HH </w:t>
        </w:r>
        <w:r w:rsidR="005D317D">
          <w:rPr>
            <w:noProof/>
          </w:rPr>
          <w:t>79-18</w:t>
        </w:r>
      </w:p>
      <w:p w:rsidR="00D25BFB" w:rsidRDefault="00D25BFB">
        <w:pPr>
          <w:pStyle w:val="Header"/>
          <w:jc w:val="right"/>
        </w:pPr>
        <w:r>
          <w:rPr>
            <w:noProof/>
          </w:rPr>
          <w:t>HC 1143/17</w:t>
        </w:r>
      </w:p>
    </w:sdtContent>
  </w:sdt>
  <w:p w:rsidR="00D25BFB" w:rsidRDefault="00D25B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6F2"/>
    <w:multiLevelType w:val="hybridMultilevel"/>
    <w:tmpl w:val="EAD8F6D4"/>
    <w:lvl w:ilvl="0" w:tplc="B5C86F5E">
      <w:start w:val="2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1477210"/>
    <w:multiLevelType w:val="hybridMultilevel"/>
    <w:tmpl w:val="B9FCA9F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3A6D29"/>
    <w:multiLevelType w:val="hybridMultilevel"/>
    <w:tmpl w:val="21562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81D3A"/>
    <w:multiLevelType w:val="hybridMultilevel"/>
    <w:tmpl w:val="BD30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508BE"/>
    <w:multiLevelType w:val="hybridMultilevel"/>
    <w:tmpl w:val="00CC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223EC"/>
    <w:multiLevelType w:val="hybridMultilevel"/>
    <w:tmpl w:val="C01A447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B7138B"/>
    <w:multiLevelType w:val="hybridMultilevel"/>
    <w:tmpl w:val="535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80FC2"/>
    <w:multiLevelType w:val="hybridMultilevel"/>
    <w:tmpl w:val="671C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95C9F"/>
    <w:multiLevelType w:val="hybridMultilevel"/>
    <w:tmpl w:val="02B414FE"/>
    <w:lvl w:ilvl="0" w:tplc="1A4EAA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6434B1E"/>
    <w:multiLevelType w:val="hybridMultilevel"/>
    <w:tmpl w:val="01CC5F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C1750"/>
    <w:multiLevelType w:val="hybridMultilevel"/>
    <w:tmpl w:val="2522D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B76"/>
    <w:multiLevelType w:val="hybridMultilevel"/>
    <w:tmpl w:val="BB1E195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6981107"/>
    <w:multiLevelType w:val="hybridMultilevel"/>
    <w:tmpl w:val="F05817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693EAB"/>
    <w:multiLevelType w:val="hybridMultilevel"/>
    <w:tmpl w:val="D5D62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13"/>
  </w:num>
  <w:num w:numId="4">
    <w:abstractNumId w:val="11"/>
  </w:num>
  <w:num w:numId="5">
    <w:abstractNumId w:val="5"/>
  </w:num>
  <w:num w:numId="6">
    <w:abstractNumId w:val="1"/>
  </w:num>
  <w:num w:numId="7">
    <w:abstractNumId w:val="0"/>
  </w:num>
  <w:num w:numId="8">
    <w:abstractNumId w:val="7"/>
  </w:num>
  <w:num w:numId="9">
    <w:abstractNumId w:val="3"/>
  </w:num>
  <w:num w:numId="10">
    <w:abstractNumId w:val="6"/>
  </w:num>
  <w:num w:numId="11">
    <w:abstractNumId w:val="10"/>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38"/>
    <w:rsid w:val="0000344D"/>
    <w:rsid w:val="0000575E"/>
    <w:rsid w:val="000063F3"/>
    <w:rsid w:val="00011DE3"/>
    <w:rsid w:val="00013EAC"/>
    <w:rsid w:val="00024203"/>
    <w:rsid w:val="00037BD9"/>
    <w:rsid w:val="000446D7"/>
    <w:rsid w:val="0006406B"/>
    <w:rsid w:val="000658E7"/>
    <w:rsid w:val="000922AA"/>
    <w:rsid w:val="000A4B9A"/>
    <w:rsid w:val="000B3FC8"/>
    <w:rsid w:val="000D6C85"/>
    <w:rsid w:val="000E4798"/>
    <w:rsid w:val="000F64CD"/>
    <w:rsid w:val="000F686C"/>
    <w:rsid w:val="00112FD9"/>
    <w:rsid w:val="00137198"/>
    <w:rsid w:val="00157C28"/>
    <w:rsid w:val="0016709E"/>
    <w:rsid w:val="001A088D"/>
    <w:rsid w:val="001A0BAA"/>
    <w:rsid w:val="001A6054"/>
    <w:rsid w:val="001B635B"/>
    <w:rsid w:val="001E04A0"/>
    <w:rsid w:val="001E0F7D"/>
    <w:rsid w:val="00205DBD"/>
    <w:rsid w:val="00220D6E"/>
    <w:rsid w:val="002317B3"/>
    <w:rsid w:val="00231E10"/>
    <w:rsid w:val="00241901"/>
    <w:rsid w:val="00247E3B"/>
    <w:rsid w:val="00254467"/>
    <w:rsid w:val="00254BAA"/>
    <w:rsid w:val="002808FF"/>
    <w:rsid w:val="00282058"/>
    <w:rsid w:val="00290E2D"/>
    <w:rsid w:val="00291897"/>
    <w:rsid w:val="00292CC3"/>
    <w:rsid w:val="002C3C90"/>
    <w:rsid w:val="002D0702"/>
    <w:rsid w:val="002D11E1"/>
    <w:rsid w:val="002D56BE"/>
    <w:rsid w:val="002E4DAE"/>
    <w:rsid w:val="002F1F96"/>
    <w:rsid w:val="00321FFF"/>
    <w:rsid w:val="00324CDA"/>
    <w:rsid w:val="003341C9"/>
    <w:rsid w:val="003467C0"/>
    <w:rsid w:val="00356D86"/>
    <w:rsid w:val="003750B9"/>
    <w:rsid w:val="003B0951"/>
    <w:rsid w:val="003B6529"/>
    <w:rsid w:val="003C1E48"/>
    <w:rsid w:val="003C7685"/>
    <w:rsid w:val="003D10AD"/>
    <w:rsid w:val="003E75BF"/>
    <w:rsid w:val="003F4EDD"/>
    <w:rsid w:val="0042239B"/>
    <w:rsid w:val="0044369B"/>
    <w:rsid w:val="00451CF4"/>
    <w:rsid w:val="0045721A"/>
    <w:rsid w:val="00460DD0"/>
    <w:rsid w:val="0047202C"/>
    <w:rsid w:val="00476529"/>
    <w:rsid w:val="0048690A"/>
    <w:rsid w:val="00495935"/>
    <w:rsid w:val="004A6C01"/>
    <w:rsid w:val="004C3253"/>
    <w:rsid w:val="005009C9"/>
    <w:rsid w:val="00501C7E"/>
    <w:rsid w:val="00505EC9"/>
    <w:rsid w:val="005427D7"/>
    <w:rsid w:val="005548AC"/>
    <w:rsid w:val="005618D5"/>
    <w:rsid w:val="00576DC4"/>
    <w:rsid w:val="005776E6"/>
    <w:rsid w:val="005823CD"/>
    <w:rsid w:val="005845FF"/>
    <w:rsid w:val="005A2BBD"/>
    <w:rsid w:val="005A7732"/>
    <w:rsid w:val="005D317D"/>
    <w:rsid w:val="005D6D38"/>
    <w:rsid w:val="005F65CA"/>
    <w:rsid w:val="006045A5"/>
    <w:rsid w:val="00611EDA"/>
    <w:rsid w:val="00614B82"/>
    <w:rsid w:val="0061759C"/>
    <w:rsid w:val="0064385D"/>
    <w:rsid w:val="00646AAF"/>
    <w:rsid w:val="00652C73"/>
    <w:rsid w:val="00654BC3"/>
    <w:rsid w:val="00661AE4"/>
    <w:rsid w:val="00676FC5"/>
    <w:rsid w:val="006945A0"/>
    <w:rsid w:val="006A3C0A"/>
    <w:rsid w:val="006B34F2"/>
    <w:rsid w:val="006B3DDC"/>
    <w:rsid w:val="006C0D13"/>
    <w:rsid w:val="006D7FA0"/>
    <w:rsid w:val="006E1ED6"/>
    <w:rsid w:val="007028C3"/>
    <w:rsid w:val="007206F8"/>
    <w:rsid w:val="007517B0"/>
    <w:rsid w:val="00755710"/>
    <w:rsid w:val="00767300"/>
    <w:rsid w:val="00767429"/>
    <w:rsid w:val="00767F43"/>
    <w:rsid w:val="00797B02"/>
    <w:rsid w:val="007B1CAE"/>
    <w:rsid w:val="007C4F36"/>
    <w:rsid w:val="007E33BE"/>
    <w:rsid w:val="007F76A8"/>
    <w:rsid w:val="00846019"/>
    <w:rsid w:val="0086488E"/>
    <w:rsid w:val="0087687A"/>
    <w:rsid w:val="00876C09"/>
    <w:rsid w:val="008777B5"/>
    <w:rsid w:val="00883967"/>
    <w:rsid w:val="0089196B"/>
    <w:rsid w:val="008A119A"/>
    <w:rsid w:val="008A34B8"/>
    <w:rsid w:val="008C5359"/>
    <w:rsid w:val="008D0244"/>
    <w:rsid w:val="008D155E"/>
    <w:rsid w:val="008D2BEA"/>
    <w:rsid w:val="008D2DE1"/>
    <w:rsid w:val="008D3695"/>
    <w:rsid w:val="008D4218"/>
    <w:rsid w:val="008E550C"/>
    <w:rsid w:val="008F46B5"/>
    <w:rsid w:val="00907B34"/>
    <w:rsid w:val="009302F2"/>
    <w:rsid w:val="00947047"/>
    <w:rsid w:val="00956333"/>
    <w:rsid w:val="009865DE"/>
    <w:rsid w:val="00987CC5"/>
    <w:rsid w:val="009A3C54"/>
    <w:rsid w:val="009B5D19"/>
    <w:rsid w:val="009B5E15"/>
    <w:rsid w:val="00A01B81"/>
    <w:rsid w:val="00A10AD0"/>
    <w:rsid w:val="00A12DD3"/>
    <w:rsid w:val="00A21D40"/>
    <w:rsid w:val="00A35C82"/>
    <w:rsid w:val="00A61BD9"/>
    <w:rsid w:val="00A83040"/>
    <w:rsid w:val="00AA77BE"/>
    <w:rsid w:val="00AF309A"/>
    <w:rsid w:val="00AF3276"/>
    <w:rsid w:val="00B01BEC"/>
    <w:rsid w:val="00B01CDC"/>
    <w:rsid w:val="00B105F9"/>
    <w:rsid w:val="00B32BBC"/>
    <w:rsid w:val="00B3793A"/>
    <w:rsid w:val="00B40246"/>
    <w:rsid w:val="00B40C5C"/>
    <w:rsid w:val="00B428C1"/>
    <w:rsid w:val="00B543CE"/>
    <w:rsid w:val="00B82BCF"/>
    <w:rsid w:val="00B91B89"/>
    <w:rsid w:val="00BB5FC6"/>
    <w:rsid w:val="00BB6D21"/>
    <w:rsid w:val="00BB79C5"/>
    <w:rsid w:val="00BC5F49"/>
    <w:rsid w:val="00BC75F4"/>
    <w:rsid w:val="00BE63DA"/>
    <w:rsid w:val="00BF779B"/>
    <w:rsid w:val="00C16576"/>
    <w:rsid w:val="00C16F58"/>
    <w:rsid w:val="00C26991"/>
    <w:rsid w:val="00C26CA7"/>
    <w:rsid w:val="00C62705"/>
    <w:rsid w:val="00C67B6F"/>
    <w:rsid w:val="00C72652"/>
    <w:rsid w:val="00C77FF8"/>
    <w:rsid w:val="00C85912"/>
    <w:rsid w:val="00C93E05"/>
    <w:rsid w:val="00C95C3E"/>
    <w:rsid w:val="00CB0084"/>
    <w:rsid w:val="00CC17FC"/>
    <w:rsid w:val="00CE168E"/>
    <w:rsid w:val="00CF75CD"/>
    <w:rsid w:val="00D076A9"/>
    <w:rsid w:val="00D25BFB"/>
    <w:rsid w:val="00D44C6F"/>
    <w:rsid w:val="00D44CC5"/>
    <w:rsid w:val="00D45396"/>
    <w:rsid w:val="00D53768"/>
    <w:rsid w:val="00D60378"/>
    <w:rsid w:val="00D67025"/>
    <w:rsid w:val="00D80506"/>
    <w:rsid w:val="00D80530"/>
    <w:rsid w:val="00D84ACF"/>
    <w:rsid w:val="00D875C7"/>
    <w:rsid w:val="00D91014"/>
    <w:rsid w:val="00D92196"/>
    <w:rsid w:val="00D92BC6"/>
    <w:rsid w:val="00DB3016"/>
    <w:rsid w:val="00DC16B1"/>
    <w:rsid w:val="00DC2F52"/>
    <w:rsid w:val="00DC5F00"/>
    <w:rsid w:val="00DD3A4B"/>
    <w:rsid w:val="00DD563D"/>
    <w:rsid w:val="00DD7CC5"/>
    <w:rsid w:val="00DE47A5"/>
    <w:rsid w:val="00DE6E3A"/>
    <w:rsid w:val="00E11AA9"/>
    <w:rsid w:val="00E2105E"/>
    <w:rsid w:val="00E50DA9"/>
    <w:rsid w:val="00E80B87"/>
    <w:rsid w:val="00E85819"/>
    <w:rsid w:val="00EA63B4"/>
    <w:rsid w:val="00EC0521"/>
    <w:rsid w:val="00EF3077"/>
    <w:rsid w:val="00EF554D"/>
    <w:rsid w:val="00F020B7"/>
    <w:rsid w:val="00F126CC"/>
    <w:rsid w:val="00F279F1"/>
    <w:rsid w:val="00F3299B"/>
    <w:rsid w:val="00F3306D"/>
    <w:rsid w:val="00F35F40"/>
    <w:rsid w:val="00F856DC"/>
    <w:rsid w:val="00FA7986"/>
    <w:rsid w:val="00FC3F01"/>
    <w:rsid w:val="00FC6965"/>
    <w:rsid w:val="00FD0FAA"/>
    <w:rsid w:val="00FD4284"/>
    <w:rsid w:val="00FD5E97"/>
    <w:rsid w:val="00FE2E8F"/>
    <w:rsid w:val="00FF59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B2122-C3FF-4560-953D-CF925B78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8"/>
  </w:style>
  <w:style w:type="paragraph" w:styleId="Footer">
    <w:name w:val="footer"/>
    <w:basedOn w:val="Normal"/>
    <w:link w:val="FooterChar"/>
    <w:uiPriority w:val="99"/>
    <w:unhideWhenUsed/>
    <w:rsid w:val="005D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8"/>
  </w:style>
  <w:style w:type="paragraph" w:styleId="ListParagraph">
    <w:name w:val="List Paragraph"/>
    <w:basedOn w:val="Normal"/>
    <w:uiPriority w:val="34"/>
    <w:qFormat/>
    <w:rsid w:val="00505EC9"/>
    <w:pPr>
      <w:ind w:left="720"/>
      <w:contextualSpacing/>
    </w:p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2018-08-06T21:56:00Z</cp:lastPrinted>
  <dcterms:created xsi:type="dcterms:W3CDTF">2018-08-09T08:36:00Z</dcterms:created>
  <dcterms:modified xsi:type="dcterms:W3CDTF">2018-08-09T08:36:00Z</dcterms:modified>
</cp:coreProperties>
</file>